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1641ED7">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吉木萨尔县泉子街镇卫生院2024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DE5C7A0">
      <w:r>
        <w:br w:type="page"/>
      </w:r>
    </w:p>
    <w:p w14:paraId="763BDAFA">
      <w:pPr>
        <w:spacing w:line="640" w:lineRule="exact"/>
        <w:jc w:val="center"/>
        <w:outlineLvl w:val="1"/>
      </w:pPr>
      <w:r>
        <w:rPr>
          <w:rFonts w:ascii="黑体" w:hAnsi="黑体" w:eastAsia="黑体"/>
          <w:sz w:val="32"/>
        </w:rPr>
        <w:t>第一部分 单位概况</w:t>
      </w:r>
    </w:p>
    <w:p w14:paraId="32C19A5E">
      <w:pPr>
        <w:spacing w:line="640" w:lineRule="exact"/>
        <w:ind w:firstLine="640"/>
        <w:jc w:val="both"/>
        <w:outlineLvl w:val="2"/>
      </w:pPr>
      <w:r>
        <w:rPr>
          <w:rFonts w:ascii="黑体" w:hAnsi="黑体" w:eastAsia="黑体"/>
          <w:sz w:val="32"/>
        </w:rPr>
        <w:t>一、主要职能</w:t>
      </w:r>
    </w:p>
    <w:p w14:paraId="2C3DDFAB">
      <w:pPr>
        <w:spacing w:line="580" w:lineRule="exact"/>
        <w:ind w:firstLine="640"/>
        <w:jc w:val="both"/>
      </w:pPr>
      <w:r>
        <w:rPr>
          <w:rFonts w:ascii="仿宋_GB2312" w:hAnsi="仿宋_GB2312" w:eastAsia="仿宋_GB2312"/>
          <w:sz w:val="32"/>
        </w:rPr>
        <w:t>本院是一所为人民身体健康提供医疗与护理保健服务医疗与护理、预防保健、卫生技术人员培训、初级卫生保健规划实施、合作医疗组织与管理、卫生监督与卫生信息管理的综合性乡镇卫生院，主要包括公共卫生和基本医疗两部分，公共卫生包括建立居民健康档案、健康教育、预防接种、传染病防治儿童保健、孕产妇保健、老年人健康管理、慢性病管理、重性精神疾病患者管理、卫生监督协管工作、强化免疫工作，基本医疗包括规范处方、病历的书写、新农合开展以及卫生室的管理等。</w:t>
      </w:r>
    </w:p>
    <w:p w14:paraId="78ECB16F">
      <w:pPr>
        <w:spacing w:line="640" w:lineRule="exact"/>
        <w:ind w:firstLine="640"/>
        <w:jc w:val="both"/>
        <w:outlineLvl w:val="2"/>
      </w:pPr>
      <w:r>
        <w:rPr>
          <w:rFonts w:ascii="黑体" w:hAnsi="黑体" w:eastAsia="黑体"/>
          <w:sz w:val="32"/>
        </w:rPr>
        <w:t>二、机构设置及人员情况</w:t>
      </w:r>
    </w:p>
    <w:p w14:paraId="0C379E27">
      <w:pPr>
        <w:spacing w:line="580" w:lineRule="exact"/>
        <w:ind w:firstLine="640"/>
        <w:jc w:val="both"/>
      </w:pPr>
      <w:r>
        <w:rPr>
          <w:rFonts w:ascii="仿宋_GB2312" w:hAnsi="仿宋_GB2312" w:eastAsia="仿宋_GB2312"/>
          <w:sz w:val="32"/>
        </w:rPr>
        <w:t>吉木萨尔县泉子街镇卫生院2024年度，实有人数24人，其中：在职人员23人，减少1人；离休人员0人，增加0人；退休人员1人,增加1人。</w:t>
      </w:r>
    </w:p>
    <w:p w14:paraId="48B08C22">
      <w:pPr>
        <w:spacing w:line="580" w:lineRule="exact"/>
        <w:ind w:firstLine="640"/>
        <w:jc w:val="both"/>
      </w:pPr>
      <w:r>
        <w:rPr>
          <w:rFonts w:ascii="仿宋_GB2312" w:hAnsi="仿宋_GB2312" w:eastAsia="仿宋_GB2312"/>
          <w:sz w:val="32"/>
        </w:rPr>
        <w:t>吉木萨尔县泉子街镇卫生院无下属预算单位，下设18个科室，分别是：预防保健科、呼吸内科、消化内科、心血管内科、外科、妇科、产科、</w:t>
      </w:r>
      <w:r>
        <w:rPr>
          <w:rFonts w:hint="eastAsia" w:ascii="仿宋_GB2312" w:hAnsi="仿宋_GB2312" w:eastAsia="仿宋_GB2312"/>
          <w:sz w:val="32"/>
          <w:lang w:val="en-US" w:eastAsia="zh-CN"/>
        </w:rPr>
        <w:t>计划生育</w:t>
      </w:r>
      <w:r>
        <w:rPr>
          <w:rFonts w:ascii="仿宋_GB2312" w:hAnsi="仿宋_GB2312" w:eastAsia="仿宋_GB2312"/>
          <w:sz w:val="32"/>
        </w:rPr>
        <w:t>科、儿科、医学检验科、医学影像科、X线诊断专业、超声诊断专业、心电图诊断专业、中医内科、针灸科、推拿科、康复医学科。</w:t>
      </w:r>
    </w:p>
    <w:p w14:paraId="5C37FB49">
      <w:r>
        <w:br w:type="page"/>
      </w:r>
    </w:p>
    <w:p w14:paraId="20A0FECE">
      <w:pPr>
        <w:spacing w:line="240" w:lineRule="auto"/>
        <w:jc w:val="center"/>
        <w:outlineLvl w:val="1"/>
      </w:pPr>
      <w:r>
        <w:rPr>
          <w:rFonts w:ascii="黑体" w:hAnsi="黑体" w:eastAsia="黑体"/>
          <w:sz w:val="32"/>
        </w:rPr>
        <w:t>第二部分 部门决算情况说明</w:t>
      </w:r>
    </w:p>
    <w:p w14:paraId="3F26DD57">
      <w:pPr>
        <w:spacing w:line="640" w:lineRule="exact"/>
        <w:ind w:firstLine="640"/>
        <w:jc w:val="both"/>
        <w:outlineLvl w:val="2"/>
      </w:pPr>
      <w:r>
        <w:rPr>
          <w:rFonts w:ascii="黑体" w:hAnsi="黑体" w:eastAsia="黑体"/>
          <w:sz w:val="32"/>
        </w:rPr>
        <w:t>一、收入支出决算总体情况说明</w:t>
      </w:r>
    </w:p>
    <w:p w14:paraId="3253AD89">
      <w:pPr>
        <w:spacing w:line="580" w:lineRule="exact"/>
        <w:ind w:firstLine="640"/>
        <w:jc w:val="both"/>
      </w:pPr>
      <w:r>
        <w:rPr>
          <w:rFonts w:ascii="仿宋_GB2312" w:hAnsi="仿宋_GB2312" w:eastAsia="仿宋_GB2312"/>
          <w:b/>
          <w:sz w:val="32"/>
        </w:rPr>
        <w:t>2024年度收入总计1,179.58万元，</w:t>
      </w:r>
      <w:r>
        <w:rPr>
          <w:rFonts w:ascii="仿宋_GB2312" w:hAnsi="仿宋_GB2312" w:eastAsia="仿宋_GB2312"/>
          <w:b w:val="0"/>
          <w:sz w:val="32"/>
        </w:rPr>
        <w:t>其中：本年收入合计1,110.70万元，使用非财政拨款结余（含专用结余）68.88万元，年初结转和结余0.00万元。</w:t>
      </w:r>
    </w:p>
    <w:p w14:paraId="25C89478">
      <w:pPr>
        <w:spacing w:line="580" w:lineRule="exact"/>
        <w:ind w:firstLine="640"/>
        <w:jc w:val="both"/>
        <w:rPr>
          <w:spacing w:val="-6"/>
          <w:sz w:val="32"/>
        </w:rPr>
      </w:pPr>
      <w:r>
        <w:rPr>
          <w:rFonts w:ascii="仿宋_GB2312" w:hAnsi="仿宋_GB2312" w:eastAsia="仿宋_GB2312"/>
          <w:b/>
          <w:spacing w:val="-6"/>
          <w:sz w:val="32"/>
        </w:rPr>
        <w:t>2024年度支出总计1,179.58万元，</w:t>
      </w:r>
      <w:r>
        <w:rPr>
          <w:rFonts w:ascii="仿宋_GB2312" w:hAnsi="仿宋_GB2312" w:eastAsia="仿宋_GB2312"/>
          <w:b w:val="0"/>
          <w:spacing w:val="-6"/>
          <w:sz w:val="32"/>
        </w:rPr>
        <w:t>其中：本年支出合计1,179.58万元，结余分配0.00万元，年末结转和结余0.00万元。</w:t>
      </w:r>
    </w:p>
    <w:p w14:paraId="3E85CD61">
      <w:pPr>
        <w:spacing w:line="580" w:lineRule="exact"/>
        <w:ind w:firstLine="640"/>
        <w:jc w:val="both"/>
      </w:pPr>
      <w:r>
        <w:rPr>
          <w:rFonts w:ascii="仿宋_GB2312" w:hAnsi="仿宋_GB2312" w:eastAsia="仿宋_GB2312"/>
          <w:b w:val="0"/>
          <w:sz w:val="32"/>
        </w:rPr>
        <w:t>收入支出总体与上年相比，增加262.70万元，增长28.65%，主要原因是：本年在职人员工资调增，社保、公积金基数调增，人员经费增加。本年基本药物补助项目资金、基本公共卫生服务资金较上年增加；本年</w:t>
      </w:r>
      <w:r>
        <w:rPr>
          <w:rFonts w:hint="eastAsia" w:ascii="仿宋_GB2312" w:hAnsi="仿宋_GB2312" w:eastAsia="仿宋_GB2312"/>
          <w:b w:val="0"/>
          <w:sz w:val="32"/>
          <w:lang w:val="en-US" w:eastAsia="zh-CN"/>
        </w:rPr>
        <w:t>就诊人数增加，</w:t>
      </w:r>
      <w:r>
        <w:rPr>
          <w:rFonts w:ascii="仿宋_GB2312" w:hAnsi="仿宋_GB2312" w:eastAsia="仿宋_GB2312"/>
          <w:b w:val="0"/>
          <w:sz w:val="32"/>
        </w:rPr>
        <w:t>事业收入较上年增加。</w:t>
      </w:r>
    </w:p>
    <w:p w14:paraId="010F9C0B">
      <w:pPr>
        <w:spacing w:line="640" w:lineRule="exact"/>
        <w:ind w:firstLine="640"/>
        <w:jc w:val="both"/>
        <w:outlineLvl w:val="2"/>
      </w:pPr>
      <w:r>
        <w:rPr>
          <w:rFonts w:ascii="黑体" w:hAnsi="黑体" w:eastAsia="黑体"/>
          <w:sz w:val="32"/>
        </w:rPr>
        <w:t>二、收入决算情况说明</w:t>
      </w:r>
    </w:p>
    <w:p w14:paraId="1AEA3CCD">
      <w:pPr>
        <w:spacing w:line="580" w:lineRule="exact"/>
        <w:ind w:firstLine="640"/>
        <w:jc w:val="both"/>
      </w:pPr>
      <w:r>
        <w:rPr>
          <w:rFonts w:ascii="仿宋_GB2312" w:hAnsi="仿宋_GB2312" w:eastAsia="仿宋_GB2312"/>
          <w:b/>
          <w:sz w:val="32"/>
        </w:rPr>
        <w:t>本年收入1,110.70万元，</w:t>
      </w:r>
      <w:r>
        <w:rPr>
          <w:rFonts w:ascii="仿宋_GB2312" w:hAnsi="仿宋_GB2312" w:eastAsia="仿宋_GB2312"/>
          <w:b w:val="0"/>
          <w:sz w:val="32"/>
        </w:rPr>
        <w:t>其中：财政拨款收入680.83万元，占61.30%；上级补助收入0.00万元，占0.00%；事业收入419.13万元，占37.74%；经营收入0.00万元，占0.00%；附属单位上缴收入0.00万元，占0.00%；其他收入10.74万元，占0.97%。</w:t>
      </w:r>
    </w:p>
    <w:p w14:paraId="3DD846D3">
      <w:pPr>
        <w:spacing w:line="640" w:lineRule="exact"/>
        <w:ind w:firstLine="640"/>
        <w:jc w:val="both"/>
        <w:outlineLvl w:val="2"/>
      </w:pPr>
      <w:r>
        <w:rPr>
          <w:rFonts w:ascii="黑体" w:hAnsi="黑体" w:eastAsia="黑体"/>
          <w:sz w:val="32"/>
        </w:rPr>
        <w:t>三、支出决算情况说明</w:t>
      </w:r>
    </w:p>
    <w:p w14:paraId="3DD6D05B">
      <w:pPr>
        <w:spacing w:line="580" w:lineRule="exact"/>
        <w:ind w:firstLine="640"/>
        <w:jc w:val="both"/>
      </w:pPr>
      <w:r>
        <w:rPr>
          <w:rFonts w:ascii="仿宋_GB2312" w:hAnsi="仿宋_GB2312" w:eastAsia="仿宋_GB2312"/>
          <w:b/>
          <w:sz w:val="32"/>
        </w:rPr>
        <w:t>本年支出1,179.58万元，</w:t>
      </w:r>
      <w:r>
        <w:rPr>
          <w:rFonts w:ascii="仿宋_GB2312" w:hAnsi="仿宋_GB2312" w:eastAsia="仿宋_GB2312"/>
          <w:b w:val="0"/>
          <w:sz w:val="32"/>
        </w:rPr>
        <w:t>其中：基本支出943.53万元，占79.99%；项目支出236.05万元，占20.01%；上缴上级支出0.00万元，占0.00%；经营支出0.00万元，占0.00%；对附属单位补助支出0.00万元，占0.00%。</w:t>
      </w:r>
    </w:p>
    <w:p w14:paraId="6DB73213">
      <w:pPr>
        <w:spacing w:line="640" w:lineRule="exact"/>
        <w:ind w:firstLine="640"/>
        <w:jc w:val="both"/>
        <w:outlineLvl w:val="2"/>
      </w:pPr>
      <w:r>
        <w:rPr>
          <w:rFonts w:ascii="黑体" w:hAnsi="黑体" w:eastAsia="黑体"/>
          <w:sz w:val="32"/>
        </w:rPr>
        <w:t>四、财政拨款收入支出决算总体情况说明</w:t>
      </w:r>
    </w:p>
    <w:p w14:paraId="1E51BFB8">
      <w:pPr>
        <w:spacing w:line="580" w:lineRule="exact"/>
        <w:ind w:firstLine="640"/>
        <w:jc w:val="both"/>
      </w:pPr>
      <w:r>
        <w:rPr>
          <w:rFonts w:ascii="仿宋_GB2312" w:hAnsi="仿宋_GB2312" w:eastAsia="仿宋_GB2312"/>
          <w:b/>
          <w:sz w:val="32"/>
        </w:rPr>
        <w:t>2024年度财政拨款收入总计680.83万元，</w:t>
      </w:r>
      <w:r>
        <w:rPr>
          <w:rFonts w:ascii="仿宋_GB2312" w:hAnsi="仿宋_GB2312" w:eastAsia="仿宋_GB2312"/>
          <w:b w:val="0"/>
          <w:sz w:val="32"/>
        </w:rPr>
        <w:t>其中：年初财政拨款结转和结余0.00万元，本年财政拨款收入680.83万元。</w:t>
      </w:r>
      <w:r>
        <w:rPr>
          <w:rFonts w:ascii="仿宋_GB2312" w:hAnsi="仿宋_GB2312" w:eastAsia="仿宋_GB2312"/>
          <w:b/>
          <w:sz w:val="32"/>
        </w:rPr>
        <w:t>财政拨款支出总计680.83万元，</w:t>
      </w:r>
      <w:r>
        <w:rPr>
          <w:rFonts w:ascii="仿宋_GB2312" w:hAnsi="仿宋_GB2312" w:eastAsia="仿宋_GB2312"/>
          <w:b w:val="0"/>
          <w:sz w:val="32"/>
        </w:rPr>
        <w:t>其中：年末财政拨款结转和结余0.00万元，本年财政拨款支出680.83万元。</w:t>
      </w:r>
    </w:p>
    <w:p w14:paraId="667164B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增加83.04万元，增长13.89%，主要原因是：本年在职人员工资调增，社保、公积金基数调增，人员经费增加。本年基本药物补助项目资金、基本公共卫生服务资金较上年增加。</w:t>
      </w:r>
      <w:r>
        <w:rPr>
          <w:rFonts w:ascii="仿宋_GB2312" w:hAnsi="仿宋_GB2312" w:eastAsia="仿宋_GB2312"/>
          <w:b/>
          <w:sz w:val="32"/>
        </w:rPr>
        <w:t>与年初预算相比，</w:t>
      </w:r>
      <w:r>
        <w:rPr>
          <w:rFonts w:ascii="仿宋_GB2312" w:hAnsi="仿宋_GB2312" w:eastAsia="仿宋_GB2312"/>
          <w:b w:val="0"/>
          <w:sz w:val="32"/>
        </w:rPr>
        <w:t>年初预算数459.28万元，决算数680.83万元，预决算差异率48.24%，主要原因是：年中追加人员工资、社保、公积金基数调增部分资金，追加基本药物补助资金、基本公共卫生服务资金，导致预决算存在差异。</w:t>
      </w:r>
    </w:p>
    <w:p w14:paraId="2BEB0988">
      <w:pPr>
        <w:spacing w:line="640" w:lineRule="exact"/>
        <w:ind w:firstLine="640"/>
        <w:jc w:val="both"/>
        <w:outlineLvl w:val="2"/>
      </w:pPr>
      <w:r>
        <w:rPr>
          <w:rFonts w:ascii="黑体" w:hAnsi="黑体" w:eastAsia="黑体"/>
          <w:sz w:val="32"/>
        </w:rPr>
        <w:t>五、一般公共预算财政拨款支出决算情况说明</w:t>
      </w:r>
    </w:p>
    <w:p w14:paraId="12AA7C1A">
      <w:pPr>
        <w:spacing w:line="640" w:lineRule="exact"/>
        <w:ind w:firstLine="640"/>
        <w:jc w:val="both"/>
        <w:outlineLvl w:val="3"/>
      </w:pPr>
      <w:r>
        <w:rPr>
          <w:rFonts w:ascii="楷体_GB2312" w:hAnsi="楷体_GB2312" w:eastAsia="楷体_GB2312"/>
          <w:b/>
          <w:sz w:val="32"/>
        </w:rPr>
        <w:t>（一）一般公共预算财政拨款支出决算总体情况</w:t>
      </w:r>
    </w:p>
    <w:p w14:paraId="501862D7">
      <w:pPr>
        <w:spacing w:line="580" w:lineRule="exact"/>
        <w:ind w:firstLine="640"/>
        <w:jc w:val="both"/>
      </w:pPr>
      <w:r>
        <w:rPr>
          <w:rFonts w:ascii="仿宋_GB2312" w:hAnsi="仿宋_GB2312" w:eastAsia="仿宋_GB2312"/>
          <w:b/>
          <w:sz w:val="32"/>
        </w:rPr>
        <w:t>2024年度一般公共预算财政拨款支出680.23万元，</w:t>
      </w:r>
      <w:r>
        <w:rPr>
          <w:rFonts w:ascii="仿宋_GB2312" w:hAnsi="仿宋_GB2312" w:eastAsia="仿宋_GB2312"/>
          <w:b w:val="0"/>
          <w:sz w:val="32"/>
        </w:rPr>
        <w:t>占本年支出合计的57.67%。</w:t>
      </w:r>
      <w:r>
        <w:rPr>
          <w:rFonts w:ascii="仿宋_GB2312" w:hAnsi="仿宋_GB2312" w:eastAsia="仿宋_GB2312"/>
          <w:b/>
          <w:sz w:val="32"/>
        </w:rPr>
        <w:t>与上年相比，</w:t>
      </w:r>
      <w:r>
        <w:rPr>
          <w:rFonts w:ascii="仿宋_GB2312" w:hAnsi="仿宋_GB2312" w:eastAsia="仿宋_GB2312"/>
          <w:b w:val="0"/>
          <w:sz w:val="32"/>
        </w:rPr>
        <w:t>增加82.44万元，增长13.79%，主要原因是：本年在职人员工资调增，社保、公积金基数调增，人员经费增加。本年基本药物补助项目资金、基本公共卫生服务资金较上年增加。</w:t>
      </w:r>
      <w:r>
        <w:rPr>
          <w:rFonts w:ascii="仿宋_GB2312" w:hAnsi="仿宋_GB2312" w:eastAsia="仿宋_GB2312"/>
          <w:b/>
          <w:sz w:val="32"/>
        </w:rPr>
        <w:t>与年初预算相比,</w:t>
      </w:r>
      <w:r>
        <w:rPr>
          <w:rFonts w:ascii="仿宋_GB2312" w:hAnsi="仿宋_GB2312" w:eastAsia="仿宋_GB2312"/>
          <w:b w:val="0"/>
          <w:sz w:val="32"/>
        </w:rPr>
        <w:t>年初预算数459.28万元，决算数680.23万元，预决算差异率48.11%，主要原因是：年中追加人员工资、社保、公积金基数调增部分资金，追加基本药物补助资金、基本公共卫生服务资金，导致预决算存在差异。</w:t>
      </w:r>
    </w:p>
    <w:p w14:paraId="6A8832BE">
      <w:pPr>
        <w:spacing w:line="640" w:lineRule="exact"/>
        <w:ind w:firstLine="640"/>
        <w:jc w:val="both"/>
        <w:outlineLvl w:val="3"/>
      </w:pPr>
      <w:r>
        <w:rPr>
          <w:rFonts w:ascii="楷体_GB2312" w:hAnsi="楷体_GB2312" w:eastAsia="楷体_GB2312"/>
          <w:b/>
          <w:sz w:val="32"/>
        </w:rPr>
        <w:t>（二）一般公共预算财政拨款支出决算结构情况</w:t>
      </w:r>
    </w:p>
    <w:p w14:paraId="77C56BD3">
      <w:pPr>
        <w:spacing w:line="580" w:lineRule="exact"/>
        <w:ind w:firstLine="640"/>
        <w:jc w:val="both"/>
      </w:pPr>
      <w:r>
        <w:rPr>
          <w:rFonts w:ascii="仿宋_GB2312" w:hAnsi="仿宋_GB2312" w:eastAsia="仿宋_GB2312"/>
          <w:b w:val="0"/>
          <w:sz w:val="32"/>
        </w:rPr>
        <w:t>1.社会保障和就业支出(类)57.88万元,占8.51%。</w:t>
      </w:r>
    </w:p>
    <w:p w14:paraId="4D662DCA">
      <w:pPr>
        <w:spacing w:line="580" w:lineRule="exact"/>
        <w:ind w:firstLine="640"/>
        <w:jc w:val="both"/>
      </w:pPr>
      <w:r>
        <w:rPr>
          <w:rFonts w:ascii="仿宋_GB2312" w:hAnsi="仿宋_GB2312" w:eastAsia="仿宋_GB2312"/>
          <w:b w:val="0"/>
          <w:sz w:val="32"/>
        </w:rPr>
        <w:t>2.卫生健康支出(类)592.59万元,占87.12%。</w:t>
      </w:r>
    </w:p>
    <w:p w14:paraId="23283C2B">
      <w:pPr>
        <w:spacing w:line="580" w:lineRule="exact"/>
        <w:ind w:firstLine="640"/>
        <w:jc w:val="both"/>
      </w:pPr>
      <w:r>
        <w:rPr>
          <w:rFonts w:ascii="仿宋_GB2312" w:hAnsi="仿宋_GB2312" w:eastAsia="仿宋_GB2312"/>
          <w:b w:val="0"/>
          <w:sz w:val="32"/>
        </w:rPr>
        <w:t>3.住房保障支出(类)29.77万元,占4.38%。</w:t>
      </w:r>
    </w:p>
    <w:p w14:paraId="70A920A8">
      <w:pPr>
        <w:spacing w:line="640" w:lineRule="exact"/>
        <w:ind w:firstLine="640"/>
        <w:jc w:val="both"/>
        <w:outlineLvl w:val="3"/>
      </w:pPr>
      <w:r>
        <w:rPr>
          <w:rFonts w:ascii="楷体_GB2312" w:hAnsi="楷体_GB2312" w:eastAsia="楷体_GB2312"/>
          <w:b/>
          <w:sz w:val="32"/>
        </w:rPr>
        <w:t>（三）一般公共预算财政拨款支出决算具体情况</w:t>
      </w:r>
    </w:p>
    <w:p w14:paraId="78272E37">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1.社会保障和就业支出(类)行政事业单位养老支出(款)事业单位离退休(项):支出决算数为0.09万元，比上年决算增加0.09万元，增长100.00%,主要原因是：本年退休人员增加，退休费支出增加。</w:t>
      </w:r>
    </w:p>
    <w:p w14:paraId="4B6468F8">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38.52万元，比上年决算增加2.11万元，增长5.80%,主要原因是：本年在职人员工资基数调增，养老缴费基数上涨，相应支出增加。</w:t>
      </w:r>
    </w:p>
    <w:p w14:paraId="58160623">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19.26万元，比上年决算增加1.05万元，增长5.77%,主要原因是：本年新增退休人员职级较高，职业年金缴费支出增加。</w:t>
      </w:r>
    </w:p>
    <w:p w14:paraId="36AF37FF">
      <w:pPr>
        <w:spacing w:line="580" w:lineRule="exact"/>
        <w:ind w:firstLine="640"/>
        <w:jc w:val="both"/>
      </w:pPr>
      <w:r>
        <w:rPr>
          <w:rFonts w:ascii="仿宋_GB2312" w:hAnsi="仿宋_GB2312" w:eastAsia="仿宋_GB2312"/>
          <w:b w:val="0"/>
          <w:sz w:val="32"/>
        </w:rPr>
        <w:t>4.卫生健康支出(类)卫生健康管理事务(款)其他卫生健康管理事务支出(项):支出决算数为3.70万元，比上年决算增加0.12万元，增长3.35%,主要原因是：本年增加村医的自治区级补助工资。</w:t>
      </w:r>
    </w:p>
    <w:p w14:paraId="4E5665C1">
      <w:pPr>
        <w:spacing w:line="580" w:lineRule="exact"/>
        <w:ind w:firstLine="640"/>
        <w:jc w:val="both"/>
      </w:pPr>
      <w:r>
        <w:rPr>
          <w:rFonts w:ascii="仿宋_GB2312" w:hAnsi="仿宋_GB2312" w:eastAsia="仿宋_GB2312"/>
          <w:b w:val="0"/>
          <w:sz w:val="32"/>
        </w:rPr>
        <w:t>5.卫生健康支出(类)基层医疗卫生机构(款)乡镇卫生院(项):支出决算数为336.67万元，比上年决算增加2.30万元，增长0.69%,主要原因是：本年度药品款较上年有所增加。</w:t>
      </w:r>
    </w:p>
    <w:p w14:paraId="17F1625D">
      <w:pPr>
        <w:spacing w:line="580" w:lineRule="exact"/>
        <w:ind w:firstLine="640"/>
        <w:jc w:val="both"/>
      </w:pPr>
      <w:r>
        <w:rPr>
          <w:rFonts w:ascii="仿宋_GB2312" w:hAnsi="仿宋_GB2312" w:eastAsia="仿宋_GB2312"/>
          <w:b w:val="0"/>
          <w:sz w:val="32"/>
        </w:rPr>
        <w:t>6.卫生健康支出(类)基层医疗卫生机构(款)其他基层医疗卫生机构支出(项):支出决算数为78.14万元，比上年决算增加50.99万元，增长187.81%,主要原因是：本年基本药物补助项目资金较上年增加。</w:t>
      </w:r>
    </w:p>
    <w:p w14:paraId="64E5AA7E">
      <w:pPr>
        <w:spacing w:line="580" w:lineRule="exact"/>
        <w:ind w:firstLine="640"/>
        <w:jc w:val="both"/>
      </w:pPr>
      <w:r>
        <w:rPr>
          <w:rFonts w:ascii="仿宋_GB2312" w:hAnsi="仿宋_GB2312" w:eastAsia="仿宋_GB2312"/>
          <w:b w:val="0"/>
          <w:sz w:val="32"/>
        </w:rPr>
        <w:t>7.卫生健康支出(类)公共卫生(款)基本公共卫生服务(项):支出决算数为127.29万元，比上年决算增加28.44万元，增长28.77%,主要原因是：本年基本公共卫生补助资金较上年增加。</w:t>
      </w:r>
    </w:p>
    <w:p w14:paraId="1C09E9C1">
      <w:pPr>
        <w:spacing w:line="580" w:lineRule="exact"/>
        <w:ind w:firstLine="640"/>
        <w:jc w:val="both"/>
      </w:pPr>
      <w:r>
        <w:rPr>
          <w:rFonts w:ascii="仿宋_GB2312" w:hAnsi="仿宋_GB2312" w:eastAsia="仿宋_GB2312"/>
          <w:b w:val="0"/>
          <w:sz w:val="32"/>
        </w:rPr>
        <w:t>8.卫生健康支出(类)公共卫生(款)重大公共卫生服务(项):支出决算数为0.33万元，比上年决算减少1.49万元，下降81.87%,主要原因是：本年重大传染病防控经费较上年有所减少。</w:t>
      </w:r>
    </w:p>
    <w:p w14:paraId="1034E3D1">
      <w:pPr>
        <w:spacing w:line="580" w:lineRule="exact"/>
        <w:ind w:firstLine="640"/>
        <w:jc w:val="both"/>
      </w:pPr>
      <w:r>
        <w:rPr>
          <w:rFonts w:ascii="仿宋_GB2312" w:hAnsi="仿宋_GB2312" w:eastAsia="仿宋_GB2312"/>
          <w:b w:val="0"/>
          <w:sz w:val="32"/>
        </w:rPr>
        <w:t>9.卫生健康支出(类)公共卫生(款)突发公共卫生事件应急处理(项):支出决算数为0.00万元，比上年决算减少0.32万元，下降100.00%,主要原因是：</w:t>
      </w:r>
      <w:r>
        <w:rPr>
          <w:rFonts w:hint="eastAsia" w:ascii="仿宋_GB2312" w:hAnsi="仿宋_GB2312" w:eastAsia="仿宋_GB2312"/>
          <w:b w:val="0"/>
          <w:sz w:val="32"/>
          <w:lang w:eastAsia="zh-CN"/>
        </w:rPr>
        <w:t>本年</w:t>
      </w:r>
      <w:r>
        <w:rPr>
          <w:rFonts w:ascii="仿宋_GB2312" w:hAnsi="仿宋_GB2312" w:eastAsia="仿宋_GB2312"/>
          <w:b w:val="0"/>
          <w:sz w:val="32"/>
        </w:rPr>
        <w:t>减少自治医务人员临时性工作补助资金。</w:t>
      </w:r>
    </w:p>
    <w:p w14:paraId="5E8A88AD">
      <w:pPr>
        <w:spacing w:line="580" w:lineRule="exact"/>
        <w:ind w:firstLine="640"/>
        <w:jc w:val="both"/>
      </w:pPr>
      <w:r>
        <w:rPr>
          <w:rFonts w:ascii="仿宋_GB2312" w:hAnsi="仿宋_GB2312" w:eastAsia="仿宋_GB2312"/>
          <w:b w:val="0"/>
          <w:sz w:val="32"/>
        </w:rPr>
        <w:t>10.卫生健康支出(类)公共卫生(款)其他公共卫生支出(项):支出决算数为25.99万元，比上年决算增加7.24万元，增长38.61%,主要原因是：本年全民健康体检补助资金增加。</w:t>
      </w:r>
    </w:p>
    <w:p w14:paraId="4AFD4D91">
      <w:pPr>
        <w:spacing w:line="580" w:lineRule="exact"/>
        <w:ind w:firstLine="640"/>
        <w:jc w:val="both"/>
      </w:pPr>
      <w:r>
        <w:rPr>
          <w:rFonts w:ascii="仿宋_GB2312" w:hAnsi="仿宋_GB2312" w:eastAsia="仿宋_GB2312"/>
          <w:b w:val="0"/>
          <w:sz w:val="32"/>
        </w:rPr>
        <w:t>11.卫生健康支出(类)行政事业单位医疗(款)事业单位医疗(项):支出决算数为19.26万元，比上年决算增加1.05万元，增长5.77%,主要原因是：本年在职人员工资基数调增，医疗缴费基数上涨，相应支出增加。</w:t>
      </w:r>
    </w:p>
    <w:p w14:paraId="54B172B9">
      <w:pPr>
        <w:spacing w:line="580" w:lineRule="exact"/>
        <w:ind w:firstLine="640"/>
        <w:jc w:val="both"/>
      </w:pPr>
      <w:r>
        <w:rPr>
          <w:rFonts w:ascii="仿宋_GB2312" w:hAnsi="仿宋_GB2312" w:eastAsia="仿宋_GB2312"/>
          <w:b w:val="0"/>
          <w:sz w:val="32"/>
        </w:rPr>
        <w:t>12.卫生健康支出(类)行政事业单位医疗(款)公务员医疗补助(项):支出决算数为1.20万元，比上年决算增加0.06万元，增长5.26%,主要原因是：本年在职人员工资基数调增，医疗缴费基数上涨，相应支出增加。</w:t>
      </w:r>
    </w:p>
    <w:p w14:paraId="18570AFE">
      <w:pPr>
        <w:spacing w:line="580" w:lineRule="exact"/>
        <w:ind w:firstLine="640"/>
        <w:jc w:val="both"/>
      </w:pPr>
      <w:r>
        <w:rPr>
          <w:rFonts w:ascii="仿宋_GB2312" w:hAnsi="仿宋_GB2312" w:eastAsia="仿宋_GB2312"/>
          <w:b w:val="0"/>
          <w:sz w:val="32"/>
        </w:rPr>
        <w:t>13.节能环保支出(类)污染防治(款)大气(项):支出决算数为0.00万元，比上年决算减少10.80万元，下降100.00%,主要原因是：本年减少2023年中央大气污染防治资金[第二批]。</w:t>
      </w:r>
    </w:p>
    <w:p w14:paraId="483BDC81">
      <w:pPr>
        <w:spacing w:line="580" w:lineRule="exact"/>
        <w:ind w:firstLine="640"/>
        <w:jc w:val="both"/>
      </w:pPr>
      <w:r>
        <w:rPr>
          <w:rFonts w:ascii="仿宋_GB2312" w:hAnsi="仿宋_GB2312" w:eastAsia="仿宋_GB2312"/>
          <w:b w:val="0"/>
          <w:sz w:val="32"/>
        </w:rPr>
        <w:t>14.住房保障支出(类)住房改革支出(款)住房公积金(项):支出决算数为29.77万元，比上年决算增加1.59万元，增长5.64%,主要原因是：本年在职人员工资基数调增，公积金缴费基数上涨，相应支出增加。</w:t>
      </w:r>
    </w:p>
    <w:p w14:paraId="643E09B8">
      <w:pPr>
        <w:spacing w:line="640" w:lineRule="exact"/>
        <w:ind w:firstLine="640"/>
        <w:jc w:val="both"/>
        <w:outlineLvl w:val="2"/>
      </w:pPr>
      <w:r>
        <w:rPr>
          <w:rFonts w:ascii="黑体" w:hAnsi="黑体" w:eastAsia="黑体"/>
          <w:sz w:val="32"/>
        </w:rPr>
        <w:t>六、一般公共预算财政拨款基本支出决算情况说明</w:t>
      </w:r>
    </w:p>
    <w:p w14:paraId="6D7B1504">
      <w:pPr>
        <w:spacing w:line="580" w:lineRule="exact"/>
        <w:ind w:firstLine="640"/>
        <w:jc w:val="both"/>
      </w:pPr>
      <w:r>
        <w:rPr>
          <w:rFonts w:ascii="仿宋_GB2312" w:hAnsi="仿宋_GB2312" w:eastAsia="仿宋_GB2312"/>
          <w:b w:val="0"/>
          <w:sz w:val="32"/>
        </w:rPr>
        <w:t>2024年度一般公共预算财政拨款基本支出444.78万元，其中：</w:t>
      </w:r>
      <w:r>
        <w:rPr>
          <w:rFonts w:ascii="仿宋_GB2312" w:hAnsi="仿宋_GB2312" w:eastAsia="仿宋_GB2312"/>
          <w:b/>
          <w:sz w:val="32"/>
        </w:rPr>
        <w:t>人员经费421.26万元，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w:t>
      </w:r>
    </w:p>
    <w:p w14:paraId="3F687662">
      <w:pPr>
        <w:spacing w:line="580" w:lineRule="exact"/>
        <w:ind w:firstLine="640"/>
        <w:jc w:val="both"/>
      </w:pPr>
      <w:r>
        <w:rPr>
          <w:rFonts w:ascii="仿宋_GB2312" w:hAnsi="仿宋_GB2312" w:eastAsia="仿宋_GB2312"/>
          <w:b/>
          <w:sz w:val="32"/>
        </w:rPr>
        <w:t>公用经费23.52万元，</w:t>
      </w:r>
      <w:r>
        <w:rPr>
          <w:rFonts w:ascii="仿宋_GB2312" w:hAnsi="仿宋_GB2312" w:eastAsia="仿宋_GB2312"/>
          <w:b w:val="0"/>
          <w:sz w:val="32"/>
        </w:rPr>
        <w:t>包括：办公费、工会经费。</w:t>
      </w:r>
    </w:p>
    <w:p w14:paraId="6E4BFC64">
      <w:pPr>
        <w:spacing w:line="640" w:lineRule="exact"/>
        <w:ind w:firstLine="640"/>
        <w:jc w:val="both"/>
        <w:outlineLvl w:val="2"/>
      </w:pPr>
      <w:r>
        <w:rPr>
          <w:rFonts w:ascii="黑体" w:hAnsi="黑体" w:eastAsia="黑体"/>
          <w:sz w:val="32"/>
        </w:rPr>
        <w:t>七、政府性基金预算财政拨款收入支出决算情况说明</w:t>
      </w:r>
    </w:p>
    <w:p w14:paraId="462F1901">
      <w:pPr>
        <w:spacing w:line="580" w:lineRule="exact"/>
        <w:ind w:firstLine="640"/>
        <w:jc w:val="both"/>
      </w:pPr>
      <w:r>
        <w:rPr>
          <w:rFonts w:ascii="仿宋_GB2312" w:hAnsi="仿宋_GB2312" w:eastAsia="仿宋_GB2312"/>
          <w:b/>
          <w:sz w:val="32"/>
        </w:rPr>
        <w:t>2024年度政府性基金预算财政拨款收入总计0.60万元，</w:t>
      </w:r>
      <w:r>
        <w:rPr>
          <w:rFonts w:ascii="仿宋_GB2312" w:hAnsi="仿宋_GB2312" w:eastAsia="仿宋_GB2312"/>
          <w:b w:val="0"/>
          <w:sz w:val="32"/>
        </w:rPr>
        <w:t>其中：年初结转和结余0.00万元，本年收入0.60万元。</w:t>
      </w:r>
      <w:r>
        <w:rPr>
          <w:rFonts w:ascii="仿宋_GB2312" w:hAnsi="仿宋_GB2312" w:eastAsia="仿宋_GB2312"/>
          <w:b/>
          <w:sz w:val="32"/>
        </w:rPr>
        <w:t>政府性基金预算财政拨款支出总计0.60万元，</w:t>
      </w:r>
      <w:r>
        <w:rPr>
          <w:rFonts w:ascii="仿宋_GB2312" w:hAnsi="仿宋_GB2312" w:eastAsia="仿宋_GB2312"/>
          <w:b w:val="0"/>
          <w:sz w:val="32"/>
        </w:rPr>
        <w:t>其中：年末结转和结余0.00万元，本年支出0.60万元。</w:t>
      </w:r>
    </w:p>
    <w:p w14:paraId="116BB6FA">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增加0.60万元，增长100.00%，主要原因是：本年增加失能老人健康评估资金。</w:t>
      </w:r>
      <w:r>
        <w:rPr>
          <w:rFonts w:ascii="仿宋_GB2312" w:hAnsi="仿宋_GB2312" w:eastAsia="仿宋_GB2312"/>
          <w:b/>
          <w:sz w:val="32"/>
        </w:rPr>
        <w:t>与年初预算相比，</w:t>
      </w:r>
      <w:r>
        <w:rPr>
          <w:rFonts w:ascii="仿宋_GB2312" w:hAnsi="仿宋_GB2312" w:eastAsia="仿宋_GB2312"/>
          <w:b w:val="0"/>
          <w:sz w:val="32"/>
        </w:rPr>
        <w:t>年初预算数0.00万元，决算数0.60万元，预决算差异率100.00%，主要原因是：年中追加失能老人健康评估资金。</w:t>
      </w:r>
    </w:p>
    <w:p w14:paraId="2645FDE9">
      <w:pPr>
        <w:spacing w:line="580" w:lineRule="exact"/>
        <w:ind w:firstLine="640"/>
        <w:jc w:val="both"/>
      </w:pPr>
      <w:r>
        <w:rPr>
          <w:rFonts w:ascii="仿宋_GB2312" w:hAnsi="仿宋_GB2312" w:eastAsia="仿宋_GB2312"/>
          <w:b w:val="0"/>
          <w:sz w:val="32"/>
        </w:rPr>
        <w:t>政府性基金预算财政拨款支出0.60万元。</w:t>
      </w:r>
    </w:p>
    <w:p w14:paraId="4865A102">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1.其他支出(类)彩票公益金安排的支出(款)用于社会福利的彩票公益金支出(项):支出决算数为0.60万元，比上年决算增加0.60万元，增长100.00%,主要原因是：本年增加失能老人健康评估资金。</w:t>
      </w:r>
    </w:p>
    <w:p w14:paraId="6C806BB5">
      <w:pPr>
        <w:spacing w:line="640" w:lineRule="exact"/>
        <w:ind w:firstLine="640"/>
        <w:jc w:val="both"/>
        <w:outlineLvl w:val="2"/>
      </w:pPr>
      <w:r>
        <w:rPr>
          <w:rFonts w:ascii="黑体" w:hAnsi="黑体" w:eastAsia="黑体"/>
          <w:sz w:val="32"/>
        </w:rPr>
        <w:t>八、国有资本经营预算财政拨款收入支出决算情况说明</w:t>
      </w:r>
    </w:p>
    <w:p w14:paraId="62F6274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61C85A9">
      <w:pPr>
        <w:spacing w:line="640" w:lineRule="exact"/>
        <w:ind w:firstLine="640"/>
        <w:jc w:val="both"/>
        <w:outlineLvl w:val="2"/>
      </w:pPr>
      <w:r>
        <w:rPr>
          <w:rFonts w:ascii="黑体" w:hAnsi="黑体" w:eastAsia="黑体"/>
          <w:sz w:val="32"/>
        </w:rPr>
        <w:t>九、财政拨款“三公”经费支出决算情况说明</w:t>
      </w:r>
    </w:p>
    <w:p w14:paraId="1996CD25">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6D34711">
      <w:pPr>
        <w:spacing w:line="580" w:lineRule="exact"/>
        <w:ind w:firstLine="640"/>
        <w:jc w:val="both"/>
      </w:pPr>
      <w:r>
        <w:rPr>
          <w:rFonts w:ascii="仿宋_GB2312" w:hAnsi="仿宋_GB2312" w:eastAsia="仿宋_GB2312"/>
          <w:b/>
          <w:sz w:val="32"/>
        </w:rPr>
        <w:t>具体情况如下：</w:t>
      </w:r>
    </w:p>
    <w:p w14:paraId="0901C8D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6AB2053">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单位业务用车，车辆费用未使用财政拨款公务用车运行维护费支付，由事业收入保障。</w:t>
      </w:r>
    </w:p>
    <w:p w14:paraId="2330C79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160870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3B44A03">
      <w:pPr>
        <w:spacing w:line="640" w:lineRule="exact"/>
        <w:ind w:firstLine="640"/>
        <w:jc w:val="both"/>
        <w:outlineLvl w:val="2"/>
      </w:pPr>
      <w:r>
        <w:rPr>
          <w:rFonts w:ascii="黑体" w:hAnsi="黑体" w:eastAsia="黑体"/>
          <w:sz w:val="32"/>
        </w:rPr>
        <w:t>十、其他重要事项的情况说明</w:t>
      </w:r>
    </w:p>
    <w:p w14:paraId="0AC57207">
      <w:pPr>
        <w:spacing w:line="640" w:lineRule="exact"/>
        <w:ind w:firstLine="640"/>
        <w:jc w:val="both"/>
        <w:outlineLvl w:val="3"/>
      </w:pPr>
      <w:r>
        <w:rPr>
          <w:rFonts w:ascii="楷体_GB2312" w:hAnsi="楷体_GB2312" w:eastAsia="楷体_GB2312"/>
          <w:b/>
          <w:sz w:val="32"/>
        </w:rPr>
        <w:t>（一）机关运行经费及公用经费支出情况</w:t>
      </w:r>
    </w:p>
    <w:p w14:paraId="1DF1ED1C">
      <w:pPr>
        <w:spacing w:line="580" w:lineRule="exact"/>
        <w:ind w:firstLine="640"/>
        <w:jc w:val="both"/>
      </w:pPr>
      <w:r>
        <w:rPr>
          <w:rFonts w:ascii="仿宋_GB2312" w:hAnsi="仿宋_GB2312" w:eastAsia="仿宋_GB2312"/>
          <w:b w:val="0"/>
          <w:sz w:val="32"/>
        </w:rPr>
        <w:t>2024年度吉木萨尔县泉子街镇卫生院（事业单位）公用经费支出23.52万元，比上年增加4.28万元，增长22.25%，主要原因是：本年业务量增加，办公经费增加。</w:t>
      </w:r>
    </w:p>
    <w:p w14:paraId="4CDCAB8D">
      <w:pPr>
        <w:spacing w:line="640" w:lineRule="exact"/>
        <w:ind w:firstLine="640"/>
        <w:jc w:val="both"/>
        <w:outlineLvl w:val="3"/>
      </w:pPr>
      <w:r>
        <w:rPr>
          <w:rFonts w:ascii="楷体_GB2312" w:hAnsi="楷体_GB2312" w:eastAsia="楷体_GB2312"/>
          <w:b/>
          <w:sz w:val="32"/>
        </w:rPr>
        <w:t>（二）政府采购情况</w:t>
      </w:r>
    </w:p>
    <w:p w14:paraId="35756651">
      <w:pPr>
        <w:spacing w:line="580" w:lineRule="exact"/>
        <w:ind w:firstLine="640"/>
        <w:jc w:val="both"/>
      </w:pPr>
      <w:r>
        <w:rPr>
          <w:rFonts w:ascii="仿宋_GB2312" w:hAnsi="仿宋_GB2312" w:eastAsia="仿宋_GB2312"/>
          <w:b w:val="0"/>
          <w:sz w:val="32"/>
        </w:rPr>
        <w:t>2024年度政府采购支出总额3.82万元，其中：政府采购货物支出1.78万元、政府采购工程支出0.00万元、政府采购服务支出2.04万元。</w:t>
      </w:r>
    </w:p>
    <w:p w14:paraId="77F1ADA3">
      <w:pPr>
        <w:spacing w:line="580" w:lineRule="exact"/>
        <w:ind w:firstLine="640"/>
        <w:jc w:val="both"/>
      </w:pPr>
      <w:r>
        <w:rPr>
          <w:rFonts w:ascii="仿宋_GB2312" w:hAnsi="仿宋_GB2312" w:eastAsia="仿宋_GB2312"/>
          <w:b w:val="0"/>
          <w:sz w:val="32"/>
        </w:rPr>
        <w:t>授予中小企业合同金额3.82万元，占政府采购支出总额的100.00%，其中：授予小微企业合同金额1.89万元，占政府采购支出总额的49.48%。</w:t>
      </w:r>
    </w:p>
    <w:p w14:paraId="28CA258B">
      <w:pPr>
        <w:spacing w:line="640" w:lineRule="exact"/>
        <w:ind w:firstLine="640"/>
        <w:jc w:val="both"/>
        <w:outlineLvl w:val="3"/>
      </w:pPr>
      <w:r>
        <w:rPr>
          <w:rFonts w:ascii="楷体_GB2312" w:hAnsi="楷体_GB2312" w:eastAsia="楷体_GB2312"/>
          <w:b/>
          <w:sz w:val="32"/>
        </w:rPr>
        <w:t>（三）国有资产占用情况说明</w:t>
      </w:r>
    </w:p>
    <w:p w14:paraId="766198A6">
      <w:pPr>
        <w:spacing w:line="580" w:lineRule="exact"/>
        <w:ind w:firstLine="640"/>
        <w:jc w:val="both"/>
      </w:pPr>
      <w:r>
        <w:rPr>
          <w:rFonts w:ascii="仿宋_GB2312" w:hAnsi="仿宋_GB2312" w:eastAsia="仿宋_GB2312"/>
          <w:b w:val="0"/>
          <w:sz w:val="32"/>
        </w:rPr>
        <w:t>截至2024年12月31日，房屋976.76平方米，价值212.83万元。车辆1辆，价值14.60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14:paraId="1CF49B36">
      <w:pPr>
        <w:spacing w:line="640" w:lineRule="exact"/>
        <w:ind w:firstLine="640"/>
        <w:jc w:val="both"/>
        <w:outlineLvl w:val="2"/>
      </w:pPr>
      <w:r>
        <w:rPr>
          <w:rFonts w:ascii="黑体" w:hAnsi="黑体" w:eastAsia="黑体"/>
          <w:sz w:val="32"/>
        </w:rPr>
        <w:t>十一、预算绩效的情况说明</w:t>
      </w:r>
    </w:p>
    <w:p w14:paraId="025843A7">
      <w:pPr>
        <w:keepNext w:val="0"/>
        <w:keepLines w:val="0"/>
        <w:pageBreakBefore w:val="0"/>
        <w:widowControl w:val="0"/>
        <w:kinsoku/>
        <w:wordWrap/>
        <w:overflowPunct/>
        <w:topLinePunct w:val="0"/>
        <w:autoSpaceDE/>
        <w:autoSpaceDN/>
        <w:bidi w:val="0"/>
        <w:adjustRightInd/>
        <w:snapToGrid/>
        <w:spacing w:line="600" w:lineRule="exact"/>
        <w:ind w:firstLine="1472" w:firstLineChars="460"/>
        <w:textAlignment w:val="auto"/>
      </w:pPr>
      <w:r>
        <w:rPr>
          <w:rFonts w:ascii="仿宋_GB2312" w:hAnsi="仿宋_GB2312" w:eastAsia="仿宋_GB2312"/>
          <w:b w:val="0"/>
          <w:sz w:val="32"/>
        </w:rPr>
        <w:t>根据预算绩效管理要求，本单位2024年度预算绩效管理形成整体支出绩效自评表1个，全年预算总额1,179.58万元，实际执行总额1,179.58万元；预算绩效评价项目4个，全年预算数65.12万元，全年执行数65.12万元。预算绩效管理取得的成效：</w:t>
      </w:r>
      <w:r>
        <w:rPr>
          <w:rFonts w:hint="eastAsia" w:ascii="仿宋_GB2312" w:hAnsi="宋体" w:eastAsia="仿宋_GB2312" w:cs="宋体"/>
          <w:color w:val="auto"/>
          <w:kern w:val="0"/>
          <w:sz w:val="32"/>
          <w:szCs w:val="32"/>
          <w:lang w:val="en-US" w:eastAsia="zh-CN"/>
        </w:rPr>
        <w:t>一是本单位以绩效目标实现为导向，加强制度建设，提升预算执行质量，预算绩效管理取得一定成效。预算绩效管理取得成效，科学制定目标，促进绩效目标顺利实现。二是自落实预算绩效管理工作以来，本单位在项目资金的使用上都有了更加明确、更清晰地理解和认识。通过实施预算绩效管理，树立了绩效优先的管理理念，也很好地避免了在经费使用上出现违规行为的概率，提升了部门管理水平和资金使用效益，为全面实施绩效管理打下了坚实的基础</w:t>
      </w:r>
      <w:r>
        <w:rPr>
          <w:rFonts w:ascii="仿宋_GB2312" w:hAnsi="仿宋_GB2312" w:eastAsia="仿宋_GB2312"/>
          <w:b w:val="0"/>
          <w:sz w:val="32"/>
        </w:rPr>
        <w:t>。发现的问题及原因：</w:t>
      </w:r>
      <w:r>
        <w:rPr>
          <w:rFonts w:hint="eastAsia" w:ascii="仿宋_GB2312" w:hAnsi="宋体" w:eastAsia="仿宋_GB2312" w:cs="宋体"/>
          <w:color w:val="auto"/>
          <w:kern w:val="0"/>
          <w:sz w:val="32"/>
          <w:szCs w:val="32"/>
          <w:lang w:val="en-US" w:eastAsia="zh-CN"/>
        </w:rPr>
        <w:t>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w:t>
      </w:r>
      <w:r>
        <w:rPr>
          <w:rFonts w:ascii="仿宋_GB2312" w:hAnsi="仿宋_GB2312" w:eastAsia="仿宋_GB2312"/>
          <w:b w:val="0"/>
          <w:sz w:val="32"/>
        </w:rPr>
        <w:t>下一步改进措施：一是加强各科室及时对接项目实施，明确分工，协调专人负责该项工作。二是将进一步加强绩效管理工作人员的培训和学习工作。三是通过对每笔资金的精细化管理来保障资金使用的合</w:t>
      </w:r>
      <w:r>
        <w:rPr>
          <w:rFonts w:hint="eastAsia" w:ascii="仿宋_GB2312" w:hAnsi="仿宋_GB2312" w:eastAsia="仿宋_GB2312"/>
          <w:b w:val="0"/>
          <w:sz w:val="32"/>
          <w:lang w:eastAsia="zh-CN"/>
        </w:rPr>
        <w:t>规性</w:t>
      </w:r>
      <w:r>
        <w:rPr>
          <w:rFonts w:ascii="仿宋_GB2312" w:hAnsi="仿宋_GB2312" w:eastAsia="仿宋_GB2312"/>
          <w:b w:val="0"/>
          <w:sz w:val="32"/>
        </w:rPr>
        <w:t>、合法性，并据此分析各类资金支出产生的效益，使本单位的绩效监控工作上一个新台阶。具体附整体支出绩效自评表，项目支出绩效自评表。</w:t>
      </w:r>
    </w:p>
    <w:p w14:paraId="0ACBC79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76ADABA">
        <w:tblPrEx>
          <w:tblCellMar>
            <w:top w:w="0" w:type="dxa"/>
            <w:left w:w="108" w:type="dxa"/>
            <w:bottom w:w="0" w:type="dxa"/>
            <w:right w:w="108" w:type="dxa"/>
          </w:tblCellMar>
        </w:tblPrEx>
        <w:tc>
          <w:tcPr>
            <w:tcW w:w="8847" w:type="dxa"/>
            <w:gridSpan w:val="9"/>
            <w:vAlign w:val="center"/>
          </w:tcPr>
          <w:p w14:paraId="1909ADC1">
            <w:pPr>
              <w:jc w:val="center"/>
            </w:pPr>
            <w:r>
              <w:rPr>
                <w:rFonts w:ascii="宋体" w:hAnsi="宋体" w:eastAsia="宋体"/>
                <w:sz w:val="24"/>
              </w:rPr>
              <w:t>单位整体支出绩效自评表</w:t>
            </w:r>
          </w:p>
        </w:tc>
      </w:tr>
      <w:tr w14:paraId="09466954">
        <w:tblPrEx>
          <w:tblCellMar>
            <w:top w:w="0" w:type="dxa"/>
            <w:left w:w="108" w:type="dxa"/>
            <w:bottom w:w="0" w:type="dxa"/>
            <w:right w:w="108" w:type="dxa"/>
          </w:tblCellMar>
        </w:tblPrEx>
        <w:tc>
          <w:tcPr>
            <w:tcW w:w="8847" w:type="dxa"/>
            <w:gridSpan w:val="9"/>
            <w:vAlign w:val="center"/>
          </w:tcPr>
          <w:p w14:paraId="116AF700">
            <w:pPr>
              <w:jc w:val="center"/>
            </w:pPr>
            <w:r>
              <w:rPr>
                <w:rFonts w:ascii="宋体" w:hAnsi="宋体" w:eastAsia="宋体"/>
                <w:sz w:val="24"/>
              </w:rPr>
              <w:t>（2024年度）</w:t>
            </w:r>
          </w:p>
        </w:tc>
      </w:tr>
      <w:tr w14:paraId="4F90F2D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C703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7BF67E2">
            <w:pPr>
              <w:jc w:val="center"/>
            </w:pPr>
            <w:r>
              <w:rPr>
                <w:rFonts w:ascii="宋体" w:hAnsi="宋体" w:eastAsia="宋体"/>
                <w:sz w:val="16"/>
              </w:rPr>
              <w:t>吉木萨尔县泉子街镇卫生院</w:t>
            </w:r>
          </w:p>
        </w:tc>
      </w:tr>
      <w:tr w14:paraId="0824CFE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FB65A7">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5339F">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F178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E059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955B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C3FE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0F6C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D9047">
            <w:pPr>
              <w:jc w:val="center"/>
            </w:pPr>
            <w:r>
              <w:rPr>
                <w:rFonts w:ascii="宋体" w:hAnsi="宋体" w:eastAsia="宋体"/>
                <w:sz w:val="16"/>
              </w:rPr>
              <w:t>得分</w:t>
            </w:r>
          </w:p>
        </w:tc>
      </w:tr>
      <w:tr w14:paraId="5FCA9F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C420D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BB58D">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37A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20E83">
            <w:pPr>
              <w:jc w:val="center"/>
            </w:pPr>
            <w:r>
              <w:rPr>
                <w:rFonts w:ascii="宋体" w:hAnsi="宋体" w:eastAsia="宋体"/>
                <w:sz w:val="16"/>
              </w:rPr>
              <w:t>236.05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B23F6">
            <w:pPr>
              <w:jc w:val="center"/>
            </w:pPr>
            <w:r>
              <w:rPr>
                <w:rFonts w:ascii="宋体" w:hAnsi="宋体" w:eastAsia="宋体"/>
                <w:sz w:val="16"/>
              </w:rPr>
              <w:t>236.05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34C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5F2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62E10">
            <w:pPr>
              <w:jc w:val="center"/>
            </w:pPr>
            <w:r>
              <w:rPr>
                <w:rFonts w:ascii="宋体" w:hAnsi="宋体" w:eastAsia="宋体"/>
                <w:sz w:val="16"/>
              </w:rPr>
              <w:t>-</w:t>
            </w:r>
          </w:p>
        </w:tc>
      </w:tr>
      <w:tr w14:paraId="7790E8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8D9B7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6766B">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21372">
            <w:pPr>
              <w:jc w:val="center"/>
            </w:pPr>
            <w:r>
              <w:rPr>
                <w:rFonts w:ascii="宋体" w:hAnsi="宋体" w:eastAsia="宋体"/>
                <w:sz w:val="16"/>
              </w:rPr>
              <w:t>459.28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1B2B7">
            <w:pPr>
              <w:jc w:val="center"/>
            </w:pPr>
            <w:r>
              <w:rPr>
                <w:rFonts w:ascii="宋体" w:hAnsi="宋体" w:eastAsia="宋体"/>
                <w:sz w:val="16"/>
              </w:rPr>
              <w:t>943.53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5153A">
            <w:pPr>
              <w:jc w:val="center"/>
            </w:pPr>
            <w:r>
              <w:rPr>
                <w:rFonts w:ascii="宋体" w:hAnsi="宋体" w:eastAsia="宋体"/>
                <w:sz w:val="16"/>
              </w:rPr>
              <w:t>943.53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715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8CD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06553">
            <w:pPr>
              <w:jc w:val="center"/>
            </w:pPr>
            <w:r>
              <w:rPr>
                <w:rFonts w:ascii="宋体" w:hAnsi="宋体" w:eastAsia="宋体"/>
                <w:sz w:val="16"/>
              </w:rPr>
              <w:t>-</w:t>
            </w:r>
          </w:p>
        </w:tc>
      </w:tr>
      <w:tr w14:paraId="3831FE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1E5CC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E12CF">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D14B4">
            <w:pPr>
              <w:jc w:val="center"/>
            </w:pPr>
            <w:r>
              <w:rPr>
                <w:rFonts w:ascii="宋体" w:hAnsi="宋体" w:eastAsia="宋体"/>
                <w:sz w:val="16"/>
              </w:rPr>
              <w:t>220.00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78A0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0DDB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29E5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F0D0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56B66">
            <w:pPr>
              <w:jc w:val="center"/>
            </w:pPr>
            <w:r>
              <w:rPr>
                <w:rFonts w:ascii="宋体" w:hAnsi="宋体" w:eastAsia="宋体"/>
                <w:sz w:val="16"/>
              </w:rPr>
              <w:t>-</w:t>
            </w:r>
          </w:p>
        </w:tc>
      </w:tr>
      <w:tr w14:paraId="6CE590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707D0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BC889">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BC913">
            <w:pPr>
              <w:jc w:val="center"/>
            </w:pPr>
            <w:r>
              <w:rPr>
                <w:rFonts w:ascii="宋体" w:hAnsi="宋体" w:eastAsia="宋体"/>
                <w:sz w:val="16"/>
              </w:rPr>
              <w:t>679.28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6A24F">
            <w:pPr>
              <w:jc w:val="center"/>
            </w:pPr>
            <w:r>
              <w:rPr>
                <w:rFonts w:ascii="宋体" w:hAnsi="宋体" w:eastAsia="宋体"/>
                <w:sz w:val="16"/>
              </w:rPr>
              <w:t>1,179.58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A5342">
            <w:pPr>
              <w:jc w:val="center"/>
            </w:pPr>
            <w:r>
              <w:rPr>
                <w:rFonts w:ascii="宋体" w:hAnsi="宋体" w:eastAsia="宋体"/>
                <w:sz w:val="16"/>
              </w:rPr>
              <w:t>1,179.58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2D3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DDBF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C2DDB">
            <w:pPr>
              <w:jc w:val="center"/>
            </w:pPr>
            <w:r>
              <w:rPr>
                <w:rFonts w:ascii="宋体" w:hAnsi="宋体" w:eastAsia="宋体"/>
                <w:sz w:val="16"/>
              </w:rPr>
              <w:t>10</w:t>
            </w:r>
          </w:p>
        </w:tc>
      </w:tr>
      <w:tr w14:paraId="24A6A89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7B5DB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028F7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CCA4FD">
            <w:pPr>
              <w:jc w:val="center"/>
            </w:pPr>
            <w:r>
              <w:rPr>
                <w:rFonts w:ascii="宋体" w:hAnsi="宋体" w:eastAsia="宋体"/>
                <w:sz w:val="16"/>
              </w:rPr>
              <w:t>实际完成情况</w:t>
            </w:r>
          </w:p>
        </w:tc>
      </w:tr>
      <w:tr w14:paraId="757DED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89FDA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751B40">
            <w:pPr>
              <w:jc w:val="both"/>
            </w:pPr>
            <w:r>
              <w:rPr>
                <w:rFonts w:ascii="宋体" w:hAnsi="宋体" w:eastAsia="宋体"/>
                <w:sz w:val="16"/>
              </w:rPr>
              <w:t>保障吉木萨尔县泉子街镇卫生院在职职工20人、村医17人、临聘11人的人员工资津贴补贴，社会保障缴费，住房公积金等；公用经费保障卫生院的正常运行。其他资金主要是单位事业收入。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FED72E">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全年预算数为1179.58万元，全年执行数为1179.58万元，主要完成任务内容如下：一、党建工作方面。坚决扛起</w:t>
            </w:r>
            <w:r>
              <w:rPr>
                <w:rFonts w:hint="eastAsia" w:ascii="宋体" w:hAnsi="宋体"/>
                <w:sz w:val="16"/>
                <w:lang w:eastAsia="zh-CN"/>
              </w:rPr>
              <w:t>全面从严治党主体责任</w:t>
            </w:r>
            <w:r>
              <w:rPr>
                <w:rFonts w:ascii="宋体" w:hAnsi="宋体" w:eastAsia="宋体"/>
                <w:sz w:val="16"/>
              </w:rPr>
              <w:t>，开展廉政警示教育及廉政提醒谈话，按期完成医药领域</w:t>
            </w:r>
            <w:r>
              <w:rPr>
                <w:rFonts w:hint="eastAsia" w:ascii="宋体" w:hAnsi="宋体"/>
                <w:sz w:val="16"/>
                <w:lang w:eastAsia="zh-CN"/>
              </w:rPr>
              <w:t>腐败问题专项整治</w:t>
            </w:r>
            <w:r>
              <w:rPr>
                <w:rFonts w:ascii="宋体" w:hAnsi="宋体" w:eastAsia="宋体"/>
                <w:sz w:val="16"/>
              </w:rPr>
              <w:t>工作，积极发展党员壮大队伍。二、安全生产工作方面。成立以党支部书记为组长的安全生产领导小组，党</w:t>
            </w:r>
            <w:bookmarkStart w:id="0" w:name="_GoBack"/>
            <w:r>
              <w:rPr>
                <w:rFonts w:ascii="宋体" w:hAnsi="宋体" w:eastAsia="宋体"/>
                <w:sz w:val="16"/>
              </w:rPr>
              <w:t>支部书记</w:t>
            </w:r>
            <w:bookmarkEnd w:id="0"/>
            <w:r>
              <w:rPr>
                <w:rFonts w:ascii="宋体" w:hAnsi="宋体" w:eastAsia="宋体"/>
                <w:sz w:val="16"/>
              </w:rPr>
              <w:t>亲自分管安全生产工作，形成了党政同责、齐抓共管的局面。加强宣传和培训。三、业务工作开展情况方面。建立健全质量管理及考核机制，加强业务学习，强化技能训练，加强医德医风建设，提升我院医务人员整体素质，落实医院感染控制工作，基本公共卫生工作有序开展完成体检。为让老百姓“看得上病、看得起病、看得好病”，提升群众就医获得感、满意度，打通</w:t>
            </w:r>
            <w:r>
              <w:rPr>
                <w:rFonts w:hint="eastAsia" w:ascii="宋体" w:hAnsi="宋体"/>
                <w:sz w:val="16"/>
                <w:lang w:eastAsia="zh-CN"/>
              </w:rPr>
              <w:t>服务群众的“最后一公里”</w:t>
            </w:r>
            <w:r>
              <w:rPr>
                <w:rFonts w:ascii="宋体" w:hAnsi="宋体" w:eastAsia="宋体"/>
                <w:sz w:val="16"/>
              </w:rPr>
              <w:t>，2024年先后在团结路、文明路社区卫生服务站、红畦村、校场湖、马家槽子、百泉村卫生室开通医保结算服务，解决了职工门诊统筹共济的问题，满足了群众在家门口进行医保刷卡结算的期盼。</w:t>
            </w:r>
          </w:p>
        </w:tc>
      </w:tr>
      <w:tr w14:paraId="1AC1497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3940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0D2EC">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6748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C84AC">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77F7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DC31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A5CE6">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68192">
            <w:pPr>
              <w:jc w:val="center"/>
            </w:pPr>
            <w:r>
              <w:rPr>
                <w:rFonts w:ascii="宋体" w:hAnsi="宋体" w:eastAsia="宋体"/>
                <w:sz w:val="16"/>
              </w:rPr>
              <w:t>得分</w:t>
            </w:r>
          </w:p>
        </w:tc>
      </w:tr>
      <w:tr w14:paraId="7781248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88E1F">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FAFE0D">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5A4E8">
            <w:pPr>
              <w:jc w:val="center"/>
            </w:pPr>
            <w:r>
              <w:rPr>
                <w:rFonts w:ascii="宋体" w:hAnsi="宋体" w:eastAsia="宋体"/>
                <w:sz w:val="16"/>
              </w:rPr>
              <w:t>在编职工人数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086FB">
            <w:pPr>
              <w:jc w:val="center"/>
            </w:pPr>
            <w:r>
              <w:rPr>
                <w:rFonts w:ascii="宋体" w:hAnsi="宋体" w:eastAsia="宋体"/>
                <w:sz w:val="16"/>
              </w:rPr>
              <w:t>=24人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720FD">
            <w:pPr>
              <w:jc w:val="center"/>
            </w:pPr>
            <w:r>
              <w:rPr>
                <w:rFonts w:ascii="宋体" w:hAnsi="宋体" w:eastAsia="宋体"/>
                <w:sz w:val="16"/>
              </w:rPr>
              <w:t>2024年1月在编工资表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4DCA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028A5">
            <w:pPr>
              <w:jc w:val="center"/>
            </w:pPr>
            <w:r>
              <w:rPr>
                <w:rFonts w:ascii="宋体" w:hAnsi="宋体" w:eastAsia="宋体"/>
                <w:sz w:val="16"/>
              </w:rPr>
              <w:t>=23人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60C94">
            <w:pPr>
              <w:jc w:val="center"/>
            </w:pPr>
            <w:r>
              <w:rPr>
                <w:rFonts w:ascii="宋体" w:hAnsi="宋体" w:eastAsia="宋体"/>
                <w:sz w:val="16"/>
              </w:rPr>
              <w:t>19.17</w:t>
            </w:r>
          </w:p>
        </w:tc>
      </w:tr>
      <w:tr w14:paraId="086404E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91E3E">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FE30C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A22F8">
            <w:pPr>
              <w:jc w:val="center"/>
            </w:pPr>
            <w:r>
              <w:rPr>
                <w:rFonts w:ascii="宋体" w:hAnsi="宋体" w:eastAsia="宋体"/>
                <w:sz w:val="16"/>
              </w:rPr>
              <w:t>建立居民健康档</w:t>
            </w:r>
            <w:r>
              <w:rPr>
                <w:rFonts w:hint="eastAsia" w:ascii="宋体" w:hAnsi="宋体"/>
                <w:sz w:val="16"/>
                <w:lang w:val="en-US" w:eastAsia="zh-CN"/>
              </w:rPr>
              <w:t>案</w:t>
            </w:r>
            <w:r>
              <w:rPr>
                <w:rFonts w:ascii="宋体" w:hAnsi="宋体" w:eastAsia="宋体"/>
                <w:sz w:val="16"/>
              </w:rPr>
              <w:t>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8C793">
            <w:pPr>
              <w:jc w:val="center"/>
            </w:pPr>
            <w:r>
              <w:rPr>
                <w:rFonts w:ascii="宋体" w:hAnsi="宋体" w:eastAsia="宋体"/>
                <w:sz w:val="16"/>
              </w:rPr>
              <w:t>&gt;=82.03%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C915E">
            <w:pPr>
              <w:jc w:val="center"/>
            </w:pPr>
            <w:r>
              <w:rPr>
                <w:rFonts w:ascii="宋体" w:hAnsi="宋体" w:eastAsia="宋体"/>
                <w:sz w:val="16"/>
              </w:rPr>
              <w:t>泉子街镇卫生院2023年工作总结及2024年工作计划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7354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C6A9D">
            <w:pPr>
              <w:jc w:val="center"/>
            </w:pPr>
            <w:r>
              <w:rPr>
                <w:rFonts w:ascii="宋体" w:hAnsi="宋体" w:eastAsia="宋体"/>
                <w:sz w:val="16"/>
              </w:rPr>
              <w:t>=83.95%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1EEEB">
            <w:pPr>
              <w:jc w:val="center"/>
            </w:pPr>
            <w:r>
              <w:rPr>
                <w:rFonts w:ascii="宋体" w:hAnsi="宋体" w:eastAsia="宋体"/>
                <w:sz w:val="16"/>
              </w:rPr>
              <w:t>15</w:t>
            </w:r>
          </w:p>
        </w:tc>
      </w:tr>
      <w:tr w14:paraId="1EBE1DC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DEA38C">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48E51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38469">
            <w:pPr>
              <w:jc w:val="center"/>
            </w:pPr>
            <w:r>
              <w:rPr>
                <w:rFonts w:ascii="宋体" w:hAnsi="宋体" w:eastAsia="宋体"/>
                <w:sz w:val="16"/>
              </w:rPr>
              <w:t>重性精神病管理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8135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F6BE9">
            <w:pPr>
              <w:jc w:val="center"/>
            </w:pPr>
            <w:r>
              <w:rPr>
                <w:rFonts w:ascii="宋体" w:hAnsi="宋体" w:eastAsia="宋体"/>
                <w:sz w:val="16"/>
              </w:rPr>
              <w:t>泉子街镇卫生院2023年工作总结及2024年工作计划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A827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D23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3F8F0">
            <w:pPr>
              <w:jc w:val="center"/>
            </w:pPr>
            <w:r>
              <w:rPr>
                <w:rFonts w:ascii="宋体" w:hAnsi="宋体" w:eastAsia="宋体"/>
                <w:sz w:val="16"/>
              </w:rPr>
              <w:t>8</w:t>
            </w:r>
          </w:p>
        </w:tc>
      </w:tr>
      <w:tr w14:paraId="53E2A9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DABF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D6488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7B869">
            <w:pPr>
              <w:jc w:val="center"/>
            </w:pPr>
            <w:r>
              <w:rPr>
                <w:rFonts w:ascii="宋体" w:hAnsi="宋体" w:eastAsia="宋体"/>
                <w:sz w:val="16"/>
              </w:rPr>
              <w:t>家庭医生签约签约率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B931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523C9">
            <w:pPr>
              <w:jc w:val="center"/>
            </w:pPr>
            <w:r>
              <w:rPr>
                <w:rFonts w:ascii="宋体" w:hAnsi="宋体" w:eastAsia="宋体"/>
                <w:sz w:val="16"/>
              </w:rPr>
              <w:t>泉子街镇卫生院2023年工作总结及2024年工作计划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4936C">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6B0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34EE3">
            <w:pPr>
              <w:jc w:val="center"/>
            </w:pPr>
            <w:r>
              <w:rPr>
                <w:rFonts w:ascii="宋体" w:hAnsi="宋体" w:eastAsia="宋体"/>
                <w:sz w:val="16"/>
              </w:rPr>
              <w:t>12</w:t>
            </w:r>
          </w:p>
        </w:tc>
      </w:tr>
      <w:tr w14:paraId="0B22F6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CC62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7E78E">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21775">
            <w:pPr>
              <w:jc w:val="center"/>
            </w:pPr>
            <w:r>
              <w:rPr>
                <w:rFonts w:ascii="宋体" w:hAnsi="宋体" w:eastAsia="宋体"/>
                <w:sz w:val="16"/>
              </w:rPr>
              <w:t>结核病规范管理人数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94A31">
            <w:pPr>
              <w:jc w:val="center"/>
            </w:pPr>
            <w:r>
              <w:rPr>
                <w:rFonts w:ascii="宋体" w:hAnsi="宋体" w:eastAsia="宋体"/>
                <w:sz w:val="16"/>
              </w:rPr>
              <w: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7C480">
            <w:pPr>
              <w:jc w:val="center"/>
            </w:pPr>
            <w:r>
              <w:rPr>
                <w:rFonts w:ascii="宋体" w:hAnsi="宋体" w:eastAsia="宋体"/>
                <w:sz w:val="16"/>
              </w:rPr>
              <w:t>泉子街镇卫生院2023年工作总结及2024年工作计划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30744">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2DE23">
            <w:pPr>
              <w:jc w:val="center"/>
            </w:pPr>
            <w:r>
              <w:rPr>
                <w:rFonts w:ascii="宋体" w:hAnsi="宋体" w:eastAsia="宋体"/>
                <w:sz w:val="16"/>
              </w:rPr>
              <w:t>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C12E6">
            <w:pPr>
              <w:jc w:val="center"/>
            </w:pPr>
            <w:r>
              <w:rPr>
                <w:rFonts w:ascii="宋体" w:hAnsi="宋体" w:eastAsia="宋体"/>
                <w:sz w:val="16"/>
              </w:rPr>
              <w:t>9</w:t>
            </w:r>
          </w:p>
        </w:tc>
      </w:tr>
      <w:tr w14:paraId="5ABBA7E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E8F3D">
            <w:pPr>
              <w:jc w:val="center"/>
            </w:pPr>
            <w:r>
              <w:rPr>
                <w:rFonts w:ascii="宋体" w:hAnsi="宋体" w:eastAsia="宋体"/>
                <w:sz w:val="16"/>
              </w:rPr>
              <w:t>社会效益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1B9EF">
            <w:pPr>
              <w:jc w:val="center"/>
            </w:pPr>
            <w:r>
              <w:rPr>
                <w:rFonts w:ascii="宋体" w:hAnsi="宋体" w:eastAsia="宋体"/>
                <w:sz w:val="16"/>
              </w:rPr>
              <w:t>社会效益指标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BB701">
            <w:pPr>
              <w:jc w:val="center"/>
            </w:pPr>
            <w:r>
              <w:rPr>
                <w:rFonts w:ascii="宋体" w:hAnsi="宋体" w:eastAsia="宋体"/>
                <w:sz w:val="16"/>
              </w:rPr>
              <w:t>全民健康免费体检人数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3A645">
            <w:pPr>
              <w:jc w:val="center"/>
            </w:pPr>
            <w:r>
              <w:rPr>
                <w:rFonts w:ascii="宋体" w:hAnsi="宋体" w:eastAsia="宋体"/>
                <w:sz w:val="16"/>
              </w:rPr>
              <w:t>&gt;=4585人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F8007">
            <w:pPr>
              <w:jc w:val="center"/>
            </w:pPr>
            <w:r>
              <w:rPr>
                <w:rFonts w:ascii="宋体" w:hAnsi="宋体" w:eastAsia="宋体"/>
                <w:sz w:val="16"/>
              </w:rPr>
              <w:t>泉子街镇卫生院2023年工作总结及2024年工作计划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7C86C">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B89B3">
            <w:pPr>
              <w:jc w:val="center"/>
            </w:pPr>
            <w:r>
              <w:rPr>
                <w:rFonts w:ascii="宋体" w:hAnsi="宋体" w:eastAsia="宋体"/>
                <w:sz w:val="16"/>
              </w:rPr>
              <w:t>=4029人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A5440">
            <w:pPr>
              <w:jc w:val="center"/>
            </w:pPr>
            <w:r>
              <w:rPr>
                <w:rFonts w:ascii="宋体" w:hAnsi="宋体" w:eastAsia="宋体"/>
                <w:sz w:val="16"/>
              </w:rPr>
              <w:t>9.67</w:t>
            </w:r>
          </w:p>
        </w:tc>
      </w:tr>
      <w:tr w14:paraId="56DEF23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6CA81">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8F4F9">
            <w:pPr>
              <w:jc w:val="center"/>
            </w:pPr>
            <w:r>
              <w:rPr>
                <w:rFonts w:ascii="宋体" w:hAnsi="宋体" w:eastAsia="宋体"/>
                <w:sz w:val="16"/>
              </w:rPr>
              <w:t>满意度指标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17E14">
            <w:pPr>
              <w:jc w:val="center"/>
            </w:pPr>
            <w:r>
              <w:rPr>
                <w:rFonts w:ascii="宋体" w:hAnsi="宋体" w:eastAsia="宋体"/>
                <w:sz w:val="16"/>
              </w:rPr>
              <w:t>受益群体满意度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9A96A">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18FC2">
            <w:pPr>
              <w:jc w:val="center"/>
            </w:pPr>
            <w:r>
              <w:rPr>
                <w:rFonts w:ascii="宋体" w:hAnsi="宋体" w:eastAsia="宋体"/>
                <w:sz w:val="16"/>
              </w:rPr>
              <w:t>泉子街镇卫生院2023年工作总结及2024年工作计划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7E01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0D9FE">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C4BED">
            <w:pPr>
              <w:jc w:val="center"/>
            </w:pPr>
            <w:r>
              <w:rPr>
                <w:rFonts w:ascii="宋体" w:hAnsi="宋体" w:eastAsia="宋体"/>
                <w:sz w:val="16"/>
              </w:rPr>
              <w:t>15</w:t>
            </w:r>
          </w:p>
        </w:tc>
      </w:tr>
    </w:tbl>
    <w:p w14:paraId="6CC39AD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96"/>
        <w:gridCol w:w="632"/>
        <w:gridCol w:w="632"/>
        <w:gridCol w:w="632"/>
        <w:gridCol w:w="632"/>
        <w:gridCol w:w="632"/>
      </w:tblGrid>
      <w:tr w14:paraId="6F32B867">
        <w:tblPrEx>
          <w:tblCellMar>
            <w:top w:w="0" w:type="dxa"/>
            <w:left w:w="108" w:type="dxa"/>
            <w:bottom w:w="0" w:type="dxa"/>
            <w:right w:w="108" w:type="dxa"/>
          </w:tblCellMar>
        </w:tblPrEx>
        <w:tc>
          <w:tcPr>
            <w:tcW w:w="8848" w:type="dxa"/>
            <w:gridSpan w:val="14"/>
            <w:vAlign w:val="center"/>
          </w:tcPr>
          <w:p w14:paraId="7561FBD1">
            <w:pPr>
              <w:jc w:val="center"/>
            </w:pPr>
            <w:r>
              <w:rPr>
                <w:rFonts w:ascii="宋体" w:hAnsi="宋体" w:eastAsia="宋体"/>
                <w:sz w:val="24"/>
              </w:rPr>
              <w:t>项目支出绩效自评表</w:t>
            </w:r>
          </w:p>
        </w:tc>
      </w:tr>
      <w:tr w14:paraId="794C3F20">
        <w:tblPrEx>
          <w:tblCellMar>
            <w:top w:w="0" w:type="dxa"/>
            <w:left w:w="108" w:type="dxa"/>
            <w:bottom w:w="0" w:type="dxa"/>
            <w:right w:w="108" w:type="dxa"/>
          </w:tblCellMar>
        </w:tblPrEx>
        <w:tc>
          <w:tcPr>
            <w:tcW w:w="8848" w:type="dxa"/>
            <w:gridSpan w:val="14"/>
            <w:vAlign w:val="center"/>
          </w:tcPr>
          <w:p w14:paraId="344FF1C2">
            <w:pPr>
              <w:jc w:val="center"/>
            </w:pPr>
            <w:r>
              <w:rPr>
                <w:rFonts w:ascii="宋体" w:hAnsi="宋体" w:eastAsia="宋体"/>
                <w:sz w:val="24"/>
              </w:rPr>
              <w:t>(2024年度)</w:t>
            </w:r>
          </w:p>
        </w:tc>
      </w:tr>
      <w:tr w14:paraId="6F44FD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1D54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D2F64A">
            <w:pPr>
              <w:jc w:val="center"/>
            </w:pPr>
            <w:r>
              <w:rPr>
                <w:rFonts w:ascii="宋体" w:hAnsi="宋体" w:eastAsia="宋体"/>
                <w:sz w:val="16"/>
              </w:rPr>
              <w:t>2024年中央医疗服务与保障能力提升（医疗卫生机构能力建设）补助资金</w:t>
            </w:r>
          </w:p>
        </w:tc>
      </w:tr>
      <w:tr w14:paraId="745808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4EED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FBDEFB">
            <w:pPr>
              <w:jc w:val="center"/>
              <w:rPr>
                <w:rFonts w:hint="eastAsia" w:eastAsia="宋体"/>
                <w:lang w:eastAsia="zh-CN"/>
              </w:rPr>
            </w:pPr>
            <w:r>
              <w:rPr>
                <w:rFonts w:hint="eastAsia" w:ascii="宋体" w:hAnsi="宋体"/>
                <w:sz w:val="16"/>
                <w:lang w:eastAsia="zh-CN"/>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EABC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812411">
            <w:pPr>
              <w:jc w:val="center"/>
            </w:pPr>
            <w:r>
              <w:rPr>
                <w:rFonts w:ascii="宋体" w:hAnsi="宋体" w:eastAsia="宋体"/>
                <w:sz w:val="16"/>
              </w:rPr>
              <w:t>吉木萨尔县泉子街镇卫生院</w:t>
            </w:r>
          </w:p>
        </w:tc>
      </w:tr>
      <w:tr w14:paraId="5A4E50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B22D7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6A90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18B2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37AE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1232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4D25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007D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CAF70">
            <w:pPr>
              <w:jc w:val="center"/>
            </w:pPr>
            <w:r>
              <w:rPr>
                <w:rFonts w:ascii="宋体" w:hAnsi="宋体" w:eastAsia="宋体"/>
                <w:sz w:val="16"/>
              </w:rPr>
              <w:t>得分</w:t>
            </w:r>
          </w:p>
        </w:tc>
      </w:tr>
      <w:tr w14:paraId="05430E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89B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4E6F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37978">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0E66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F6F17">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4E3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11A8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D4517">
            <w:pPr>
              <w:jc w:val="center"/>
            </w:pPr>
            <w:r>
              <w:rPr>
                <w:rFonts w:ascii="宋体" w:hAnsi="宋体" w:eastAsia="宋体"/>
                <w:sz w:val="16"/>
              </w:rPr>
              <w:t>10.00</w:t>
            </w:r>
          </w:p>
        </w:tc>
      </w:tr>
      <w:tr w14:paraId="3B748A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D6C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D03B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BB96D">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AB15B">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330C2">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B0B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015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42E14">
            <w:pPr>
              <w:jc w:val="center"/>
            </w:pPr>
            <w:r>
              <w:rPr>
                <w:rFonts w:ascii="宋体" w:hAnsi="宋体" w:eastAsia="宋体"/>
                <w:sz w:val="16"/>
              </w:rPr>
              <w:t>—</w:t>
            </w:r>
          </w:p>
        </w:tc>
      </w:tr>
      <w:tr w14:paraId="68ECF2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53D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7A15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024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C2C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214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52B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7B6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A33D9">
            <w:pPr>
              <w:jc w:val="center"/>
            </w:pPr>
            <w:r>
              <w:rPr>
                <w:rFonts w:ascii="宋体" w:hAnsi="宋体" w:eastAsia="宋体"/>
                <w:sz w:val="16"/>
              </w:rPr>
              <w:t>—</w:t>
            </w:r>
          </w:p>
        </w:tc>
      </w:tr>
      <w:tr w14:paraId="4983C0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8A2C5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E89C2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07550D">
            <w:pPr>
              <w:jc w:val="center"/>
            </w:pPr>
            <w:r>
              <w:rPr>
                <w:rFonts w:ascii="宋体" w:hAnsi="宋体" w:eastAsia="宋体"/>
                <w:sz w:val="16"/>
              </w:rPr>
              <w:t>实际完成情况</w:t>
            </w:r>
          </w:p>
        </w:tc>
      </w:tr>
      <w:tr w14:paraId="6F99A0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909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5FE80B">
            <w:pPr>
              <w:jc w:val="both"/>
            </w:pPr>
            <w:r>
              <w:rPr>
                <w:rFonts w:ascii="宋体" w:hAnsi="宋体" w:eastAsia="宋体"/>
                <w:sz w:val="16"/>
              </w:rPr>
              <w:t>本项目主要实施内容为：为深入贯彻落实关于推进医疗卫生体系补短板、强弱项、促提升的目标，强化乡镇卫生院服务能力，方便基层群众就近取得基本医疗卫生服务，拨付医疗能力提升补助资金，该资金主要用于支持前期遴选出距离县城较远，服务人口较多，诊疗条件有待提升的乡镇卫生院配置医疗设备。包括CT\DR\彩超、全自动生化分析仪等。支持配备急救设备，包括除颤仪、心电监护仪、心肺复苏仪等。项目总投资为30万元。通过提升远程医疗能力，推动与上级医院开展远程会诊、远程检查、互联网复诊等项目。争取使受益对象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907C5D">
            <w:pPr>
              <w:jc w:val="both"/>
            </w:pPr>
            <w:r>
              <w:rPr>
                <w:rFonts w:hint="eastAsia" w:ascii="宋体" w:hAnsi="宋体"/>
                <w:sz w:val="16"/>
                <w:lang w:eastAsia="zh-CN"/>
              </w:rPr>
              <w:t>截至2024</w:t>
            </w:r>
            <w:r>
              <w:rPr>
                <w:rFonts w:ascii="宋体" w:hAnsi="宋体" w:eastAsia="宋体"/>
                <w:sz w:val="16"/>
              </w:rPr>
              <w:t>年12月31日，项目实际支出30万元，预算执行率为100%。贯彻落实关于推进医疗卫生体系补短板、强弱项、促提升的目标，强化乡镇卫生院服务能力，方便基层群众就近取得基本医疗卫生服务，拨付医疗能力提升补助资金，该资金主要用于支持前期遴选出距离县城较远，服务人口较多，诊疗条件有待提升的乡镇卫生院配置医疗设备。包括CT\DR\彩超、全自动生化分析仪等。支持配备急救设备，包括除颤仪、心电监护仪、心肺复苏仪等。通过提升远程医疗能力，推动与上级医院开展远程会诊、远程检查、互联网复诊等项目。受益对象满意度达到90%。</w:t>
            </w:r>
          </w:p>
        </w:tc>
      </w:tr>
      <w:tr w14:paraId="7F5DA4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C5BB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654A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4F88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F977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444B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5AB6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EA9D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F45D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C3BB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8664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DE0B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86A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05FB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B7FA2">
            <w:pPr>
              <w:jc w:val="center"/>
            </w:pPr>
            <w:r>
              <w:rPr>
                <w:rFonts w:ascii="宋体" w:hAnsi="宋体" w:eastAsia="宋体"/>
                <w:sz w:val="16"/>
              </w:rPr>
              <w:t>偏差原因分析及改进措施</w:t>
            </w:r>
          </w:p>
        </w:tc>
      </w:tr>
      <w:tr w14:paraId="20B1D8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891CA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8F7D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E08E7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99DEA">
            <w:pPr>
              <w:jc w:val="center"/>
            </w:pPr>
            <w:r>
              <w:rPr>
                <w:rFonts w:ascii="宋体" w:hAnsi="宋体" w:eastAsia="宋体"/>
                <w:sz w:val="16"/>
              </w:rPr>
              <w:t>中医馆装修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513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3D142">
            <w:pPr>
              <w:jc w:val="center"/>
            </w:pPr>
            <w:r>
              <w:rPr>
                <w:rFonts w:ascii="宋体" w:hAnsi="宋体" w:eastAsia="宋体"/>
                <w:sz w:val="16"/>
              </w:rPr>
              <w:t>&gt;=1间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A4038">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559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ED4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6C6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556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BB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C48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45F13">
            <w:pPr>
              <w:jc w:val="center"/>
            </w:pPr>
          </w:p>
        </w:tc>
      </w:tr>
      <w:tr w14:paraId="6ADB22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E5C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E2B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F58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5EEBF">
            <w:pPr>
              <w:jc w:val="center"/>
            </w:pPr>
            <w:r>
              <w:rPr>
                <w:rFonts w:ascii="宋体" w:hAnsi="宋体" w:eastAsia="宋体"/>
                <w:sz w:val="16"/>
              </w:rPr>
              <w:t>设施设备采购数（个）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A05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2C910">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05ADB">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ABF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2EA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841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7FD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9A4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59E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C5919">
            <w:pPr>
              <w:jc w:val="center"/>
            </w:pPr>
          </w:p>
        </w:tc>
      </w:tr>
      <w:tr w14:paraId="239C6B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DF4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B91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8D15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8836B">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66F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2BD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B21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7A4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A3F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DFF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8F2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92E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06E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D4F9E">
            <w:pPr>
              <w:jc w:val="center"/>
            </w:pPr>
          </w:p>
        </w:tc>
      </w:tr>
      <w:tr w14:paraId="36AB84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BCB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8EC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B0A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853AF">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A49D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9E2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9D8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81B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41C6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2F9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C9D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7A0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5E7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A5E97">
            <w:pPr>
              <w:jc w:val="center"/>
            </w:pPr>
          </w:p>
        </w:tc>
      </w:tr>
      <w:tr w14:paraId="092B3D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18B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552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CF73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41C4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D194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B3B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62F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584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CCF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D63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BC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943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DB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E7EF">
            <w:pPr>
              <w:jc w:val="center"/>
            </w:pPr>
          </w:p>
        </w:tc>
      </w:tr>
      <w:tr w14:paraId="008B42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CFC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DA62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F258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A513D">
            <w:pPr>
              <w:jc w:val="center"/>
            </w:pPr>
            <w:r>
              <w:rPr>
                <w:rFonts w:ascii="宋体" w:hAnsi="宋体" w:eastAsia="宋体"/>
                <w:sz w:val="16"/>
              </w:rPr>
              <w:t>资金支付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EAD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19014">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3AE2">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353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126C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1F3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79A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A86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D71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7AA9E">
            <w:pPr>
              <w:jc w:val="center"/>
            </w:pPr>
          </w:p>
        </w:tc>
      </w:tr>
      <w:tr w14:paraId="45628D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7C3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4D7C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34AD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0243">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76B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C32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DFE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38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200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8A9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DAA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DF6D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FC9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988A0">
            <w:pPr>
              <w:jc w:val="center"/>
            </w:pPr>
          </w:p>
        </w:tc>
      </w:tr>
      <w:tr w14:paraId="41F721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623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815A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6A1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33D9F">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E04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C486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8E33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BF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B79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345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34D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ABAC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47D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55CD2">
            <w:pPr>
              <w:jc w:val="center"/>
            </w:pPr>
          </w:p>
        </w:tc>
      </w:tr>
      <w:tr w14:paraId="069EBFB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9D2E6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B3B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2F7C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F4A5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14B4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E3D5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DB78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566F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157A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E19A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0F19B4"/>
        </w:tc>
      </w:tr>
    </w:tbl>
    <w:p w14:paraId="1313E7E0">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1"/>
        <w:gridCol w:w="626"/>
        <w:gridCol w:w="776"/>
        <w:gridCol w:w="696"/>
        <w:gridCol w:w="629"/>
        <w:gridCol w:w="696"/>
        <w:gridCol w:w="624"/>
        <w:gridCol w:w="624"/>
        <w:gridCol w:w="624"/>
        <w:gridCol w:w="625"/>
        <w:gridCol w:w="632"/>
      </w:tblGrid>
      <w:tr w14:paraId="47BA95F7">
        <w:tblPrEx>
          <w:tblCellMar>
            <w:top w:w="0" w:type="dxa"/>
            <w:left w:w="108" w:type="dxa"/>
            <w:bottom w:w="0" w:type="dxa"/>
            <w:right w:w="108" w:type="dxa"/>
          </w:tblCellMar>
        </w:tblPrEx>
        <w:tc>
          <w:tcPr>
            <w:tcW w:w="8848" w:type="dxa"/>
            <w:gridSpan w:val="14"/>
            <w:vAlign w:val="center"/>
          </w:tcPr>
          <w:p w14:paraId="30E9B927">
            <w:pPr>
              <w:jc w:val="center"/>
            </w:pPr>
            <w:r>
              <w:rPr>
                <w:rFonts w:ascii="宋体" w:hAnsi="宋体" w:eastAsia="宋体"/>
                <w:sz w:val="24"/>
              </w:rPr>
              <w:t>项目支出绩效自评表</w:t>
            </w:r>
          </w:p>
        </w:tc>
      </w:tr>
      <w:tr w14:paraId="23AE6A19">
        <w:tblPrEx>
          <w:tblCellMar>
            <w:top w:w="0" w:type="dxa"/>
            <w:left w:w="108" w:type="dxa"/>
            <w:bottom w:w="0" w:type="dxa"/>
            <w:right w:w="108" w:type="dxa"/>
          </w:tblCellMar>
        </w:tblPrEx>
        <w:tc>
          <w:tcPr>
            <w:tcW w:w="8848" w:type="dxa"/>
            <w:gridSpan w:val="14"/>
            <w:vAlign w:val="center"/>
          </w:tcPr>
          <w:p w14:paraId="1B3FC872">
            <w:pPr>
              <w:jc w:val="center"/>
            </w:pPr>
            <w:r>
              <w:rPr>
                <w:rFonts w:ascii="宋体" w:hAnsi="宋体" w:eastAsia="宋体"/>
                <w:sz w:val="24"/>
              </w:rPr>
              <w:t>(2024年度)</w:t>
            </w:r>
          </w:p>
        </w:tc>
      </w:tr>
      <w:tr w14:paraId="5CAD8C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0CEE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1FCD5B">
            <w:pPr>
              <w:jc w:val="center"/>
            </w:pPr>
            <w:r>
              <w:rPr>
                <w:rFonts w:ascii="宋体" w:hAnsi="宋体" w:eastAsia="宋体"/>
                <w:sz w:val="16"/>
              </w:rPr>
              <w:t>昌州财社</w:t>
            </w:r>
            <w:r>
              <w:rPr>
                <w:rFonts w:hint="eastAsia" w:ascii="宋体" w:hAnsi="宋体"/>
                <w:sz w:val="16"/>
                <w:lang w:eastAsia="zh-CN"/>
              </w:rPr>
              <w:t>〔2023〕80号</w:t>
            </w:r>
            <w:r>
              <w:rPr>
                <w:rFonts w:ascii="宋体" w:hAnsi="宋体" w:eastAsia="宋体"/>
                <w:sz w:val="16"/>
              </w:rPr>
              <w:t xml:space="preserve">  吉木萨尔县总医院2024年基本公共卫生项目资金（原基本公卫自治区资金）</w:t>
            </w:r>
          </w:p>
        </w:tc>
      </w:tr>
      <w:tr w14:paraId="09E198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F817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F32F78">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C139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0E798F">
            <w:pPr>
              <w:jc w:val="center"/>
            </w:pPr>
            <w:r>
              <w:rPr>
                <w:rFonts w:ascii="宋体" w:hAnsi="宋体" w:eastAsia="宋体"/>
                <w:sz w:val="16"/>
              </w:rPr>
              <w:t>吉木萨尔县泉子街镇卫生院</w:t>
            </w:r>
          </w:p>
        </w:tc>
      </w:tr>
      <w:tr w14:paraId="678BEC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79B89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5923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5B37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9C27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8970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EE03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DC68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8C99E">
            <w:pPr>
              <w:jc w:val="center"/>
            </w:pPr>
            <w:r>
              <w:rPr>
                <w:rFonts w:ascii="宋体" w:hAnsi="宋体" w:eastAsia="宋体"/>
                <w:sz w:val="16"/>
              </w:rPr>
              <w:t>得分</w:t>
            </w:r>
          </w:p>
        </w:tc>
      </w:tr>
      <w:tr w14:paraId="051934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54B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388E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38DBF">
            <w:pPr>
              <w:jc w:val="center"/>
            </w:pPr>
            <w:r>
              <w:rPr>
                <w:rFonts w:ascii="宋体" w:hAnsi="宋体" w:eastAsia="宋体"/>
                <w:sz w:val="16"/>
              </w:rPr>
              <w:t>15.87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AC1C4">
            <w:pPr>
              <w:jc w:val="center"/>
            </w:pPr>
            <w:r>
              <w:rPr>
                <w:rFonts w:ascii="宋体" w:hAnsi="宋体" w:eastAsia="宋体"/>
                <w:sz w:val="16"/>
              </w:rPr>
              <w:t>15.87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4B2EE">
            <w:pPr>
              <w:jc w:val="center"/>
            </w:pPr>
            <w:r>
              <w:rPr>
                <w:rFonts w:ascii="宋体" w:hAnsi="宋体" w:eastAsia="宋体"/>
                <w:sz w:val="16"/>
              </w:rPr>
              <w:t>15.87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120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0C0A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EDE99">
            <w:pPr>
              <w:jc w:val="center"/>
            </w:pPr>
            <w:r>
              <w:rPr>
                <w:rFonts w:ascii="宋体" w:hAnsi="宋体" w:eastAsia="宋体"/>
                <w:sz w:val="16"/>
              </w:rPr>
              <w:t>10.00</w:t>
            </w:r>
          </w:p>
        </w:tc>
      </w:tr>
      <w:tr w14:paraId="3FF6B7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4AC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77EA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7067B">
            <w:pPr>
              <w:jc w:val="center"/>
            </w:pPr>
            <w:r>
              <w:rPr>
                <w:rFonts w:ascii="宋体" w:hAnsi="宋体" w:eastAsia="宋体"/>
                <w:sz w:val="16"/>
              </w:rPr>
              <w:t>15.87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2C1C1">
            <w:pPr>
              <w:jc w:val="center"/>
            </w:pPr>
            <w:r>
              <w:rPr>
                <w:rFonts w:ascii="宋体" w:hAnsi="宋体" w:eastAsia="宋体"/>
                <w:sz w:val="16"/>
              </w:rPr>
              <w:t>15.87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F87A0">
            <w:pPr>
              <w:jc w:val="center"/>
            </w:pPr>
            <w:r>
              <w:rPr>
                <w:rFonts w:ascii="宋体" w:hAnsi="宋体" w:eastAsia="宋体"/>
                <w:sz w:val="16"/>
              </w:rPr>
              <w:t>15.87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428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283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8222B">
            <w:pPr>
              <w:jc w:val="center"/>
            </w:pPr>
            <w:r>
              <w:rPr>
                <w:rFonts w:ascii="宋体" w:hAnsi="宋体" w:eastAsia="宋体"/>
                <w:sz w:val="16"/>
              </w:rPr>
              <w:t>—</w:t>
            </w:r>
          </w:p>
        </w:tc>
      </w:tr>
      <w:tr w14:paraId="45F552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D35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0A2C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68F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FB8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8A5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44D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930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1038D">
            <w:pPr>
              <w:jc w:val="center"/>
            </w:pPr>
            <w:r>
              <w:rPr>
                <w:rFonts w:ascii="宋体" w:hAnsi="宋体" w:eastAsia="宋体"/>
                <w:sz w:val="16"/>
              </w:rPr>
              <w:t>—</w:t>
            </w:r>
          </w:p>
        </w:tc>
      </w:tr>
      <w:tr w14:paraId="28A9C7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42364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AB927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5B0E96">
            <w:pPr>
              <w:jc w:val="center"/>
            </w:pPr>
            <w:r>
              <w:rPr>
                <w:rFonts w:ascii="宋体" w:hAnsi="宋体" w:eastAsia="宋体"/>
                <w:sz w:val="16"/>
              </w:rPr>
              <w:t>实际完成情况</w:t>
            </w:r>
          </w:p>
        </w:tc>
      </w:tr>
      <w:tr w14:paraId="6F09AC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E06A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3AAE18">
            <w:pPr>
              <w:jc w:val="both"/>
            </w:pPr>
            <w:r>
              <w:rPr>
                <w:rFonts w:ascii="宋体" w:hAnsi="宋体" w:eastAsia="宋体"/>
                <w:sz w:val="16"/>
              </w:rPr>
              <w:t>本项目主要内容为：免费向城乡居民提供基本公共卫生服务。辖区内进行高血压患者管理人数达到800人以上：2型糖尿病患者管理人数达到220人以上；居家失能老年人服务人数达到220人以上；居民规范化电子健康档案覆盖率达到80%以上；高血压患者基层规范管理服务率达到98%以上，项目总投资为15.87万元。待项目完成后，不断缩小城乡居民公共卫生差距，不断提高基本公共卫生服务水平，争取使服务对象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419834">
            <w:pPr>
              <w:jc w:val="both"/>
            </w:pPr>
            <w:r>
              <w:rPr>
                <w:rFonts w:hint="eastAsia" w:ascii="宋体" w:hAnsi="宋体"/>
                <w:sz w:val="16"/>
                <w:lang w:eastAsia="zh-CN"/>
              </w:rPr>
              <w:t>截至</w:t>
            </w:r>
            <w:r>
              <w:rPr>
                <w:rFonts w:ascii="宋体" w:hAnsi="宋体" w:eastAsia="宋体"/>
                <w:sz w:val="16"/>
              </w:rPr>
              <w:t>2024年12月31日，项目实际支出15.87万元，预算执行率为100%。免费向城乡居民提供基本公共卫生服务。辖区内进行高血压患者管理人数达到800人：2型糖尿病患者管理人数达到220人；居家失能老年人服务人数达到220人；居民规范化电子健康档案覆盖率达到80%；高血压患者基层规范管理服务率达到98%，项目总投资为15.87万元。待项目完成后，不断缩小城乡居民公共卫生差距，不断提高基本公共卫生服务水平，争取使服务对象满意度达到90%。</w:t>
            </w:r>
          </w:p>
        </w:tc>
      </w:tr>
      <w:tr w14:paraId="51CC6C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DBF0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441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7034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6FE5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6899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78A3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EFC2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3B9B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1BCC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FDB6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5C60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E0CF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B249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9CC31">
            <w:pPr>
              <w:jc w:val="center"/>
            </w:pPr>
            <w:r>
              <w:rPr>
                <w:rFonts w:ascii="宋体" w:hAnsi="宋体" w:eastAsia="宋体"/>
                <w:sz w:val="16"/>
              </w:rPr>
              <w:t>偏差原因分析及改进措施</w:t>
            </w:r>
          </w:p>
        </w:tc>
      </w:tr>
      <w:tr w14:paraId="553629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6DF62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A180F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EB614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E1902">
            <w:pPr>
              <w:jc w:val="center"/>
            </w:pPr>
            <w:r>
              <w:rPr>
                <w:rFonts w:ascii="宋体" w:hAnsi="宋体" w:eastAsia="宋体"/>
                <w:sz w:val="16"/>
              </w:rPr>
              <w:t>高血压患者规范管理数（人次）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AEB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7481A">
            <w:pPr>
              <w:jc w:val="center"/>
            </w:pPr>
            <w:r>
              <w:rPr>
                <w:rFonts w:ascii="宋体" w:hAnsi="宋体" w:eastAsia="宋体"/>
                <w:sz w:val="16"/>
              </w:rPr>
              <w:t>&gt;=800人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4B7B3">
            <w:pPr>
              <w:jc w:val="center"/>
            </w:pPr>
            <w:r>
              <w:rPr>
                <w:rFonts w:ascii="宋体" w:hAnsi="宋体" w:eastAsia="宋体"/>
                <w:sz w:val="16"/>
              </w:rPr>
              <w:t>=800人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7A1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60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77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6C1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13F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735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848D9">
            <w:pPr>
              <w:jc w:val="center"/>
            </w:pPr>
          </w:p>
        </w:tc>
      </w:tr>
      <w:tr w14:paraId="69910B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709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59D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E25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381FC">
            <w:pPr>
              <w:jc w:val="center"/>
            </w:pPr>
            <w:r>
              <w:rPr>
                <w:rFonts w:ascii="宋体" w:hAnsi="宋体" w:eastAsia="宋体"/>
                <w:sz w:val="16"/>
              </w:rPr>
              <w:t>2型糖尿病患者规范管理数（人次）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BCA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C987B">
            <w:pPr>
              <w:jc w:val="center"/>
            </w:pPr>
            <w:r>
              <w:rPr>
                <w:rFonts w:ascii="宋体" w:hAnsi="宋体" w:eastAsia="宋体"/>
                <w:sz w:val="16"/>
              </w:rPr>
              <w:t>&gt;=220人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8A905">
            <w:pPr>
              <w:jc w:val="center"/>
            </w:pPr>
            <w:r>
              <w:rPr>
                <w:rFonts w:ascii="宋体" w:hAnsi="宋体" w:eastAsia="宋体"/>
                <w:sz w:val="16"/>
              </w:rPr>
              <w:t>=220人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86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6E4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752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525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D4F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EAB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D4AF3">
            <w:pPr>
              <w:jc w:val="center"/>
            </w:pPr>
          </w:p>
        </w:tc>
      </w:tr>
      <w:tr w14:paraId="0003DA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5D2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A5F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90B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750FC">
            <w:pPr>
              <w:jc w:val="center"/>
            </w:pPr>
            <w:r>
              <w:rPr>
                <w:rFonts w:ascii="宋体" w:hAnsi="宋体" w:eastAsia="宋体"/>
                <w:sz w:val="16"/>
              </w:rPr>
              <w:t>居家失能老年人服务人数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915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16BDB">
            <w:pPr>
              <w:jc w:val="center"/>
            </w:pPr>
            <w:r>
              <w:rPr>
                <w:rFonts w:ascii="宋体" w:hAnsi="宋体" w:eastAsia="宋体"/>
                <w:sz w:val="16"/>
              </w:rPr>
              <w:t>&gt;=220人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63D9D">
            <w:pPr>
              <w:jc w:val="center"/>
            </w:pPr>
            <w:r>
              <w:rPr>
                <w:rFonts w:ascii="宋体" w:hAnsi="宋体" w:eastAsia="宋体"/>
                <w:sz w:val="16"/>
              </w:rPr>
              <w:t>=220人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CB4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467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24B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49C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881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296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6092D">
            <w:pPr>
              <w:jc w:val="center"/>
            </w:pPr>
          </w:p>
        </w:tc>
      </w:tr>
      <w:tr w14:paraId="19D0C4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49D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E1D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3DCFA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FBE4F">
            <w:pPr>
              <w:jc w:val="center"/>
            </w:pPr>
            <w:r>
              <w:rPr>
                <w:rFonts w:ascii="宋体" w:hAnsi="宋体" w:eastAsia="宋体"/>
                <w:sz w:val="16"/>
              </w:rPr>
              <w:t>居民规范化电子健康档案覆盖率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387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5B5C6">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5E75D">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199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00A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DA2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257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5D4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523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7C390">
            <w:pPr>
              <w:jc w:val="center"/>
            </w:pPr>
          </w:p>
        </w:tc>
      </w:tr>
      <w:tr w14:paraId="4E6BC9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6CD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672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E02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3AE09">
            <w:pPr>
              <w:jc w:val="center"/>
            </w:pPr>
            <w:r>
              <w:rPr>
                <w:rFonts w:ascii="宋体" w:hAnsi="宋体" w:eastAsia="宋体"/>
                <w:sz w:val="16"/>
              </w:rPr>
              <w:t>高血压患者基层规范管理服务率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3F9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BDCD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9E8D4">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125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F56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2BA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9DA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DE0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A62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6639">
            <w:pPr>
              <w:jc w:val="center"/>
            </w:pPr>
          </w:p>
        </w:tc>
      </w:tr>
      <w:tr w14:paraId="2993D4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F4B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644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4A18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A7F5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D55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3B1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C03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514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10F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197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052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5F2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1EB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B83AF">
            <w:pPr>
              <w:jc w:val="center"/>
            </w:pPr>
          </w:p>
        </w:tc>
      </w:tr>
      <w:tr w14:paraId="5F9988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901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87341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8D00F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765A5">
            <w:pPr>
              <w:jc w:val="center"/>
            </w:pPr>
            <w:r>
              <w:rPr>
                <w:rFonts w:ascii="宋体" w:hAnsi="宋体" w:eastAsia="宋体"/>
                <w:sz w:val="16"/>
              </w:rPr>
              <w:t>基本公共卫生补助经费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542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E1A7">
            <w:pPr>
              <w:jc w:val="center"/>
            </w:pPr>
            <w:r>
              <w:rPr>
                <w:rFonts w:ascii="宋体" w:hAnsi="宋体" w:eastAsia="宋体"/>
                <w:sz w:val="16"/>
              </w:rPr>
              <w:t>&lt;=15.27万元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F666">
            <w:pPr>
              <w:jc w:val="center"/>
            </w:pPr>
            <w:r>
              <w:rPr>
                <w:rFonts w:ascii="宋体" w:hAnsi="宋体" w:eastAsia="宋体"/>
                <w:sz w:val="16"/>
              </w:rPr>
              <w:t>=15.72万元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131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BCD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32E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276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5F8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86F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CD99C">
            <w:pPr>
              <w:jc w:val="center"/>
            </w:pPr>
          </w:p>
        </w:tc>
      </w:tr>
      <w:tr w14:paraId="243720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462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818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93F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17406">
            <w:pPr>
              <w:jc w:val="center"/>
            </w:pPr>
            <w:r>
              <w:rPr>
                <w:rFonts w:ascii="宋体" w:hAnsi="宋体" w:eastAsia="宋体"/>
                <w:sz w:val="16"/>
              </w:rPr>
              <w:t>失能老人健康评估资金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A26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68514">
            <w:pPr>
              <w:jc w:val="center"/>
            </w:pPr>
            <w:r>
              <w:rPr>
                <w:rFonts w:ascii="宋体" w:hAnsi="宋体" w:eastAsia="宋体"/>
                <w:sz w:val="16"/>
              </w:rPr>
              <w:t>&lt;=0.60万元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D85FA">
            <w:pPr>
              <w:jc w:val="center"/>
            </w:pPr>
            <w:r>
              <w:rPr>
                <w:rFonts w:ascii="宋体" w:hAnsi="宋体" w:eastAsia="宋体"/>
                <w:sz w:val="16"/>
              </w:rPr>
              <w: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4F9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211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0C2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DA4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AC3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3D8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21261">
            <w:pPr>
              <w:jc w:val="center"/>
            </w:pPr>
          </w:p>
        </w:tc>
      </w:tr>
      <w:tr w14:paraId="28E47B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10B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8BE16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E05DD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EBE7">
            <w:pPr>
              <w:jc w:val="center"/>
            </w:pPr>
            <w:r>
              <w:rPr>
                <w:rFonts w:ascii="宋体" w:hAnsi="宋体" w:eastAsia="宋体"/>
                <w:sz w:val="16"/>
              </w:rPr>
              <w:t>城乡居民公共卫生差距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1C4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E786B">
            <w:pPr>
              <w:jc w:val="center"/>
            </w:pPr>
            <w:r>
              <w:rPr>
                <w:rFonts w:ascii="宋体" w:hAnsi="宋体" w:eastAsia="宋体"/>
                <w:sz w:val="16"/>
              </w:rPr>
              <w:t>不断缩小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9442C">
            <w:pPr>
              <w:jc w:val="center"/>
            </w:pPr>
            <w:r>
              <w:rPr>
                <w:rFonts w:ascii="宋体" w:hAnsi="宋体" w:eastAsia="宋体"/>
                <w:sz w:val="16"/>
              </w:rPr>
              <w:t>不断缩小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68A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2E4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AB0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EEE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2AB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B29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025B4">
            <w:pPr>
              <w:jc w:val="center"/>
            </w:pPr>
          </w:p>
        </w:tc>
      </w:tr>
      <w:tr w14:paraId="40B1EA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AA8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673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1F6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E74D4">
            <w:pPr>
              <w:jc w:val="center"/>
            </w:pPr>
            <w:r>
              <w:rPr>
                <w:rFonts w:ascii="宋体" w:hAnsi="宋体" w:eastAsia="宋体"/>
                <w:sz w:val="16"/>
              </w:rPr>
              <w:t>基本公共卫生服务水平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05F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A25DC">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0DB62">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2B7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445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9BC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76D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C09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198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B2893">
            <w:pPr>
              <w:jc w:val="center"/>
            </w:pPr>
          </w:p>
        </w:tc>
      </w:tr>
      <w:tr w14:paraId="77240C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BC4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3DF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17B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746C6">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D6C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B297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BBFF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1D6F9">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9DA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BB8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1AD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242B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BE2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2207D">
            <w:pPr>
              <w:jc w:val="center"/>
            </w:pPr>
            <w:r>
              <w:rPr>
                <w:rFonts w:ascii="宋体" w:hAnsi="宋体" w:eastAsia="宋体"/>
                <w:sz w:val="16"/>
              </w:rPr>
              <w:t>通过服务，使得受益对象满意度达到95%。</w:t>
            </w:r>
          </w:p>
        </w:tc>
      </w:tr>
      <w:tr w14:paraId="115971C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49CE2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444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296F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1CB8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21ED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F85F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8139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AACF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FF1B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1534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F15F2B"/>
        </w:tc>
      </w:tr>
    </w:tbl>
    <w:p w14:paraId="109525A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96"/>
        <w:gridCol w:w="632"/>
        <w:gridCol w:w="632"/>
        <w:gridCol w:w="696"/>
        <w:gridCol w:w="632"/>
        <w:gridCol w:w="632"/>
        <w:gridCol w:w="632"/>
        <w:gridCol w:w="632"/>
        <w:gridCol w:w="632"/>
      </w:tblGrid>
      <w:tr w14:paraId="35C74505">
        <w:tblPrEx>
          <w:tblCellMar>
            <w:top w:w="0" w:type="dxa"/>
            <w:left w:w="108" w:type="dxa"/>
            <w:bottom w:w="0" w:type="dxa"/>
            <w:right w:w="108" w:type="dxa"/>
          </w:tblCellMar>
        </w:tblPrEx>
        <w:tc>
          <w:tcPr>
            <w:tcW w:w="8848" w:type="dxa"/>
            <w:gridSpan w:val="14"/>
            <w:vAlign w:val="center"/>
          </w:tcPr>
          <w:p w14:paraId="39F58E81">
            <w:pPr>
              <w:jc w:val="center"/>
            </w:pPr>
            <w:r>
              <w:rPr>
                <w:rFonts w:ascii="宋体" w:hAnsi="宋体" w:eastAsia="宋体"/>
                <w:sz w:val="24"/>
              </w:rPr>
              <w:t>项目支出绩效自评表</w:t>
            </w:r>
          </w:p>
        </w:tc>
      </w:tr>
      <w:tr w14:paraId="23FA64D0">
        <w:tblPrEx>
          <w:tblCellMar>
            <w:top w:w="0" w:type="dxa"/>
            <w:left w:w="108" w:type="dxa"/>
            <w:bottom w:w="0" w:type="dxa"/>
            <w:right w:w="108" w:type="dxa"/>
          </w:tblCellMar>
        </w:tblPrEx>
        <w:tc>
          <w:tcPr>
            <w:tcW w:w="8848" w:type="dxa"/>
            <w:gridSpan w:val="14"/>
            <w:vAlign w:val="center"/>
          </w:tcPr>
          <w:p w14:paraId="687C62C6">
            <w:pPr>
              <w:jc w:val="center"/>
            </w:pPr>
            <w:r>
              <w:rPr>
                <w:rFonts w:ascii="宋体" w:hAnsi="宋体" w:eastAsia="宋体"/>
                <w:sz w:val="24"/>
              </w:rPr>
              <w:t>(2024年度)</w:t>
            </w:r>
          </w:p>
        </w:tc>
      </w:tr>
      <w:tr w14:paraId="123F64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7F56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5E3434">
            <w:pPr>
              <w:jc w:val="center"/>
            </w:pPr>
            <w:r>
              <w:rPr>
                <w:rFonts w:ascii="宋体" w:hAnsi="宋体" w:eastAsia="宋体"/>
                <w:sz w:val="16"/>
              </w:rPr>
              <w:t>昌州财社</w:t>
            </w:r>
            <w:r>
              <w:rPr>
                <w:rFonts w:hint="eastAsia" w:ascii="宋体" w:hAnsi="宋体"/>
                <w:sz w:val="16"/>
                <w:lang w:eastAsia="zh-CN"/>
              </w:rPr>
              <w:t>〔2023〕82号</w:t>
            </w:r>
            <w:r>
              <w:rPr>
                <w:rFonts w:ascii="宋体" w:hAnsi="宋体" w:eastAsia="宋体"/>
                <w:sz w:val="16"/>
              </w:rPr>
              <w:t xml:space="preserve">  2024年自治区医疗服务与保障能力提升（卫生健康人才培养）补助资金</w:t>
            </w:r>
          </w:p>
        </w:tc>
      </w:tr>
      <w:tr w14:paraId="78AA3C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3991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B1E4E6">
            <w:pPr>
              <w:jc w:val="center"/>
              <w:rPr>
                <w:rFonts w:hint="eastAsia" w:eastAsia="宋体"/>
                <w:lang w:eastAsia="zh-CN"/>
              </w:rPr>
            </w:pPr>
            <w:r>
              <w:rPr>
                <w:rFonts w:hint="eastAsia" w:ascii="宋体" w:hAnsi="宋体"/>
                <w:sz w:val="16"/>
                <w:lang w:eastAsia="zh-CN"/>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97C9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527019">
            <w:pPr>
              <w:jc w:val="center"/>
            </w:pPr>
            <w:r>
              <w:rPr>
                <w:rFonts w:ascii="宋体" w:hAnsi="宋体" w:eastAsia="宋体"/>
                <w:sz w:val="16"/>
              </w:rPr>
              <w:t>吉木萨尔县泉子街镇卫生院</w:t>
            </w:r>
          </w:p>
        </w:tc>
      </w:tr>
      <w:tr w14:paraId="3D3691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FD1D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AE4F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B9D5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8746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8997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E53F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FA4B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3949F">
            <w:pPr>
              <w:jc w:val="center"/>
            </w:pPr>
            <w:r>
              <w:rPr>
                <w:rFonts w:ascii="宋体" w:hAnsi="宋体" w:eastAsia="宋体"/>
                <w:sz w:val="16"/>
              </w:rPr>
              <w:t>得分</w:t>
            </w:r>
          </w:p>
        </w:tc>
      </w:tr>
      <w:tr w14:paraId="3D085D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A94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F04C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7426F">
            <w:pPr>
              <w:jc w:val="center"/>
            </w:pPr>
            <w:r>
              <w:rPr>
                <w:rFonts w:ascii="宋体" w:hAnsi="宋体" w:eastAsia="宋体"/>
                <w:sz w:val="16"/>
              </w:rPr>
              <w:t>4.03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7C504">
            <w:pPr>
              <w:jc w:val="center"/>
            </w:pPr>
            <w:r>
              <w:rPr>
                <w:rFonts w:ascii="宋体" w:hAnsi="宋体" w:eastAsia="宋体"/>
                <w:sz w:val="16"/>
              </w:rPr>
              <w:t>4.03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9E4B3">
            <w:pPr>
              <w:jc w:val="center"/>
            </w:pPr>
            <w:r>
              <w:rPr>
                <w:rFonts w:ascii="宋体" w:hAnsi="宋体" w:eastAsia="宋体"/>
                <w:sz w:val="16"/>
              </w:rPr>
              <w:t>4.03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451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B537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52F91">
            <w:pPr>
              <w:jc w:val="center"/>
            </w:pPr>
            <w:r>
              <w:rPr>
                <w:rFonts w:ascii="宋体" w:hAnsi="宋体" w:eastAsia="宋体"/>
                <w:sz w:val="16"/>
              </w:rPr>
              <w:t>10.00</w:t>
            </w:r>
          </w:p>
        </w:tc>
      </w:tr>
      <w:tr w14:paraId="3AD4F3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4C6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8C25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7334B">
            <w:pPr>
              <w:jc w:val="center"/>
            </w:pPr>
            <w:r>
              <w:rPr>
                <w:rFonts w:ascii="宋体" w:hAnsi="宋体" w:eastAsia="宋体"/>
                <w:sz w:val="16"/>
              </w:rPr>
              <w:t>4.03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AEFFA">
            <w:pPr>
              <w:jc w:val="center"/>
            </w:pPr>
            <w:r>
              <w:rPr>
                <w:rFonts w:ascii="宋体" w:hAnsi="宋体" w:eastAsia="宋体"/>
                <w:sz w:val="16"/>
              </w:rPr>
              <w:t>4.03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790FD">
            <w:pPr>
              <w:jc w:val="center"/>
            </w:pPr>
            <w:r>
              <w:rPr>
                <w:rFonts w:ascii="宋体" w:hAnsi="宋体" w:eastAsia="宋体"/>
                <w:sz w:val="16"/>
              </w:rPr>
              <w:t>4.03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53A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362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538E1">
            <w:pPr>
              <w:jc w:val="center"/>
            </w:pPr>
            <w:r>
              <w:rPr>
                <w:rFonts w:ascii="宋体" w:hAnsi="宋体" w:eastAsia="宋体"/>
                <w:sz w:val="16"/>
              </w:rPr>
              <w:t>—</w:t>
            </w:r>
          </w:p>
        </w:tc>
      </w:tr>
      <w:tr w14:paraId="3D1F4B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FE9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DF5D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5CE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A7F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5FE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E7E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F29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5B900">
            <w:pPr>
              <w:jc w:val="center"/>
            </w:pPr>
            <w:r>
              <w:rPr>
                <w:rFonts w:ascii="宋体" w:hAnsi="宋体" w:eastAsia="宋体"/>
                <w:sz w:val="16"/>
              </w:rPr>
              <w:t>—</w:t>
            </w:r>
          </w:p>
        </w:tc>
      </w:tr>
      <w:tr w14:paraId="70A94F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37830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96D1E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BCBA89">
            <w:pPr>
              <w:jc w:val="center"/>
            </w:pPr>
            <w:r>
              <w:rPr>
                <w:rFonts w:ascii="宋体" w:hAnsi="宋体" w:eastAsia="宋体"/>
                <w:sz w:val="16"/>
              </w:rPr>
              <w:t>实际完成情况</w:t>
            </w:r>
          </w:p>
        </w:tc>
      </w:tr>
      <w:tr w14:paraId="384B7B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2AB9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E8CCA6">
            <w:pPr>
              <w:jc w:val="both"/>
            </w:pPr>
            <w:r>
              <w:rPr>
                <w:rFonts w:ascii="宋体" w:hAnsi="宋体" w:eastAsia="宋体"/>
                <w:sz w:val="16"/>
              </w:rPr>
              <w:t>本项目主要实施内容为：用于支付泉子街镇卫生院助理医师工资发放。项目总投资为4.03万元，项目计划于2024年12月底完成。村医人数大于等于7人，护理人数大于等于1人，工资发放及时率等于100%，资金拨付及时率等于100%，村医工资小于等于4.03万元，乡村医生医疗能力提升有效提升，待项目实施完成，争取使村医满意度大于等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90374A">
            <w:pPr>
              <w:jc w:val="both"/>
            </w:pPr>
            <w:r>
              <w:rPr>
                <w:rFonts w:hint="eastAsia" w:ascii="宋体" w:hAnsi="宋体"/>
                <w:sz w:val="16"/>
                <w:lang w:eastAsia="zh-CN"/>
              </w:rPr>
              <w:t>截至</w:t>
            </w:r>
            <w:r>
              <w:rPr>
                <w:rFonts w:ascii="宋体" w:hAnsi="宋体" w:eastAsia="宋体"/>
                <w:sz w:val="16"/>
              </w:rPr>
              <w:t>2024年12月31日，项目实际支出4.03万元，预算执行率为100%，完成支付泉子街镇卫生院助理医师工资发放。保障村医人数7人，护理人数1人，工资发放及时，资金拨付及时，通过项目的实施，使得乡村医生医疗能力提升有效提升，使村医满意度达到95%。</w:t>
            </w:r>
          </w:p>
        </w:tc>
      </w:tr>
      <w:tr w14:paraId="5D4C9C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4C56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2E7D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03F6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9CF0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E22F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7EAD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B25C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84FC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A1F3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2BF0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63C8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86B9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BEA0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F4169">
            <w:pPr>
              <w:jc w:val="center"/>
            </w:pPr>
            <w:r>
              <w:rPr>
                <w:rFonts w:ascii="宋体" w:hAnsi="宋体" w:eastAsia="宋体"/>
                <w:sz w:val="16"/>
              </w:rPr>
              <w:t>偏差原因分析及改进措施</w:t>
            </w:r>
          </w:p>
        </w:tc>
      </w:tr>
      <w:tr w14:paraId="7B8F90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41BF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74EF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61FC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A85F7">
            <w:pPr>
              <w:jc w:val="center"/>
            </w:pPr>
            <w:r>
              <w:rPr>
                <w:rFonts w:ascii="宋体" w:hAnsi="宋体" w:eastAsia="宋体"/>
                <w:sz w:val="16"/>
              </w:rPr>
              <w:t>村医人数（人）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6A7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BEFD3">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C0FA7">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30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A85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C9C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6A5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34E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61F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D67F0">
            <w:pPr>
              <w:jc w:val="center"/>
            </w:pPr>
          </w:p>
        </w:tc>
      </w:tr>
      <w:tr w14:paraId="1EDECD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F10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F4F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A56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A0230">
            <w:pPr>
              <w:jc w:val="center"/>
            </w:pPr>
            <w:r>
              <w:rPr>
                <w:rFonts w:ascii="宋体" w:hAnsi="宋体" w:eastAsia="宋体"/>
                <w:sz w:val="16"/>
              </w:rPr>
              <w:t>护理人数（人）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012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019C6">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7F2F3">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1A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AF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199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6AF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973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27F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7C819">
            <w:pPr>
              <w:jc w:val="center"/>
            </w:pPr>
          </w:p>
        </w:tc>
      </w:tr>
      <w:tr w14:paraId="568198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4D9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589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0C52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C4590">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F74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22C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ACD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F27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BA4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FFB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6AF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2FF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B11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8A8B9">
            <w:pPr>
              <w:jc w:val="center"/>
            </w:pPr>
          </w:p>
        </w:tc>
      </w:tr>
      <w:tr w14:paraId="5D7CA9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14C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2A6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C994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DB1C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39C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F587C">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CA279">
            <w:pPr>
              <w:jc w:val="center"/>
            </w:pPr>
            <w:r>
              <w:rPr>
                <w:rFonts w:ascii="宋体" w:hAnsi="宋体" w:eastAsia="宋体"/>
                <w:sz w:val="16"/>
              </w:rPr>
              <w:tab/>
            </w: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1B9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E12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0B6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EB0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09F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35E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19FD6">
            <w:pPr>
              <w:jc w:val="center"/>
            </w:pPr>
          </w:p>
        </w:tc>
      </w:tr>
      <w:tr w14:paraId="5E2929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589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03B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DB2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9696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64F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CA5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C2B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06D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B37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457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A11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5E7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B2B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3E4D0">
            <w:pPr>
              <w:jc w:val="center"/>
            </w:pPr>
          </w:p>
        </w:tc>
      </w:tr>
      <w:tr w14:paraId="2A0864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1BC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C287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7B48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FDF6C">
            <w:pPr>
              <w:jc w:val="center"/>
            </w:pPr>
            <w:r>
              <w:rPr>
                <w:rFonts w:ascii="宋体" w:hAnsi="宋体" w:eastAsia="宋体"/>
                <w:sz w:val="16"/>
              </w:rPr>
              <w:t>自治区村医工资补助资金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4D88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09717">
            <w:pPr>
              <w:jc w:val="center"/>
            </w:pPr>
            <w:r>
              <w:rPr>
                <w:rFonts w:ascii="宋体" w:hAnsi="宋体" w:eastAsia="宋体"/>
                <w:sz w:val="16"/>
              </w:rPr>
              <w:t>&lt;=4.03万元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E07DA">
            <w:pPr>
              <w:jc w:val="center"/>
            </w:pPr>
            <w:r>
              <w:rPr>
                <w:rFonts w:ascii="宋体" w:hAnsi="宋体" w:eastAsia="宋体"/>
                <w:sz w:val="16"/>
              </w:rPr>
              <w:t>=4.03万元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9DA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DF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BC3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618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A59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5D9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06C5D">
            <w:pPr>
              <w:jc w:val="center"/>
            </w:pPr>
          </w:p>
        </w:tc>
      </w:tr>
      <w:tr w14:paraId="1BE35C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197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FC14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B532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3170B">
            <w:pPr>
              <w:jc w:val="center"/>
            </w:pPr>
            <w:r>
              <w:rPr>
                <w:rFonts w:ascii="宋体" w:hAnsi="宋体" w:eastAsia="宋体"/>
                <w:sz w:val="16"/>
              </w:rPr>
              <w:t>乡村医生医疗能力提升有效提升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D6F6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20037">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A2302">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01B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B6E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535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8C8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46E3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D1D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C25C6">
            <w:pPr>
              <w:jc w:val="center"/>
            </w:pPr>
          </w:p>
        </w:tc>
      </w:tr>
      <w:tr w14:paraId="62ED2E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BB4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B2E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488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FCC2">
            <w:pPr>
              <w:jc w:val="center"/>
            </w:pPr>
            <w:r>
              <w:rPr>
                <w:rFonts w:ascii="宋体" w:hAnsi="宋体" w:eastAsia="宋体"/>
                <w:sz w:val="16"/>
              </w:rPr>
              <w:t>村医满意度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126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FD02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54C8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C26C3">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359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714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8E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4C3B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80D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198B6">
            <w:pPr>
              <w:jc w:val="center"/>
            </w:pPr>
            <w:r>
              <w:rPr>
                <w:rFonts w:ascii="宋体" w:hAnsi="宋体" w:eastAsia="宋体"/>
                <w:sz w:val="16"/>
              </w:rPr>
              <w:t>及时发放村医补助，使得满意度达到95%。</w:t>
            </w:r>
          </w:p>
        </w:tc>
      </w:tr>
      <w:tr w14:paraId="77E963C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391FB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6BF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EE64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6795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1F78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4567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E114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3337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8D6D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830C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8CDCCC"/>
        </w:tc>
      </w:tr>
    </w:tbl>
    <w:p w14:paraId="0770488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96"/>
        <w:gridCol w:w="632"/>
        <w:gridCol w:w="632"/>
        <w:gridCol w:w="632"/>
        <w:gridCol w:w="632"/>
        <w:gridCol w:w="632"/>
        <w:gridCol w:w="632"/>
        <w:gridCol w:w="632"/>
      </w:tblGrid>
      <w:tr w14:paraId="21520179">
        <w:tc>
          <w:tcPr>
            <w:tcW w:w="9056" w:type="dxa"/>
            <w:gridSpan w:val="14"/>
            <w:vAlign w:val="center"/>
          </w:tcPr>
          <w:p w14:paraId="4573B1A4">
            <w:pPr>
              <w:jc w:val="center"/>
            </w:pPr>
            <w:r>
              <w:rPr>
                <w:rFonts w:ascii="宋体" w:hAnsi="宋体" w:eastAsia="宋体"/>
                <w:sz w:val="24"/>
              </w:rPr>
              <w:t>项目支出绩效自评表</w:t>
            </w:r>
          </w:p>
        </w:tc>
      </w:tr>
      <w:tr w14:paraId="7BE67A98">
        <w:tblPrEx>
          <w:tblCellMar>
            <w:top w:w="0" w:type="dxa"/>
            <w:left w:w="108" w:type="dxa"/>
            <w:bottom w:w="0" w:type="dxa"/>
            <w:right w:w="108" w:type="dxa"/>
          </w:tblCellMar>
        </w:tblPrEx>
        <w:tc>
          <w:tcPr>
            <w:tcW w:w="9056" w:type="dxa"/>
            <w:gridSpan w:val="14"/>
            <w:vAlign w:val="center"/>
          </w:tcPr>
          <w:p w14:paraId="5C69705A">
            <w:pPr>
              <w:jc w:val="center"/>
            </w:pPr>
            <w:r>
              <w:rPr>
                <w:rFonts w:ascii="宋体" w:hAnsi="宋体" w:eastAsia="宋体"/>
                <w:sz w:val="24"/>
              </w:rPr>
              <w:t>(2024年度)</w:t>
            </w:r>
          </w:p>
        </w:tc>
      </w:tr>
      <w:tr w14:paraId="68DD0F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81CE2">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F8C01B">
            <w:pPr>
              <w:jc w:val="center"/>
            </w:pPr>
            <w:r>
              <w:rPr>
                <w:rFonts w:ascii="宋体" w:hAnsi="宋体" w:eastAsia="宋体"/>
                <w:sz w:val="16"/>
              </w:rPr>
              <w:t>昌州财社</w:t>
            </w:r>
            <w:r>
              <w:rPr>
                <w:rFonts w:hint="eastAsia" w:ascii="宋体" w:hAnsi="宋体"/>
                <w:sz w:val="16"/>
                <w:lang w:eastAsia="zh-CN"/>
              </w:rPr>
              <w:t>〔2024〕5号</w:t>
            </w:r>
            <w:r>
              <w:rPr>
                <w:rFonts w:ascii="宋体" w:hAnsi="宋体" w:eastAsia="宋体"/>
                <w:sz w:val="16"/>
              </w:rPr>
              <w:t xml:space="preserve">  2024年自治区地方公共卫生服务（全民健康体检项目）资金</w:t>
            </w:r>
          </w:p>
        </w:tc>
      </w:tr>
      <w:tr w14:paraId="3FE6ED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AE229">
            <w:pPr>
              <w:jc w:val="center"/>
            </w:pPr>
            <w:r>
              <w:rPr>
                <w:rFonts w:ascii="宋体" w:hAnsi="宋体" w:eastAsia="宋体"/>
                <w:sz w:val="16"/>
              </w:rPr>
              <w:t>主管部门</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819CAB">
            <w:pPr>
              <w:jc w:val="center"/>
              <w:rPr>
                <w:rFonts w:hint="eastAsia" w:eastAsia="宋体"/>
                <w:lang w:eastAsia="zh-CN"/>
              </w:rPr>
            </w:pPr>
            <w:r>
              <w:rPr>
                <w:rFonts w:hint="eastAsia" w:ascii="宋体" w:hAnsi="宋体"/>
                <w:sz w:val="16"/>
                <w:lang w:eastAsia="zh-CN"/>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E029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FF3A70">
            <w:pPr>
              <w:jc w:val="center"/>
            </w:pPr>
            <w:r>
              <w:rPr>
                <w:rFonts w:ascii="宋体" w:hAnsi="宋体" w:eastAsia="宋体"/>
                <w:sz w:val="16"/>
              </w:rPr>
              <w:t>吉木萨尔县泉子街镇卫生院</w:t>
            </w:r>
          </w:p>
        </w:tc>
      </w:tr>
      <w:tr w14:paraId="16E75F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41720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C7D6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BB40F">
            <w:pPr>
              <w:jc w:val="center"/>
            </w:pPr>
            <w:r>
              <w:rPr>
                <w:rFonts w:ascii="宋体" w:hAnsi="宋体" w:eastAsia="宋体"/>
                <w:sz w:val="16"/>
              </w:rPr>
              <w:t>年初预算数</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2AB5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020F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D3FB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945B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6E22C">
            <w:pPr>
              <w:jc w:val="center"/>
            </w:pPr>
            <w:r>
              <w:rPr>
                <w:rFonts w:ascii="宋体" w:hAnsi="宋体" w:eastAsia="宋体"/>
                <w:sz w:val="16"/>
              </w:rPr>
              <w:t>得分</w:t>
            </w:r>
          </w:p>
        </w:tc>
      </w:tr>
      <w:tr w14:paraId="781FA2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4B4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3EC3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71458">
            <w:pPr>
              <w:jc w:val="center"/>
            </w:pPr>
            <w:r>
              <w:rPr>
                <w:rFonts w:ascii="宋体" w:hAnsi="宋体" w:eastAsia="宋体"/>
                <w:sz w:val="16"/>
              </w:rPr>
              <w:t>15.22</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BA623">
            <w:pPr>
              <w:jc w:val="center"/>
            </w:pPr>
            <w:r>
              <w:rPr>
                <w:rFonts w:ascii="宋体" w:hAnsi="宋体" w:eastAsia="宋体"/>
                <w:sz w:val="16"/>
              </w:rPr>
              <w:t>15.22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5290D">
            <w:pPr>
              <w:jc w:val="center"/>
            </w:pPr>
            <w:r>
              <w:rPr>
                <w:rFonts w:ascii="宋体" w:hAnsi="宋体" w:eastAsia="宋体"/>
                <w:sz w:val="16"/>
              </w:rPr>
              <w:t>15.22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398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17E4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E5FC0">
            <w:pPr>
              <w:jc w:val="center"/>
            </w:pPr>
            <w:r>
              <w:rPr>
                <w:rFonts w:ascii="宋体" w:hAnsi="宋体" w:eastAsia="宋体"/>
                <w:sz w:val="16"/>
              </w:rPr>
              <w:t>10.00</w:t>
            </w:r>
          </w:p>
        </w:tc>
      </w:tr>
      <w:tr w14:paraId="747ABB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5CD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1DCD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81793">
            <w:pPr>
              <w:jc w:val="center"/>
            </w:pPr>
            <w:r>
              <w:rPr>
                <w:rFonts w:ascii="宋体" w:hAnsi="宋体" w:eastAsia="宋体"/>
                <w:sz w:val="16"/>
              </w:rPr>
              <w:t>15.22</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A3286">
            <w:pPr>
              <w:jc w:val="center"/>
            </w:pPr>
            <w:r>
              <w:rPr>
                <w:rFonts w:ascii="宋体" w:hAnsi="宋体" w:eastAsia="宋体"/>
                <w:sz w:val="16"/>
              </w:rPr>
              <w:t>15.22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C9B52">
            <w:pPr>
              <w:jc w:val="center"/>
            </w:pPr>
            <w:r>
              <w:rPr>
                <w:rFonts w:ascii="宋体" w:hAnsi="宋体" w:eastAsia="宋体"/>
                <w:sz w:val="16"/>
              </w:rPr>
              <w:t>15.22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28F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EEC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F373C">
            <w:pPr>
              <w:jc w:val="center"/>
            </w:pPr>
            <w:r>
              <w:rPr>
                <w:rFonts w:ascii="宋体" w:hAnsi="宋体" w:eastAsia="宋体"/>
                <w:sz w:val="16"/>
              </w:rPr>
              <w:t>—</w:t>
            </w:r>
          </w:p>
        </w:tc>
      </w:tr>
      <w:tr w14:paraId="4A2AD6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B70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A3FA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29D01">
            <w:pPr>
              <w:jc w:val="center"/>
            </w:pPr>
            <w:r>
              <w:rPr>
                <w:rFonts w:ascii="宋体" w:hAnsi="宋体" w:eastAsia="宋体"/>
                <w:sz w:val="16"/>
              </w:rPr>
              <w:t>0.00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912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389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5E4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4DF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D957">
            <w:pPr>
              <w:jc w:val="center"/>
            </w:pPr>
            <w:r>
              <w:rPr>
                <w:rFonts w:ascii="宋体" w:hAnsi="宋体" w:eastAsia="宋体"/>
                <w:sz w:val="16"/>
              </w:rPr>
              <w:t>—</w:t>
            </w:r>
          </w:p>
        </w:tc>
      </w:tr>
      <w:tr w14:paraId="4DB648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B3DDC3">
            <w:pPr>
              <w:jc w:val="center"/>
            </w:pPr>
            <w:r>
              <w:rPr>
                <w:rFonts w:ascii="宋体" w:hAnsi="宋体" w:eastAsia="宋体"/>
                <w:sz w:val="16"/>
              </w:rPr>
              <w:t>年度总体目标</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9D9BB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773FCC">
            <w:pPr>
              <w:jc w:val="center"/>
            </w:pPr>
            <w:r>
              <w:rPr>
                <w:rFonts w:ascii="宋体" w:hAnsi="宋体" w:eastAsia="宋体"/>
                <w:sz w:val="16"/>
              </w:rPr>
              <w:t>实际完成情况</w:t>
            </w:r>
          </w:p>
        </w:tc>
      </w:tr>
      <w:tr w14:paraId="22B621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E245A"/>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AC55B1">
            <w:pPr>
              <w:jc w:val="both"/>
            </w:pPr>
            <w:r>
              <w:rPr>
                <w:rFonts w:ascii="宋体" w:hAnsi="宋体" w:eastAsia="宋体"/>
                <w:sz w:val="16"/>
              </w:rPr>
              <w:t>本项目主要实施内容为：免费开展全民健康体检工作，全民健康体检受益人数达到3000人，全民健康体检业务指导次数1次，体检完成率达到90%以上，体检设备到位率达到70%以上，项目总投资为15.22万元，项目计划于2024年11月底前完成。居民健康保健意识和知晓率逐步提高；居民健康水平提高。待项目完成后，争取使受益对象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4DF672">
            <w:pPr>
              <w:jc w:val="both"/>
            </w:pPr>
            <w:r>
              <w:rPr>
                <w:rFonts w:hint="eastAsia" w:ascii="宋体" w:hAnsi="宋体"/>
                <w:sz w:val="16"/>
                <w:lang w:eastAsia="zh-CN"/>
              </w:rPr>
              <w:t>截至</w:t>
            </w:r>
            <w:r>
              <w:rPr>
                <w:rFonts w:ascii="宋体" w:hAnsi="宋体" w:eastAsia="宋体"/>
                <w:sz w:val="16"/>
              </w:rPr>
              <w:t>2024年12月31日，项目实际支出15.22万元，预算执行率为100%。免费开展全民健康体检工作，全民健康体检受益人数达到4029人，全民健康体检业务指导次数1次，通过实施该项目，逐步提高居民健康保健意识和知晓率；居民健康水平提高。使受益对象满意度达到90%。</w:t>
            </w:r>
          </w:p>
        </w:tc>
      </w:tr>
      <w:tr w14:paraId="621F89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01B3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F013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BBF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A0DD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C0236">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CB7917A">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8802D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049B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CF92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152C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34A1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086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8F3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EEE3E">
            <w:pPr>
              <w:jc w:val="center"/>
            </w:pPr>
            <w:r>
              <w:rPr>
                <w:rFonts w:ascii="宋体" w:hAnsi="宋体" w:eastAsia="宋体"/>
                <w:sz w:val="16"/>
              </w:rPr>
              <w:t>偏差原因分析及改进措施</w:t>
            </w:r>
          </w:p>
        </w:tc>
      </w:tr>
      <w:tr w14:paraId="18B578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3FEC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C6F76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54374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15CAE">
            <w:pPr>
              <w:jc w:val="center"/>
            </w:pPr>
            <w:r>
              <w:rPr>
                <w:rFonts w:ascii="宋体" w:hAnsi="宋体" w:eastAsia="宋体"/>
                <w:sz w:val="16"/>
              </w:rPr>
              <w:t>全民健康体检受益人数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6B425">
            <w:pPr>
              <w:jc w:val="center"/>
            </w:pPr>
            <w:r>
              <w:rPr>
                <w:rFonts w:ascii="宋体" w:hAnsi="宋体" w:eastAsia="宋体"/>
                <w:sz w:val="16"/>
              </w:rPr>
              <w:t>11</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E3EB899">
            <w:pPr>
              <w:jc w:val="center"/>
            </w:pPr>
            <w:r>
              <w:rPr>
                <w:rFonts w:ascii="宋体" w:hAnsi="宋体" w:eastAsia="宋体"/>
                <w:sz w:val="16"/>
              </w:rPr>
              <w:t>&gt;=3000人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AB83F6">
            <w:pPr>
              <w:jc w:val="center"/>
            </w:pPr>
            <w:r>
              <w:rPr>
                <w:rFonts w:ascii="宋体" w:hAnsi="宋体" w:eastAsia="宋体"/>
                <w:sz w:val="16"/>
              </w:rPr>
              <w:t>=4029人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FB9C1">
            <w:pPr>
              <w:jc w:val="center"/>
            </w:pPr>
            <w:r>
              <w:rPr>
                <w:rFonts w:ascii="宋体" w:hAnsi="宋体" w:eastAsia="宋体"/>
                <w:sz w:val="16"/>
              </w:rPr>
              <w:t>134%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84D5B">
            <w:pPr>
              <w:jc w:val="center"/>
            </w:pPr>
            <w:r>
              <w:rPr>
                <w:rFonts w:ascii="宋体" w:hAnsi="宋体" w:eastAsia="宋体"/>
                <w:sz w:val="16"/>
              </w:rPr>
              <w:t>7.26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0C7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6CA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10D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FBA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F164A">
            <w:pPr>
              <w:jc w:val="center"/>
            </w:pPr>
            <w:r>
              <w:rPr>
                <w:rFonts w:ascii="宋体" w:hAnsi="宋体" w:eastAsia="宋体"/>
                <w:sz w:val="16"/>
              </w:rPr>
              <w:t>主要是全民健康体检人数超预期目标完成。</w:t>
            </w:r>
          </w:p>
        </w:tc>
      </w:tr>
      <w:tr w14:paraId="247A57B8">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507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2D9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63D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377A2">
            <w:pPr>
              <w:jc w:val="center"/>
            </w:pPr>
            <w:r>
              <w:rPr>
                <w:rFonts w:ascii="宋体" w:hAnsi="宋体" w:eastAsia="宋体"/>
                <w:sz w:val="16"/>
              </w:rPr>
              <w:t>全民健康体检业务指导次数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077E7">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C00CF96">
            <w:pPr>
              <w:jc w:val="center"/>
            </w:pPr>
            <w:r>
              <w:rPr>
                <w:rFonts w:ascii="宋体" w:hAnsi="宋体" w:eastAsia="宋体"/>
                <w:sz w:val="16"/>
              </w:rPr>
              <w:t>&gt;=1次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492EB4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3A2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768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DF0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E1E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F65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243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0E1B">
            <w:pPr>
              <w:jc w:val="center"/>
            </w:pPr>
          </w:p>
        </w:tc>
      </w:tr>
      <w:tr w14:paraId="0A57E8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758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A43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D0E7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634C9">
            <w:pPr>
              <w:jc w:val="center"/>
            </w:pPr>
            <w:r>
              <w:rPr>
                <w:rFonts w:ascii="宋体" w:hAnsi="宋体" w:eastAsia="宋体"/>
                <w:sz w:val="16"/>
              </w:rPr>
              <w:t>全民健康体检设备到位率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29FA0">
            <w:pPr>
              <w:jc w:val="center"/>
            </w:pPr>
            <w:r>
              <w:rPr>
                <w:rFonts w:ascii="宋体" w:hAnsi="宋体" w:eastAsia="宋体"/>
                <w:sz w:val="16"/>
              </w:rPr>
              <w:t>9</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33435E7">
            <w:pPr>
              <w:jc w:val="center"/>
            </w:pPr>
            <w:r>
              <w:rPr>
                <w:rFonts w:ascii="宋体" w:hAnsi="宋体" w:eastAsia="宋体"/>
                <w:sz w:val="16"/>
              </w:rPr>
              <w:t>&gt;=70%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EC1740">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A57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3FA3C">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8BF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274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617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C25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F9135">
            <w:pPr>
              <w:jc w:val="center"/>
            </w:pPr>
          </w:p>
        </w:tc>
      </w:tr>
      <w:tr w14:paraId="30E871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6F2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DD3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2FC9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00F7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A53D">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65B70BA">
            <w:pPr>
              <w:jc w:val="center"/>
            </w:pPr>
            <w:r>
              <w:rPr>
                <w:rFonts w:hint="eastAsia" w:ascii="宋体" w:hAnsi="宋体"/>
                <w:sz w:val="16"/>
                <w:lang w:eastAsia="zh-CN"/>
              </w:rPr>
              <w:t>截至</w:t>
            </w:r>
            <w:r>
              <w:rPr>
                <w:rFonts w:ascii="宋体" w:hAnsi="宋体" w:eastAsia="宋体"/>
                <w:sz w:val="16"/>
              </w:rPr>
              <w:t>2023年12月底</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E61EAD">
            <w:pPr>
              <w:jc w:val="center"/>
            </w:pPr>
            <w:r>
              <w:rPr>
                <w:rFonts w:ascii="宋体" w:hAnsi="宋体" w:eastAsia="宋体"/>
                <w:sz w:val="16"/>
              </w:rPr>
              <w:tab/>
            </w:r>
            <w:r>
              <w:rPr>
                <w:rFonts w:hint="eastAsia" w:ascii="宋体" w:hAnsi="宋体"/>
                <w:sz w:val="16"/>
                <w:lang w:eastAsia="zh-CN"/>
              </w:rPr>
              <w:t>截至</w:t>
            </w: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D5D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F37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A27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CE0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769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626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F6FFD">
            <w:pPr>
              <w:jc w:val="center"/>
            </w:pPr>
          </w:p>
        </w:tc>
      </w:tr>
      <w:tr w14:paraId="5723C6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B1E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B2D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5A5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3E29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8A225">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84AF47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1049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E23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6A9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C33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B20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D41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86C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FAD37">
            <w:pPr>
              <w:jc w:val="center"/>
            </w:pPr>
          </w:p>
        </w:tc>
      </w:tr>
      <w:tr w14:paraId="205D2B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85D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C777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F4C5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DA524">
            <w:pPr>
              <w:jc w:val="center"/>
            </w:pPr>
            <w:r>
              <w:rPr>
                <w:rFonts w:ascii="宋体" w:hAnsi="宋体" w:eastAsia="宋体"/>
                <w:sz w:val="16"/>
              </w:rPr>
              <w:t>体检补助经费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EF480">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575EA20">
            <w:pPr>
              <w:jc w:val="center"/>
            </w:pPr>
            <w:r>
              <w:rPr>
                <w:rFonts w:ascii="宋体" w:hAnsi="宋体" w:eastAsia="宋体"/>
                <w:sz w:val="16"/>
              </w:rPr>
              <w:t>&lt;=15.22万元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5D7536">
            <w:pPr>
              <w:jc w:val="center"/>
            </w:pPr>
            <w:r>
              <w:rPr>
                <w:rFonts w:ascii="宋体" w:hAnsi="宋体" w:eastAsia="宋体"/>
                <w:sz w:val="16"/>
              </w:rPr>
              <w:t>=15.22万元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EB3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FA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DE4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97C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690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928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FC8B5">
            <w:pPr>
              <w:jc w:val="center"/>
            </w:pPr>
          </w:p>
        </w:tc>
      </w:tr>
      <w:tr w14:paraId="00D221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E50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A636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650E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EEEE3">
            <w:pPr>
              <w:jc w:val="center"/>
            </w:pPr>
            <w:r>
              <w:rPr>
                <w:rFonts w:ascii="宋体" w:hAnsi="宋体" w:eastAsia="宋体"/>
                <w:sz w:val="16"/>
              </w:rPr>
              <w:t>居民健康水平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03A20">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AA48602">
            <w:pPr>
              <w:jc w:val="center"/>
            </w:pPr>
            <w:r>
              <w:rPr>
                <w:rFonts w:ascii="宋体" w:hAnsi="宋体" w:eastAsia="宋体"/>
                <w:sz w:val="16"/>
              </w:rPr>
              <w:t>持续提高</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24CFBF">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F39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88C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81A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E91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90D6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EDC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05251">
            <w:pPr>
              <w:jc w:val="center"/>
            </w:pPr>
          </w:p>
        </w:tc>
      </w:tr>
      <w:tr w14:paraId="6D5A34B3">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B69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285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731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8833D">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AE08E">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A41933F">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395B7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C41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D51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F94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E11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62A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E82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4F3AB">
            <w:pPr>
              <w:jc w:val="center"/>
            </w:pPr>
          </w:p>
        </w:tc>
      </w:tr>
      <w:tr w14:paraId="5E51691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4F7DD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F58A6">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11717081"/>
        </w:tc>
        <w:tc>
          <w:tcPr>
            <w:tcW w:w="696" w:type="dxa"/>
            <w:tcBorders>
              <w:top w:val="single" w:color="auto" w:sz="10" w:space="0"/>
              <w:left w:val="single" w:color="auto" w:sz="10" w:space="0"/>
              <w:bottom w:val="single" w:color="auto" w:sz="10" w:space="0"/>
              <w:right w:val="single" w:color="auto" w:sz="10" w:space="0"/>
              <w:insideV w:val="single" w:sz="10" w:space="0"/>
            </w:tcBorders>
          </w:tcPr>
          <w:p w14:paraId="1087EA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B48F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96496">
            <w:pPr>
              <w:jc w:val="center"/>
            </w:pPr>
            <w:r>
              <w:rPr>
                <w:rFonts w:ascii="宋体" w:hAnsi="宋体" w:eastAsia="宋体"/>
                <w:sz w:val="16"/>
              </w:rPr>
              <w:t>96.26分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5FE6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5051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7C51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87FB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FCB5C5"/>
        </w:tc>
      </w:tr>
    </w:tbl>
    <w:p w14:paraId="490C7A08">
      <w:r>
        <w:br w:type="page"/>
      </w:r>
    </w:p>
    <w:p w14:paraId="265C5F69">
      <w:pPr>
        <w:spacing w:line="640" w:lineRule="exact"/>
        <w:ind w:firstLine="640"/>
        <w:jc w:val="both"/>
        <w:outlineLvl w:val="2"/>
      </w:pPr>
      <w:r>
        <w:rPr>
          <w:rFonts w:ascii="黑体" w:hAnsi="黑体" w:eastAsia="黑体"/>
          <w:sz w:val="32"/>
        </w:rPr>
        <w:t>十二、其他需说明的事项</w:t>
      </w:r>
    </w:p>
    <w:p w14:paraId="77F5075D">
      <w:pPr>
        <w:spacing w:line="580" w:lineRule="exact"/>
        <w:ind w:firstLine="640"/>
        <w:jc w:val="both"/>
      </w:pPr>
      <w:r>
        <w:rPr>
          <w:rFonts w:ascii="仿宋_GB2312" w:hAnsi="仿宋_GB2312" w:eastAsia="仿宋_GB2312"/>
          <w:b w:val="0"/>
          <w:sz w:val="32"/>
        </w:rPr>
        <w:t>本单位无其他需说明的事项。</w:t>
      </w:r>
    </w:p>
    <w:p w14:paraId="30B3F18F">
      <w:r>
        <w:br w:type="page"/>
      </w:r>
    </w:p>
    <w:p w14:paraId="0A066353">
      <w:pPr>
        <w:spacing w:line="240" w:lineRule="auto"/>
        <w:jc w:val="center"/>
        <w:outlineLvl w:val="1"/>
      </w:pPr>
      <w:r>
        <w:rPr>
          <w:rFonts w:ascii="黑体" w:hAnsi="黑体" w:eastAsia="黑体"/>
          <w:sz w:val="32"/>
        </w:rPr>
        <w:t>第三部分 专业名词解释</w:t>
      </w:r>
    </w:p>
    <w:p w14:paraId="0A55985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EE27C7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8CEDC5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146E7E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BDDF19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F63FC6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BDB7DF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E7850E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FA1C17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63C64A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F3039E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FC669F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66707B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4550C1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F28B6A1">
      <w:r>
        <w:br w:type="page"/>
      </w:r>
    </w:p>
    <w:p w14:paraId="0143420D">
      <w:pPr>
        <w:spacing w:line="240" w:lineRule="auto"/>
        <w:jc w:val="center"/>
        <w:outlineLvl w:val="1"/>
      </w:pPr>
      <w:r>
        <w:rPr>
          <w:rFonts w:ascii="黑体" w:hAnsi="黑体" w:eastAsia="黑体"/>
          <w:sz w:val="32"/>
        </w:rPr>
        <w:t>第四部分 部门决算报表（见附表）</w:t>
      </w:r>
    </w:p>
    <w:p w14:paraId="3241B38C">
      <w:pPr>
        <w:spacing w:line="240" w:lineRule="auto"/>
        <w:ind w:firstLine="640"/>
        <w:jc w:val="both"/>
      </w:pPr>
      <w:r>
        <w:rPr>
          <w:rFonts w:ascii="仿宋_GB2312" w:hAnsi="仿宋_GB2312" w:eastAsia="仿宋_GB2312"/>
          <w:b w:val="0"/>
          <w:sz w:val="32"/>
        </w:rPr>
        <w:t>一、《收入支出决算总表》</w:t>
      </w:r>
    </w:p>
    <w:p w14:paraId="43F753E1">
      <w:pPr>
        <w:spacing w:line="240" w:lineRule="auto"/>
        <w:ind w:firstLine="640"/>
        <w:jc w:val="both"/>
      </w:pPr>
      <w:r>
        <w:rPr>
          <w:rFonts w:ascii="仿宋_GB2312" w:hAnsi="仿宋_GB2312" w:eastAsia="仿宋_GB2312"/>
          <w:b w:val="0"/>
          <w:sz w:val="32"/>
        </w:rPr>
        <w:t>二、《收入决算表》</w:t>
      </w:r>
    </w:p>
    <w:p w14:paraId="7511F562">
      <w:pPr>
        <w:spacing w:line="240" w:lineRule="auto"/>
        <w:ind w:firstLine="640"/>
        <w:jc w:val="both"/>
      </w:pPr>
      <w:r>
        <w:rPr>
          <w:rFonts w:ascii="仿宋_GB2312" w:hAnsi="仿宋_GB2312" w:eastAsia="仿宋_GB2312"/>
          <w:b w:val="0"/>
          <w:sz w:val="32"/>
        </w:rPr>
        <w:t>三、《支出决算表》</w:t>
      </w:r>
    </w:p>
    <w:p w14:paraId="2CEACF3E">
      <w:pPr>
        <w:spacing w:line="240" w:lineRule="auto"/>
        <w:ind w:firstLine="640"/>
        <w:jc w:val="both"/>
      </w:pPr>
      <w:r>
        <w:rPr>
          <w:rFonts w:ascii="仿宋_GB2312" w:hAnsi="仿宋_GB2312" w:eastAsia="仿宋_GB2312"/>
          <w:b w:val="0"/>
          <w:sz w:val="32"/>
        </w:rPr>
        <w:t>四、《财政拨款收入支出决算总表》</w:t>
      </w:r>
    </w:p>
    <w:p w14:paraId="472ACBF5">
      <w:pPr>
        <w:spacing w:line="240" w:lineRule="auto"/>
        <w:ind w:firstLine="640"/>
        <w:jc w:val="both"/>
      </w:pPr>
      <w:r>
        <w:rPr>
          <w:rFonts w:ascii="仿宋_GB2312" w:hAnsi="仿宋_GB2312" w:eastAsia="仿宋_GB2312"/>
          <w:b w:val="0"/>
          <w:sz w:val="32"/>
        </w:rPr>
        <w:t>五、《一般公共预算财政拨款支出决算表》</w:t>
      </w:r>
    </w:p>
    <w:p w14:paraId="57545E67">
      <w:pPr>
        <w:spacing w:line="240" w:lineRule="auto"/>
        <w:ind w:firstLine="640"/>
        <w:jc w:val="both"/>
      </w:pPr>
      <w:r>
        <w:rPr>
          <w:rFonts w:ascii="仿宋_GB2312" w:hAnsi="仿宋_GB2312" w:eastAsia="仿宋_GB2312"/>
          <w:b w:val="0"/>
          <w:sz w:val="32"/>
        </w:rPr>
        <w:t>六、《一般公共预算财政拨款基本支出决算表》</w:t>
      </w:r>
    </w:p>
    <w:p w14:paraId="66B274C8">
      <w:pPr>
        <w:spacing w:line="240" w:lineRule="auto"/>
        <w:ind w:firstLine="640"/>
        <w:jc w:val="both"/>
      </w:pPr>
      <w:r>
        <w:rPr>
          <w:rFonts w:ascii="仿宋_GB2312" w:hAnsi="仿宋_GB2312" w:eastAsia="仿宋_GB2312"/>
          <w:b w:val="0"/>
          <w:sz w:val="32"/>
        </w:rPr>
        <w:t>七、《政府性基金预算财政拨款收入支出决算表》</w:t>
      </w:r>
    </w:p>
    <w:p w14:paraId="679702EA">
      <w:pPr>
        <w:spacing w:line="240" w:lineRule="auto"/>
        <w:ind w:firstLine="640"/>
        <w:jc w:val="both"/>
      </w:pPr>
      <w:r>
        <w:rPr>
          <w:rFonts w:ascii="仿宋_GB2312" w:hAnsi="仿宋_GB2312" w:eastAsia="仿宋_GB2312"/>
          <w:b w:val="0"/>
          <w:sz w:val="32"/>
        </w:rPr>
        <w:t>八、《国有资本经营预算财政拨款收入支出决算表》</w:t>
      </w:r>
    </w:p>
    <w:p w14:paraId="0940520A">
      <w:pPr>
        <w:spacing w:line="240" w:lineRule="auto"/>
        <w:ind w:firstLine="640"/>
        <w:jc w:val="both"/>
      </w:pPr>
      <w:r>
        <w:rPr>
          <w:rFonts w:ascii="仿宋_GB2312" w:hAnsi="仿宋_GB2312" w:eastAsia="仿宋_GB2312"/>
          <w:b w:val="0"/>
          <w:sz w:val="32"/>
        </w:rPr>
        <w:t>九、《财政拨款“三公”经费支出决算表》</w:t>
      </w:r>
    </w:p>
    <w:p w14:paraId="74DCD9E1">
      <w:pPr>
        <w:spacing w:line="240" w:lineRule="auto"/>
        <w:ind w:firstLine="640"/>
        <w:jc w:val="both"/>
      </w:pPr>
    </w:p>
    <w:p w14:paraId="5ED2D457">
      <w:pPr>
        <w:spacing w:line="240" w:lineRule="auto"/>
        <w:ind w:firstLine="640"/>
        <w:jc w:val="both"/>
      </w:pPr>
    </w:p>
    <w:p w14:paraId="1ED72715">
      <w:pPr>
        <w:spacing w:line="240" w:lineRule="auto"/>
        <w:ind w:firstLine="640"/>
        <w:jc w:val="both"/>
      </w:pPr>
    </w:p>
    <w:p w14:paraId="728C6FB5">
      <w:pPr>
        <w:spacing w:line="240" w:lineRule="auto"/>
        <w:ind w:firstLine="640"/>
        <w:jc w:val="both"/>
      </w:pPr>
    </w:p>
    <w:p w14:paraId="17DD3DB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861A1C"/>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083CC3"/>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6495</Words>
  <Characters>7523</Characters>
  <Lines>0</Lines>
  <Paragraphs>0</Paragraphs>
  <TotalTime>1</TotalTime>
  <ScaleCrop>false</ScaleCrop>
  <LinksUpToDate>false</LinksUpToDate>
  <CharactersWithSpaces>7531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2025-10-14T03:52:17Z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eyJoZGlkIjoiNTM1NjJiMTUwNmFhZWNlZmQwNDVjMDAxNDMwM2IwMDkiLCJ1c2VySWQiOiIzNzI2MDMzNTYifQ==</vt:lpwstr>
  </property>
</Properties>
</file>