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吉木萨尔县新地乡卫生院2024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551D1F">
      <w:r>
        <w:br w:type="page"/>
      </w:r>
    </w:p>
    <w:p w14:paraId="11D595F8">
      <w:pPr>
        <w:spacing w:line="640" w:lineRule="exact"/>
        <w:jc w:val="center"/>
        <w:outlineLvl w:val="1"/>
      </w:pPr>
      <w:r>
        <w:rPr>
          <w:rFonts w:ascii="黑体" w:hAnsi="黑体" w:eastAsia="黑体"/>
          <w:sz w:val="32"/>
        </w:rPr>
        <w:t>第一部分 单位概况</w:t>
      </w:r>
    </w:p>
    <w:p w14:paraId="4EF8A7ED">
      <w:pPr>
        <w:spacing w:line="640" w:lineRule="exact"/>
        <w:ind w:firstLine="640"/>
        <w:jc w:val="both"/>
        <w:outlineLvl w:val="2"/>
      </w:pPr>
      <w:r>
        <w:rPr>
          <w:rFonts w:ascii="黑体" w:hAnsi="黑体" w:eastAsia="黑体"/>
          <w:sz w:val="32"/>
        </w:rPr>
        <w:t>一、主要职能</w:t>
      </w:r>
    </w:p>
    <w:p w14:paraId="1A070DA1">
      <w:pPr>
        <w:spacing w:line="580" w:lineRule="exact"/>
        <w:ind w:firstLine="640"/>
        <w:jc w:val="both"/>
      </w:pPr>
      <w:r>
        <w:rPr>
          <w:rFonts w:ascii="仿宋_GB2312" w:hAnsi="仿宋_GB2312" w:eastAsia="仿宋_GB2312"/>
          <w:sz w:val="32"/>
        </w:rPr>
        <w:t>吉木萨尔县新地乡卫生院位于吉木萨尔县南侧距县城约30公里处的新地乡河坝沿,我院成立于1959年，占地面积5183㎡,辖区总人口5158人，3个行政村，是一所集</w:t>
      </w:r>
      <w:r>
        <w:rPr>
          <w:rFonts w:hint="eastAsia" w:ascii="仿宋_GB2312" w:hAnsi="仿宋_GB2312" w:eastAsia="仿宋_GB2312"/>
          <w:sz w:val="32"/>
          <w:lang w:eastAsia="zh-CN"/>
        </w:rPr>
        <w:t>分床</w:t>
      </w:r>
      <w:r>
        <w:rPr>
          <w:rFonts w:ascii="仿宋_GB2312" w:hAnsi="仿宋_GB2312" w:eastAsia="仿宋_GB2312"/>
          <w:sz w:val="32"/>
        </w:rPr>
        <w:t>医疗、预防保健、卫生监督、村级公共卫生服务为一体的综合性公立医院，承担全乡辖区范围内的医疗、预防保健、康复及居民的全民健康体检任务的非营利性的公益医疗机构。</w:t>
      </w:r>
    </w:p>
    <w:p w14:paraId="7FB399A4">
      <w:pPr>
        <w:spacing w:line="640" w:lineRule="exact"/>
        <w:ind w:firstLine="640"/>
        <w:jc w:val="both"/>
        <w:outlineLvl w:val="2"/>
      </w:pPr>
      <w:r>
        <w:rPr>
          <w:rFonts w:ascii="黑体" w:hAnsi="黑体" w:eastAsia="黑体"/>
          <w:sz w:val="32"/>
        </w:rPr>
        <w:t>二、机构设置及人员情况</w:t>
      </w:r>
    </w:p>
    <w:p w14:paraId="04298785">
      <w:pPr>
        <w:spacing w:line="580" w:lineRule="exact"/>
        <w:ind w:firstLine="640"/>
        <w:jc w:val="both"/>
      </w:pPr>
      <w:r>
        <w:rPr>
          <w:rFonts w:ascii="仿宋_GB2312" w:hAnsi="仿宋_GB2312" w:eastAsia="仿宋_GB2312"/>
          <w:sz w:val="32"/>
        </w:rPr>
        <w:t>吉木萨尔县新地乡卫生院2024年度，实有人数20人，其中：在职人员19人，减少2人；离休人员0人，增加0人；退休人员1人,增加0人。</w:t>
      </w:r>
    </w:p>
    <w:p w14:paraId="30E7A653">
      <w:pPr>
        <w:spacing w:line="580" w:lineRule="exact"/>
        <w:ind w:firstLine="640"/>
        <w:jc w:val="both"/>
      </w:pPr>
      <w:r>
        <w:rPr>
          <w:rFonts w:ascii="仿宋_GB2312" w:hAnsi="仿宋_GB2312" w:eastAsia="仿宋_GB2312"/>
          <w:sz w:val="32"/>
        </w:rPr>
        <w:t>吉木萨尔县新地乡卫生院无下属预算单位，下设8个科室，分别是：住院部、护理部、门诊部、财务科、公共卫生科、药剂科、中医馆、检验科。</w:t>
      </w:r>
    </w:p>
    <w:p w14:paraId="7A468513">
      <w:r>
        <w:br w:type="page"/>
      </w:r>
    </w:p>
    <w:p w14:paraId="10B52645">
      <w:pPr>
        <w:spacing w:line="240" w:lineRule="auto"/>
        <w:jc w:val="center"/>
        <w:outlineLvl w:val="1"/>
      </w:pPr>
      <w:r>
        <w:rPr>
          <w:rFonts w:ascii="黑体" w:hAnsi="黑体" w:eastAsia="黑体"/>
          <w:sz w:val="32"/>
        </w:rPr>
        <w:t>第二部分 部门决算情况说明</w:t>
      </w:r>
    </w:p>
    <w:p w14:paraId="418E40E4">
      <w:pPr>
        <w:spacing w:line="640" w:lineRule="exact"/>
        <w:ind w:firstLine="640"/>
        <w:jc w:val="both"/>
        <w:outlineLvl w:val="2"/>
      </w:pPr>
      <w:r>
        <w:rPr>
          <w:rFonts w:ascii="黑体" w:hAnsi="黑体" w:eastAsia="黑体"/>
          <w:sz w:val="32"/>
        </w:rPr>
        <w:t>一、收入支出决算总体情况说明</w:t>
      </w:r>
    </w:p>
    <w:p w14:paraId="2FE4B45B">
      <w:pPr>
        <w:spacing w:line="580" w:lineRule="exact"/>
        <w:ind w:firstLine="640"/>
        <w:jc w:val="both"/>
      </w:pPr>
      <w:r>
        <w:rPr>
          <w:rFonts w:ascii="仿宋_GB2312" w:hAnsi="仿宋_GB2312" w:eastAsia="仿宋_GB2312"/>
          <w:b/>
          <w:sz w:val="32"/>
        </w:rPr>
        <w:t>2024年度收入总计519.82万元，</w:t>
      </w:r>
      <w:r>
        <w:rPr>
          <w:rFonts w:ascii="仿宋_GB2312" w:hAnsi="仿宋_GB2312" w:eastAsia="仿宋_GB2312"/>
          <w:b w:val="0"/>
          <w:sz w:val="32"/>
        </w:rPr>
        <w:t>其中：本年收入合计517.60万元，使用非财政拨款结余（含专用结余）0.00万元，年初结转和结余2.22万元。</w:t>
      </w:r>
    </w:p>
    <w:p w14:paraId="1F546BE0">
      <w:pPr>
        <w:spacing w:line="580" w:lineRule="exact"/>
        <w:ind w:firstLine="640"/>
        <w:jc w:val="both"/>
      </w:pPr>
      <w:r>
        <w:rPr>
          <w:rFonts w:ascii="仿宋_GB2312" w:hAnsi="仿宋_GB2312" w:eastAsia="仿宋_GB2312"/>
          <w:b/>
          <w:sz w:val="32"/>
        </w:rPr>
        <w:t>2024年度支出总计519.82万元，</w:t>
      </w:r>
      <w:r>
        <w:rPr>
          <w:rFonts w:ascii="仿宋_GB2312" w:hAnsi="仿宋_GB2312" w:eastAsia="仿宋_GB2312"/>
          <w:b w:val="0"/>
          <w:sz w:val="32"/>
        </w:rPr>
        <w:t>其中：本年支出合计509.44万元，结余分配0.00万元，年末结转和结余10.38万元。</w:t>
      </w:r>
    </w:p>
    <w:p w14:paraId="581BEA1A">
      <w:pPr>
        <w:spacing w:line="580" w:lineRule="exact"/>
        <w:ind w:firstLine="640"/>
        <w:jc w:val="both"/>
      </w:pPr>
      <w:r>
        <w:rPr>
          <w:rFonts w:ascii="仿宋_GB2312" w:hAnsi="仿宋_GB2312" w:eastAsia="仿宋_GB2312"/>
          <w:b w:val="0"/>
          <w:sz w:val="32"/>
        </w:rPr>
        <w:t>收入支出总体与上年相比，增加47.28万元，增长10.01%，主要原因是：一是在职人员工资调增，社保，住房公积金等相关人员经费增加，增加</w:t>
      </w:r>
      <w:bookmarkStart w:id="0" w:name="_GoBack"/>
      <w:r>
        <w:rPr>
          <w:rFonts w:ascii="仿宋_GB2312" w:hAnsi="仿宋_GB2312" w:eastAsia="仿宋_GB2312"/>
          <w:b w:val="0"/>
          <w:sz w:val="32"/>
        </w:rPr>
        <w:t>全民体检</w:t>
      </w:r>
      <w:bookmarkEnd w:id="0"/>
      <w:r>
        <w:rPr>
          <w:rFonts w:ascii="仿宋_GB2312" w:hAnsi="仿宋_GB2312" w:eastAsia="仿宋_GB2312"/>
          <w:b w:val="0"/>
          <w:sz w:val="32"/>
        </w:rPr>
        <w:t>项目资金；二是本年医疗门诊及住院人数增加，医疗事业经费增加。</w:t>
      </w:r>
    </w:p>
    <w:p w14:paraId="0B1A593C">
      <w:pPr>
        <w:spacing w:line="640" w:lineRule="exact"/>
        <w:ind w:firstLine="640"/>
        <w:jc w:val="both"/>
        <w:outlineLvl w:val="2"/>
      </w:pPr>
      <w:r>
        <w:rPr>
          <w:rFonts w:ascii="黑体" w:hAnsi="黑体" w:eastAsia="黑体"/>
          <w:sz w:val="32"/>
        </w:rPr>
        <w:t>二、收入决算情况说明</w:t>
      </w:r>
    </w:p>
    <w:p w14:paraId="2FC56D06">
      <w:pPr>
        <w:spacing w:line="580" w:lineRule="exact"/>
        <w:ind w:firstLine="640"/>
        <w:jc w:val="both"/>
      </w:pPr>
      <w:r>
        <w:rPr>
          <w:rFonts w:ascii="仿宋_GB2312" w:hAnsi="仿宋_GB2312" w:eastAsia="仿宋_GB2312"/>
          <w:b/>
          <w:sz w:val="32"/>
        </w:rPr>
        <w:t>本年收入517.60万元，</w:t>
      </w:r>
      <w:r>
        <w:rPr>
          <w:rFonts w:ascii="仿宋_GB2312" w:hAnsi="仿宋_GB2312" w:eastAsia="仿宋_GB2312"/>
          <w:b w:val="0"/>
          <w:sz w:val="32"/>
        </w:rPr>
        <w:t>其中：财政拨款收入449.31万元，占86.81%；上级补助收入0.00万元，占0.00%；事业收入44.99万元，占8.69%；经营收入0.00万元，占0.00%；附属单位上缴收入0.00万元，占0.00%；其他收入23.30万元，占4.50%。</w:t>
      </w:r>
    </w:p>
    <w:p w14:paraId="1CA178B8">
      <w:pPr>
        <w:spacing w:line="640" w:lineRule="exact"/>
        <w:ind w:firstLine="640"/>
        <w:jc w:val="both"/>
        <w:outlineLvl w:val="2"/>
      </w:pPr>
      <w:r>
        <w:rPr>
          <w:rFonts w:ascii="黑体" w:hAnsi="黑体" w:eastAsia="黑体"/>
          <w:sz w:val="32"/>
        </w:rPr>
        <w:t>三、支出决算情况说明</w:t>
      </w:r>
    </w:p>
    <w:p w14:paraId="0995C1FD">
      <w:pPr>
        <w:spacing w:line="580" w:lineRule="exact"/>
        <w:ind w:firstLine="640"/>
        <w:jc w:val="both"/>
      </w:pPr>
      <w:r>
        <w:rPr>
          <w:rFonts w:ascii="仿宋_GB2312" w:hAnsi="仿宋_GB2312" w:eastAsia="仿宋_GB2312"/>
          <w:b/>
          <w:sz w:val="32"/>
        </w:rPr>
        <w:t>本年支出509.44万元，</w:t>
      </w:r>
      <w:r>
        <w:rPr>
          <w:rFonts w:ascii="仿宋_GB2312" w:hAnsi="仿宋_GB2312" w:eastAsia="仿宋_GB2312"/>
          <w:b w:val="0"/>
          <w:sz w:val="32"/>
        </w:rPr>
        <w:t>其中：基本支出382.38万元，占75.06%；项目支出127.06万元，占24.94%；上缴上级支出0.00万元，占0.00%；经营支出0.00万元，占0.00%；对附属单位补助支出0.00万元，占0.00%。</w:t>
      </w:r>
    </w:p>
    <w:p w14:paraId="3DB5B67F">
      <w:pPr>
        <w:spacing w:line="640" w:lineRule="exact"/>
        <w:ind w:firstLine="640"/>
        <w:jc w:val="both"/>
        <w:outlineLvl w:val="2"/>
      </w:pPr>
      <w:r>
        <w:rPr>
          <w:rFonts w:ascii="黑体" w:hAnsi="黑体" w:eastAsia="黑体"/>
          <w:sz w:val="32"/>
        </w:rPr>
        <w:t>四、财政拨款收入支出决算总体情况说明</w:t>
      </w:r>
    </w:p>
    <w:p w14:paraId="4143EF17">
      <w:pPr>
        <w:spacing w:line="580" w:lineRule="exact"/>
        <w:ind w:firstLine="640"/>
        <w:jc w:val="both"/>
      </w:pPr>
      <w:r>
        <w:rPr>
          <w:rFonts w:ascii="仿宋_GB2312" w:hAnsi="仿宋_GB2312" w:eastAsia="仿宋_GB2312"/>
          <w:b/>
          <w:sz w:val="32"/>
        </w:rPr>
        <w:t>2024年度财政拨款收入总计449.31万元，</w:t>
      </w:r>
      <w:r>
        <w:rPr>
          <w:rFonts w:ascii="仿宋_GB2312" w:hAnsi="仿宋_GB2312" w:eastAsia="仿宋_GB2312"/>
          <w:b w:val="0"/>
          <w:sz w:val="32"/>
        </w:rPr>
        <w:t>其中：年初财政拨款结转和结余0.00万元，本年财政拨款收入449.31万元。</w:t>
      </w:r>
      <w:r>
        <w:rPr>
          <w:rFonts w:ascii="仿宋_GB2312" w:hAnsi="仿宋_GB2312" w:eastAsia="仿宋_GB2312"/>
          <w:b/>
          <w:sz w:val="32"/>
        </w:rPr>
        <w:t>财政拨款支出总计449.31万元，</w:t>
      </w:r>
      <w:r>
        <w:rPr>
          <w:rFonts w:ascii="仿宋_GB2312" w:hAnsi="仿宋_GB2312" w:eastAsia="仿宋_GB2312"/>
          <w:b w:val="0"/>
          <w:sz w:val="32"/>
        </w:rPr>
        <w:t>其中：年末财政拨款结转和结余0.00万元，本年财政拨款支出449.31万元。</w:t>
      </w:r>
    </w:p>
    <w:p w14:paraId="24E22D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增加41.10万元，增长10.07%，主要原因是：在职人员工资调增，社保，住房公积金等相关人员经费增加。本年增加全民体检项目资金。</w:t>
      </w:r>
      <w:r>
        <w:rPr>
          <w:rFonts w:ascii="仿宋_GB2312" w:hAnsi="仿宋_GB2312" w:eastAsia="仿宋_GB2312"/>
          <w:b/>
          <w:sz w:val="32"/>
        </w:rPr>
        <w:t>与年初预算相比，</w:t>
      </w:r>
      <w:r>
        <w:rPr>
          <w:rFonts w:ascii="仿宋_GB2312" w:hAnsi="仿宋_GB2312" w:eastAsia="仿宋_GB2312"/>
          <w:b w:val="0"/>
          <w:sz w:val="32"/>
        </w:rPr>
        <w:t>年初预算数311.79万元，决算数449.31万元，预决算差异率44.11%，主要原因是：年中追加基本公共卫生项目服务资金、中央重大传染病补助资金、全民体检项目资金等项目资金，导致预决算存在差异。</w:t>
      </w:r>
    </w:p>
    <w:p w14:paraId="59566649">
      <w:pPr>
        <w:spacing w:line="640" w:lineRule="exact"/>
        <w:ind w:firstLine="640"/>
        <w:jc w:val="both"/>
        <w:outlineLvl w:val="2"/>
      </w:pPr>
      <w:r>
        <w:rPr>
          <w:rFonts w:ascii="黑体" w:hAnsi="黑体" w:eastAsia="黑体"/>
          <w:sz w:val="32"/>
        </w:rPr>
        <w:t>五、一般公共预算财政拨款支出决算情况说明</w:t>
      </w:r>
    </w:p>
    <w:p w14:paraId="38408EDD">
      <w:pPr>
        <w:spacing w:line="640" w:lineRule="exact"/>
        <w:ind w:firstLine="640"/>
        <w:jc w:val="both"/>
        <w:outlineLvl w:val="3"/>
      </w:pPr>
      <w:r>
        <w:rPr>
          <w:rFonts w:ascii="楷体_GB2312" w:hAnsi="楷体_GB2312" w:eastAsia="楷体_GB2312"/>
          <w:b/>
          <w:sz w:val="32"/>
        </w:rPr>
        <w:t>（一）一般公共预算财政拨款支出决算总体情况</w:t>
      </w:r>
    </w:p>
    <w:p w14:paraId="49BD1931">
      <w:pPr>
        <w:spacing w:line="580" w:lineRule="exact"/>
        <w:ind w:firstLine="640"/>
        <w:jc w:val="both"/>
      </w:pPr>
      <w:r>
        <w:rPr>
          <w:rFonts w:ascii="仿宋_GB2312" w:hAnsi="仿宋_GB2312" w:eastAsia="仿宋_GB2312"/>
          <w:b/>
          <w:sz w:val="32"/>
        </w:rPr>
        <w:t>2024年度一般公共预算财政拨款支出448.55万元，</w:t>
      </w:r>
      <w:r>
        <w:rPr>
          <w:rFonts w:ascii="仿宋_GB2312" w:hAnsi="仿宋_GB2312" w:eastAsia="仿宋_GB2312"/>
          <w:b w:val="0"/>
          <w:sz w:val="32"/>
        </w:rPr>
        <w:t>占本年支出合计的88.05%。</w:t>
      </w:r>
      <w:r>
        <w:rPr>
          <w:rFonts w:ascii="仿宋_GB2312" w:hAnsi="仿宋_GB2312" w:eastAsia="仿宋_GB2312"/>
          <w:b/>
          <w:sz w:val="32"/>
        </w:rPr>
        <w:t>与上年相比，</w:t>
      </w:r>
      <w:r>
        <w:rPr>
          <w:rFonts w:ascii="仿宋_GB2312" w:hAnsi="仿宋_GB2312" w:eastAsia="仿宋_GB2312"/>
          <w:b w:val="0"/>
          <w:sz w:val="32"/>
        </w:rPr>
        <w:t>增加40.34万元，增长9.88%，主要原因是：在职人员工资调增，社保，住房公积金等相关人员经费增加。本年增加全民体检项目资金。</w:t>
      </w:r>
      <w:r>
        <w:rPr>
          <w:rFonts w:ascii="仿宋_GB2312" w:hAnsi="仿宋_GB2312" w:eastAsia="仿宋_GB2312"/>
          <w:b/>
          <w:sz w:val="32"/>
        </w:rPr>
        <w:t>与年初预算相比,</w:t>
      </w:r>
      <w:r>
        <w:rPr>
          <w:rFonts w:ascii="仿宋_GB2312" w:hAnsi="仿宋_GB2312" w:eastAsia="仿宋_GB2312"/>
          <w:b w:val="0"/>
          <w:sz w:val="32"/>
        </w:rPr>
        <w:t>年初预算数311.79万元，决算数448.55万元，预决算差异率43.86%，主要原因是：年中追加基本公共卫生项目服务资金、中央重大传染病补助资金、全民体检项目资金等项目资金，导致预决算存在差异。</w:t>
      </w:r>
    </w:p>
    <w:p w14:paraId="5FDF1743">
      <w:pPr>
        <w:spacing w:line="640" w:lineRule="exact"/>
        <w:ind w:firstLine="640"/>
        <w:jc w:val="both"/>
        <w:outlineLvl w:val="3"/>
      </w:pPr>
      <w:r>
        <w:rPr>
          <w:rFonts w:ascii="楷体_GB2312" w:hAnsi="楷体_GB2312" w:eastAsia="楷体_GB2312"/>
          <w:b/>
          <w:sz w:val="32"/>
        </w:rPr>
        <w:t>（二）一般公共预算财政拨款支出决算结构情况</w:t>
      </w:r>
    </w:p>
    <w:p w14:paraId="3E56718A">
      <w:pPr>
        <w:spacing w:line="580" w:lineRule="exact"/>
        <w:ind w:firstLine="640"/>
        <w:jc w:val="both"/>
      </w:pPr>
      <w:r>
        <w:rPr>
          <w:rFonts w:ascii="仿宋_GB2312" w:hAnsi="仿宋_GB2312" w:eastAsia="仿宋_GB2312"/>
          <w:b w:val="0"/>
          <w:sz w:val="32"/>
        </w:rPr>
        <w:t>1.社会保障和就业支出(类)42.36万元,占9.44%。</w:t>
      </w:r>
    </w:p>
    <w:p w14:paraId="123BF608">
      <w:pPr>
        <w:spacing w:line="580" w:lineRule="exact"/>
        <w:ind w:firstLine="640"/>
        <w:jc w:val="both"/>
      </w:pPr>
      <w:r>
        <w:rPr>
          <w:rFonts w:ascii="仿宋_GB2312" w:hAnsi="仿宋_GB2312" w:eastAsia="仿宋_GB2312"/>
          <w:b w:val="0"/>
          <w:sz w:val="32"/>
        </w:rPr>
        <w:t>2.卫生健康支出(类)384.25万元,占85.66%。</w:t>
      </w:r>
    </w:p>
    <w:p w14:paraId="4883D150">
      <w:pPr>
        <w:spacing w:line="580" w:lineRule="exact"/>
        <w:ind w:firstLine="640"/>
        <w:jc w:val="both"/>
      </w:pPr>
      <w:r>
        <w:rPr>
          <w:rFonts w:ascii="仿宋_GB2312" w:hAnsi="仿宋_GB2312" w:eastAsia="仿宋_GB2312"/>
          <w:b w:val="0"/>
          <w:sz w:val="32"/>
        </w:rPr>
        <w:t>3.住房保障支出(类)21.94万元,占4.89%。</w:t>
      </w:r>
    </w:p>
    <w:p w14:paraId="0158AA03">
      <w:pPr>
        <w:spacing w:line="640" w:lineRule="exact"/>
        <w:ind w:firstLine="640"/>
        <w:jc w:val="both"/>
        <w:outlineLvl w:val="3"/>
      </w:pPr>
      <w:r>
        <w:rPr>
          <w:rFonts w:ascii="楷体_GB2312" w:hAnsi="楷体_GB2312" w:eastAsia="楷体_GB2312"/>
          <w:b/>
          <w:sz w:val="32"/>
        </w:rPr>
        <w:t>（三）一般公共预算财政拨款支出决算具体情况</w:t>
      </w:r>
    </w:p>
    <w:p w14:paraId="3A9218E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1.社会保障和就业支出(类)行政事业单位养老支出(款)事业单位离退休(项):支出决算数为0.70万元，比上年决算增加0.42万元，增长150.00%,主要原因是：本年增加退休人员基础绩效奖，退休费支出增加。</w:t>
      </w:r>
    </w:p>
    <w:p w14:paraId="230BCD3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27.77万元，比上年决算增加3.83万元，增长16.00%,主要原因是：本年在职人员工资基数调增，养老缴费基数上涨，相应支出增加。</w:t>
      </w:r>
    </w:p>
    <w:p w14:paraId="0E08C74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3.社会保障和就业支出(类)行政事业单位养老支出(款)机关事业单位职业年金缴费支出(项):支出决算数为13.89万元，比上年决算增加1.92万元，增长16.04%,主要原因是：在职人员工资调增，职业年金缴费增加。</w:t>
      </w:r>
    </w:p>
    <w:p w14:paraId="74AF39F7">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4.卫生健康支出(类)卫生健康管理事务(款)其他卫生健康管理事务支出(项):支出决算数为1.34万元，比上年决算减少0.12万元，下降8.22%,主要原因是：本年村医减少，村医工资减少。</w:t>
      </w:r>
    </w:p>
    <w:p w14:paraId="5728EA3D">
      <w:pPr>
        <w:spacing w:line="580" w:lineRule="exact"/>
        <w:ind w:firstLine="640"/>
        <w:jc w:val="both"/>
      </w:pPr>
      <w:r>
        <w:rPr>
          <w:rFonts w:ascii="仿宋_GB2312" w:hAnsi="仿宋_GB2312" w:eastAsia="仿宋_GB2312"/>
          <w:b w:val="0"/>
          <w:sz w:val="32"/>
        </w:rPr>
        <w:t>5.卫生健康支出(类)基层医疗卫生机构(款)乡镇卫生院(项):支出决算数为243.20万元，比上年决算增加24.75万元，增长11.33%,主要原因是：本年在职人员工资调增，相关人员经费增加。</w:t>
      </w:r>
    </w:p>
    <w:p w14:paraId="523D4B25">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6.卫生健康支出(类)基层医疗卫生机构(款)其他基层医疗卫生机构支出(项):支出决算数为9.00万元，比上年决算增加0.16万元，增长1.81%,主要原因是：本年中央财政基本药物制度补助资金较上年增加。</w:t>
      </w:r>
    </w:p>
    <w:p w14:paraId="3B9797ED">
      <w:pPr>
        <w:spacing w:line="580" w:lineRule="exact"/>
        <w:ind w:firstLine="640"/>
        <w:jc w:val="both"/>
      </w:pPr>
      <w:r>
        <w:rPr>
          <w:rFonts w:ascii="仿宋_GB2312" w:hAnsi="仿宋_GB2312" w:eastAsia="仿宋_GB2312"/>
          <w:b w:val="0"/>
          <w:sz w:val="32"/>
        </w:rPr>
        <w:t>7.卫生健康支出(类)公共卫生(款)基本公共卫生服务(项):支出决算数为101.91万元，比上年决算增加0.53万元，增长0.52%,主要原因是：本年增加中央基本公共卫生服务补助资金。</w:t>
      </w:r>
    </w:p>
    <w:p w14:paraId="3DF6DC10">
      <w:pPr>
        <w:spacing w:line="580" w:lineRule="exact"/>
        <w:ind w:firstLine="640"/>
        <w:jc w:val="both"/>
      </w:pPr>
      <w:r>
        <w:rPr>
          <w:rFonts w:ascii="仿宋_GB2312" w:hAnsi="仿宋_GB2312" w:eastAsia="仿宋_GB2312"/>
          <w:b w:val="0"/>
          <w:sz w:val="32"/>
        </w:rPr>
        <w:t>8.卫生健康支出(类)公共卫生(款)重大公共卫生服务(项):支出决算数为0.15万元，比上年决算减少1.55万元，下降91.18%,主要原因是：本年度卫生院辖区内传染病人数减少，重大传染病防控</w:t>
      </w:r>
      <w:r>
        <w:rPr>
          <w:rFonts w:hint="eastAsia" w:ascii="仿宋_GB2312" w:hAnsi="仿宋_GB2312" w:eastAsia="仿宋_GB2312"/>
          <w:b w:val="0"/>
          <w:sz w:val="32"/>
          <w:lang w:eastAsia="zh-CN"/>
        </w:rPr>
        <w:t>经费</w:t>
      </w:r>
      <w:r>
        <w:rPr>
          <w:rFonts w:ascii="仿宋_GB2312" w:hAnsi="仿宋_GB2312" w:eastAsia="仿宋_GB2312"/>
          <w:b w:val="0"/>
          <w:sz w:val="32"/>
        </w:rPr>
        <w:t>减少。</w:t>
      </w:r>
    </w:p>
    <w:p w14:paraId="1B7BA8FC">
      <w:pPr>
        <w:spacing w:line="580" w:lineRule="exact"/>
        <w:ind w:firstLine="640"/>
        <w:jc w:val="both"/>
      </w:pPr>
      <w:r>
        <w:rPr>
          <w:rFonts w:ascii="仿宋_GB2312" w:hAnsi="仿宋_GB2312" w:eastAsia="仿宋_GB2312"/>
          <w:b w:val="0"/>
          <w:sz w:val="32"/>
        </w:rPr>
        <w:t>9.卫生健康支出(类)公共卫生(款)其他公共卫生支出(项):支出决算数为13.89万元，比上年决算增加5.05万元，增长57.13%,主要原因是：本年增加全民体检项目资金。</w:t>
      </w:r>
    </w:p>
    <w:p w14:paraId="4B66C19E">
      <w:pPr>
        <w:spacing w:line="580" w:lineRule="exact"/>
        <w:ind w:firstLine="640"/>
        <w:jc w:val="both"/>
      </w:pPr>
      <w:r>
        <w:rPr>
          <w:rFonts w:ascii="仿宋_GB2312" w:hAnsi="仿宋_GB2312" w:eastAsia="仿宋_GB2312"/>
          <w:b w:val="0"/>
          <w:sz w:val="32"/>
        </w:rPr>
        <w:t>10.卫生健康支出(类)行政事业单位医疗(款)事业单位医疗(项):支出决算数为13.89万元，比上年决算增加1.88万元，增长15.65%,主要原因是：在职人员工资调增，医疗保险缴费增加。</w:t>
      </w:r>
    </w:p>
    <w:p w14:paraId="3C300744">
      <w:pPr>
        <w:spacing w:line="580" w:lineRule="exact"/>
        <w:ind w:firstLine="640"/>
        <w:jc w:val="both"/>
      </w:pPr>
      <w:r>
        <w:rPr>
          <w:rFonts w:ascii="仿宋_GB2312" w:hAnsi="仿宋_GB2312" w:eastAsia="仿宋_GB2312"/>
          <w:b w:val="0"/>
          <w:sz w:val="32"/>
        </w:rPr>
        <w:t>11.卫生健康支出(类)行政事业单位医疗(款)公务员医疗补助(项):支出决算数为0.87万元，比上年决算增加0.12万元，增长16.00%,主要原因是：在职人员工资调增，公务员医疗补助缴费增加。</w:t>
      </w:r>
    </w:p>
    <w:p w14:paraId="35B5BD4C">
      <w:pPr>
        <w:spacing w:line="580" w:lineRule="exact"/>
        <w:ind w:firstLine="640"/>
        <w:jc w:val="both"/>
      </w:pPr>
      <w:r>
        <w:rPr>
          <w:rFonts w:ascii="仿宋_GB2312" w:hAnsi="仿宋_GB2312" w:eastAsia="仿宋_GB2312"/>
          <w:b w:val="0"/>
          <w:sz w:val="32"/>
        </w:rPr>
        <w:t>12.住房保障支出(类)住房改革支出(款)住房公积金(项):支出决算数为21.94万元，比上年决算增加3.35万元，增长18.02%,主要原因是：在职人员工资调增，住房公积金缴费增加。</w:t>
      </w:r>
    </w:p>
    <w:p w14:paraId="6F929267">
      <w:pPr>
        <w:spacing w:line="640" w:lineRule="exact"/>
        <w:ind w:firstLine="640"/>
        <w:jc w:val="both"/>
        <w:outlineLvl w:val="2"/>
      </w:pPr>
      <w:r>
        <w:rPr>
          <w:rFonts w:ascii="黑体" w:hAnsi="黑体" w:eastAsia="黑体"/>
          <w:sz w:val="32"/>
        </w:rPr>
        <w:t>六、一般公共预算财政拨款基本支出决算情况说明</w:t>
      </w:r>
    </w:p>
    <w:p w14:paraId="34B9107A">
      <w:pPr>
        <w:spacing w:line="580" w:lineRule="exact"/>
        <w:ind w:firstLine="640"/>
        <w:jc w:val="both"/>
      </w:pPr>
      <w:r>
        <w:rPr>
          <w:rFonts w:ascii="仿宋_GB2312" w:hAnsi="仿宋_GB2312" w:eastAsia="仿宋_GB2312"/>
          <w:b w:val="0"/>
          <w:sz w:val="32"/>
        </w:rPr>
        <w:t>2024年度一般公共预算财政拨款基本支出322.25万元，其中：</w:t>
      </w:r>
      <w:r>
        <w:rPr>
          <w:rFonts w:ascii="仿宋_GB2312" w:hAnsi="仿宋_GB2312" w:eastAsia="仿宋_GB2312"/>
          <w:b/>
          <w:sz w:val="32"/>
        </w:rPr>
        <w:t>人员经费308.16万元，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19862158">
      <w:pPr>
        <w:spacing w:line="580" w:lineRule="exact"/>
        <w:ind w:firstLine="640"/>
        <w:jc w:val="both"/>
      </w:pPr>
      <w:r>
        <w:rPr>
          <w:rFonts w:ascii="仿宋_GB2312" w:hAnsi="仿宋_GB2312" w:eastAsia="仿宋_GB2312"/>
          <w:b/>
          <w:sz w:val="32"/>
        </w:rPr>
        <w:t>公用经费14.09万元，</w:t>
      </w:r>
      <w:r>
        <w:rPr>
          <w:rFonts w:ascii="仿宋_GB2312" w:hAnsi="仿宋_GB2312" w:eastAsia="仿宋_GB2312"/>
          <w:b w:val="0"/>
          <w:sz w:val="32"/>
        </w:rPr>
        <w:t>包括：水费、电费、邮电费、维修（护）费、专用材料费、工会经费、其他交通费用、其他商品和服务支出。</w:t>
      </w:r>
    </w:p>
    <w:p w14:paraId="481B2FB3">
      <w:pPr>
        <w:spacing w:line="640" w:lineRule="exact"/>
        <w:ind w:firstLine="640"/>
        <w:jc w:val="both"/>
        <w:outlineLvl w:val="2"/>
      </w:pPr>
      <w:r>
        <w:rPr>
          <w:rFonts w:ascii="黑体" w:hAnsi="黑体" w:eastAsia="黑体"/>
          <w:sz w:val="32"/>
        </w:rPr>
        <w:t>七、政府性基金预算财政拨款收入支出决算情况说明</w:t>
      </w:r>
    </w:p>
    <w:p w14:paraId="6EE85645">
      <w:pPr>
        <w:spacing w:line="580" w:lineRule="exact"/>
        <w:ind w:firstLine="640"/>
        <w:jc w:val="both"/>
      </w:pPr>
      <w:r>
        <w:rPr>
          <w:rFonts w:ascii="仿宋_GB2312" w:hAnsi="仿宋_GB2312" w:eastAsia="仿宋_GB2312"/>
          <w:b/>
          <w:sz w:val="32"/>
        </w:rPr>
        <w:t>2024年度政府性基金预算财政拨款收入总计0.76万元，</w:t>
      </w:r>
      <w:r>
        <w:rPr>
          <w:rFonts w:ascii="仿宋_GB2312" w:hAnsi="仿宋_GB2312" w:eastAsia="仿宋_GB2312"/>
          <w:b w:val="0"/>
          <w:sz w:val="32"/>
        </w:rPr>
        <w:t>其中：年初结转和结余0.00万元，本年收入0.76万元。</w:t>
      </w:r>
      <w:r>
        <w:rPr>
          <w:rFonts w:ascii="仿宋_GB2312" w:hAnsi="仿宋_GB2312" w:eastAsia="仿宋_GB2312"/>
          <w:b/>
          <w:sz w:val="32"/>
        </w:rPr>
        <w:t>政府性基金预算财政拨款支出总计0.76万元，</w:t>
      </w:r>
      <w:r>
        <w:rPr>
          <w:rFonts w:ascii="仿宋_GB2312" w:hAnsi="仿宋_GB2312" w:eastAsia="仿宋_GB2312"/>
          <w:b w:val="0"/>
          <w:sz w:val="32"/>
        </w:rPr>
        <w:t>其中：年末结转和结余0.00万元，本年支出0.76万元。</w:t>
      </w:r>
    </w:p>
    <w:p w14:paraId="40D6AC4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增加0.76万元，增长100.00%，主要原因是：本年度新增失能老人健康评估资金。</w:t>
      </w:r>
      <w:r>
        <w:rPr>
          <w:rFonts w:ascii="仿宋_GB2312" w:hAnsi="仿宋_GB2312" w:eastAsia="仿宋_GB2312"/>
          <w:b/>
          <w:sz w:val="32"/>
        </w:rPr>
        <w:t>与年初预算相比，</w:t>
      </w:r>
      <w:r>
        <w:rPr>
          <w:rFonts w:ascii="仿宋_GB2312" w:hAnsi="仿宋_GB2312" w:eastAsia="仿宋_GB2312"/>
          <w:b w:val="0"/>
          <w:sz w:val="32"/>
        </w:rPr>
        <w:t>年初预算数0.00万元，决算数0.76万元，预决算差异率100.00%，主要原因是：年中</w:t>
      </w:r>
      <w:r>
        <w:rPr>
          <w:rFonts w:hint="eastAsia" w:ascii="仿宋_GB2312" w:hAnsi="仿宋_GB2312" w:eastAsia="仿宋_GB2312"/>
          <w:b w:val="0"/>
          <w:sz w:val="32"/>
          <w:lang w:val="en-US" w:eastAsia="zh-CN"/>
        </w:rPr>
        <w:t>追</w:t>
      </w:r>
      <w:r>
        <w:rPr>
          <w:rFonts w:ascii="仿宋_GB2312" w:hAnsi="仿宋_GB2312" w:eastAsia="仿宋_GB2312"/>
          <w:b w:val="0"/>
          <w:sz w:val="32"/>
        </w:rPr>
        <w:t>加失能老人健康评估资金。</w:t>
      </w:r>
    </w:p>
    <w:p w14:paraId="4AB7DE4D">
      <w:pPr>
        <w:spacing w:line="580" w:lineRule="exact"/>
        <w:ind w:firstLine="640"/>
        <w:jc w:val="both"/>
      </w:pPr>
      <w:r>
        <w:rPr>
          <w:rFonts w:ascii="仿宋_GB2312" w:hAnsi="仿宋_GB2312" w:eastAsia="仿宋_GB2312"/>
          <w:b w:val="0"/>
          <w:sz w:val="32"/>
        </w:rPr>
        <w:t>政府性基金预算财政拨款支出0.76万元。</w:t>
      </w:r>
    </w:p>
    <w:p w14:paraId="5AB3CFE8">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1.其他支出(类)彩票公益金安排的支出(款)用于社会福利的彩票公益金支出(项):支出决算数为0.76万元，比上年决算增加0.76万元，增长100.00%,主要原因是：本年度新增失能老人健康评估资金。</w:t>
      </w:r>
    </w:p>
    <w:p w14:paraId="78E69B24">
      <w:pPr>
        <w:spacing w:line="640" w:lineRule="exact"/>
        <w:ind w:firstLine="640"/>
        <w:jc w:val="both"/>
        <w:outlineLvl w:val="2"/>
      </w:pPr>
      <w:r>
        <w:rPr>
          <w:rFonts w:ascii="黑体" w:hAnsi="黑体" w:eastAsia="黑体"/>
          <w:sz w:val="32"/>
        </w:rPr>
        <w:t>八、国有资本经营预算财政拨款收入支出决算情况说明</w:t>
      </w:r>
    </w:p>
    <w:p w14:paraId="0DBDD80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F8399F">
      <w:pPr>
        <w:spacing w:line="640" w:lineRule="exact"/>
        <w:ind w:firstLine="640"/>
        <w:jc w:val="both"/>
        <w:outlineLvl w:val="2"/>
      </w:pPr>
      <w:r>
        <w:rPr>
          <w:rFonts w:ascii="黑体" w:hAnsi="黑体" w:eastAsia="黑体"/>
          <w:sz w:val="32"/>
        </w:rPr>
        <w:t>九、财政拨款“三公”经费支出决算情况说明</w:t>
      </w:r>
    </w:p>
    <w:p w14:paraId="31CF796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7120B43">
      <w:pPr>
        <w:spacing w:line="580" w:lineRule="exact"/>
        <w:ind w:firstLine="640"/>
        <w:jc w:val="both"/>
      </w:pPr>
      <w:r>
        <w:rPr>
          <w:rFonts w:ascii="仿宋_GB2312" w:hAnsi="仿宋_GB2312" w:eastAsia="仿宋_GB2312"/>
          <w:b/>
          <w:sz w:val="32"/>
        </w:rPr>
        <w:t>具体情况如下：</w:t>
      </w:r>
    </w:p>
    <w:p w14:paraId="2F412B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EA1A2A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医疗救护车，属于业务用车，未安排公务用车运行维护费。</w:t>
      </w:r>
    </w:p>
    <w:p w14:paraId="03EFAA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246E0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3CDC871">
      <w:pPr>
        <w:spacing w:line="640" w:lineRule="exact"/>
        <w:ind w:firstLine="640"/>
        <w:jc w:val="both"/>
        <w:outlineLvl w:val="2"/>
      </w:pPr>
      <w:r>
        <w:rPr>
          <w:rFonts w:ascii="黑体" w:hAnsi="黑体" w:eastAsia="黑体"/>
          <w:sz w:val="32"/>
        </w:rPr>
        <w:t>十、其他重要事项的情况说明</w:t>
      </w:r>
    </w:p>
    <w:p w14:paraId="61FDFF47">
      <w:pPr>
        <w:spacing w:line="640" w:lineRule="exact"/>
        <w:ind w:firstLine="640"/>
        <w:jc w:val="both"/>
        <w:outlineLvl w:val="3"/>
      </w:pPr>
      <w:r>
        <w:rPr>
          <w:rFonts w:ascii="楷体_GB2312" w:hAnsi="楷体_GB2312" w:eastAsia="楷体_GB2312"/>
          <w:b/>
          <w:sz w:val="32"/>
        </w:rPr>
        <w:t>（一）机关运行经费及公用经费支出情况</w:t>
      </w:r>
    </w:p>
    <w:p w14:paraId="6BEE46BB">
      <w:pPr>
        <w:spacing w:line="580" w:lineRule="exact"/>
        <w:ind w:firstLine="640"/>
        <w:jc w:val="both"/>
      </w:pPr>
      <w:r>
        <w:rPr>
          <w:rFonts w:ascii="仿宋_GB2312" w:hAnsi="仿宋_GB2312" w:eastAsia="仿宋_GB2312"/>
          <w:b w:val="0"/>
          <w:sz w:val="32"/>
        </w:rPr>
        <w:t>2024年度吉木萨尔县新地乡卫生院（事业单位）公用经费支出14.09万元，比上年增加0.70万元，增长5.23%，主要原因是：本单位改用电采暖，电费增加，导致公用经费增加。</w:t>
      </w:r>
    </w:p>
    <w:p w14:paraId="22BB1369">
      <w:pPr>
        <w:spacing w:line="640" w:lineRule="exact"/>
        <w:ind w:firstLine="640"/>
        <w:jc w:val="both"/>
        <w:outlineLvl w:val="3"/>
      </w:pPr>
      <w:r>
        <w:rPr>
          <w:rFonts w:ascii="楷体_GB2312" w:hAnsi="楷体_GB2312" w:eastAsia="楷体_GB2312"/>
          <w:b/>
          <w:sz w:val="32"/>
        </w:rPr>
        <w:t>（二）政府采购情况</w:t>
      </w:r>
    </w:p>
    <w:p w14:paraId="2B4BC9C9">
      <w:pPr>
        <w:spacing w:line="580" w:lineRule="exact"/>
        <w:ind w:firstLine="640"/>
        <w:jc w:val="both"/>
      </w:pPr>
      <w:r>
        <w:rPr>
          <w:rFonts w:ascii="仿宋_GB2312" w:hAnsi="仿宋_GB2312" w:eastAsia="仿宋_GB2312"/>
          <w:b w:val="0"/>
          <w:sz w:val="32"/>
        </w:rPr>
        <w:t>2024年度政府采购支出总额2.81万元，其中：政府采购货物支出1.90万元、政府采购工程支出0.00万元、政府采购服务支出0.91万元。</w:t>
      </w:r>
    </w:p>
    <w:p w14:paraId="22EF98C9">
      <w:pPr>
        <w:spacing w:line="580" w:lineRule="exact"/>
        <w:ind w:firstLine="640"/>
        <w:jc w:val="both"/>
      </w:pPr>
      <w:r>
        <w:rPr>
          <w:rFonts w:ascii="仿宋_GB2312" w:hAnsi="仿宋_GB2312" w:eastAsia="仿宋_GB2312"/>
          <w:b w:val="0"/>
          <w:sz w:val="32"/>
        </w:rPr>
        <w:t>授予中小企业合同金额2.81万元，占政府采购支出总额的100.00%，其中：授予小微企业合同金额2.35万元，占政府采购支出总额的83.63%。</w:t>
      </w:r>
    </w:p>
    <w:p w14:paraId="239E63BC">
      <w:pPr>
        <w:spacing w:line="640" w:lineRule="exact"/>
        <w:ind w:firstLine="640"/>
        <w:jc w:val="both"/>
        <w:outlineLvl w:val="3"/>
      </w:pPr>
      <w:r>
        <w:rPr>
          <w:rFonts w:ascii="楷体_GB2312" w:hAnsi="楷体_GB2312" w:eastAsia="楷体_GB2312"/>
          <w:b/>
          <w:sz w:val="32"/>
        </w:rPr>
        <w:t>（三）国有资产占用情况说明</w:t>
      </w:r>
    </w:p>
    <w:p w14:paraId="2A7A3D86">
      <w:pPr>
        <w:spacing w:line="580" w:lineRule="exact"/>
        <w:ind w:firstLine="640"/>
        <w:jc w:val="both"/>
      </w:pPr>
      <w:r>
        <w:rPr>
          <w:rFonts w:ascii="仿宋_GB2312" w:hAnsi="仿宋_GB2312" w:eastAsia="仿宋_GB2312"/>
          <w:b w:val="0"/>
          <w:sz w:val="32"/>
        </w:rPr>
        <w:t>截至2024年12月31日，房屋2,536.12平方米，价值321.22万元。车辆2辆，价值20.15万元，其中：副部（省）级及以上领导用车0辆、主要负责人用车0辆、机要通信用车0辆、应急保障用车0辆、执法执勤用车0辆、特种专业技术用车2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77464BF1">
      <w:pPr>
        <w:spacing w:line="640" w:lineRule="exact"/>
        <w:ind w:firstLine="640"/>
        <w:jc w:val="both"/>
        <w:outlineLvl w:val="2"/>
      </w:pPr>
      <w:r>
        <w:rPr>
          <w:rFonts w:ascii="黑体" w:hAnsi="黑体" w:eastAsia="黑体"/>
          <w:sz w:val="32"/>
        </w:rPr>
        <w:t>十一、预算绩效的情况说明</w:t>
      </w:r>
    </w:p>
    <w:p w14:paraId="7CC2E61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519.82万元，实际执行总额509.44万元；预算绩效评价项目0个，全年预算数0.00万元，全年执行数0.00万元。预算绩效管理取得的成效：本单位无项目支出绩效自评表。发现的问题及原因：本单位无项目支出绩效自评表。下一步改进措施：本单位无项目支出绩效自评表。具体附整体支出绩效自评表。</w:t>
      </w:r>
    </w:p>
    <w:p w14:paraId="3D85C7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9BC46D">
        <w:tblPrEx>
          <w:tblCellMar>
            <w:top w:w="0" w:type="dxa"/>
            <w:left w:w="108" w:type="dxa"/>
            <w:bottom w:w="0" w:type="dxa"/>
            <w:right w:w="108" w:type="dxa"/>
          </w:tblCellMar>
        </w:tblPrEx>
        <w:tc>
          <w:tcPr>
            <w:tcW w:w="8847" w:type="dxa"/>
            <w:gridSpan w:val="9"/>
            <w:vAlign w:val="center"/>
          </w:tcPr>
          <w:p w14:paraId="588BB4D2">
            <w:pPr>
              <w:jc w:val="center"/>
            </w:pPr>
            <w:r>
              <w:rPr>
                <w:rFonts w:ascii="宋体" w:hAnsi="宋体" w:eastAsia="宋体"/>
                <w:sz w:val="24"/>
              </w:rPr>
              <w:t>单位整体支出绩效自评表</w:t>
            </w:r>
          </w:p>
        </w:tc>
      </w:tr>
      <w:tr w14:paraId="51F4037E">
        <w:tblPrEx>
          <w:tblCellMar>
            <w:top w:w="0" w:type="dxa"/>
            <w:left w:w="108" w:type="dxa"/>
            <w:bottom w:w="0" w:type="dxa"/>
            <w:right w:w="108" w:type="dxa"/>
          </w:tblCellMar>
        </w:tblPrEx>
        <w:tc>
          <w:tcPr>
            <w:tcW w:w="8847" w:type="dxa"/>
            <w:gridSpan w:val="9"/>
            <w:vAlign w:val="center"/>
          </w:tcPr>
          <w:p w14:paraId="4CDD8502">
            <w:pPr>
              <w:jc w:val="center"/>
            </w:pPr>
            <w:r>
              <w:rPr>
                <w:rFonts w:ascii="宋体" w:hAnsi="宋体" w:eastAsia="宋体"/>
                <w:sz w:val="24"/>
              </w:rPr>
              <w:t>（2024年度）</w:t>
            </w:r>
          </w:p>
        </w:tc>
      </w:tr>
      <w:tr w14:paraId="019874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8495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093EAF">
            <w:pPr>
              <w:jc w:val="center"/>
            </w:pPr>
            <w:r>
              <w:rPr>
                <w:rFonts w:ascii="宋体" w:hAnsi="宋体" w:eastAsia="宋体"/>
                <w:sz w:val="16"/>
              </w:rPr>
              <w:t>吉木萨尔县新地乡卫生院</w:t>
            </w:r>
          </w:p>
        </w:tc>
      </w:tr>
      <w:tr w14:paraId="7C9C9E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3235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77D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A68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EE3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5AB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36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0F88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CF3B5">
            <w:pPr>
              <w:jc w:val="center"/>
            </w:pPr>
            <w:r>
              <w:rPr>
                <w:rFonts w:ascii="宋体" w:hAnsi="宋体" w:eastAsia="宋体"/>
                <w:sz w:val="16"/>
              </w:rPr>
              <w:t>得分</w:t>
            </w:r>
          </w:p>
        </w:tc>
      </w:tr>
      <w:tr w14:paraId="2DD197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5349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56D3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06C4">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3375D">
            <w:pPr>
              <w:jc w:val="center"/>
            </w:pPr>
            <w:r>
              <w:rPr>
                <w:rFonts w:ascii="宋体" w:hAnsi="宋体" w:eastAsia="宋体"/>
                <w:sz w:val="16"/>
              </w:rPr>
              <w:t>127.06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4EB5E">
            <w:pPr>
              <w:jc w:val="center"/>
            </w:pPr>
            <w:r>
              <w:rPr>
                <w:rFonts w:ascii="宋体" w:hAnsi="宋体" w:eastAsia="宋体"/>
                <w:sz w:val="16"/>
              </w:rPr>
              <w:t>127.06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A65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092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31EA2">
            <w:pPr>
              <w:jc w:val="center"/>
            </w:pPr>
            <w:r>
              <w:rPr>
                <w:rFonts w:ascii="宋体" w:hAnsi="宋体" w:eastAsia="宋体"/>
                <w:sz w:val="16"/>
              </w:rPr>
              <w:t>-</w:t>
            </w:r>
          </w:p>
        </w:tc>
      </w:tr>
      <w:tr w14:paraId="3E143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685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876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7EC8">
            <w:pPr>
              <w:jc w:val="center"/>
            </w:pPr>
            <w:r>
              <w:rPr>
                <w:rFonts w:ascii="宋体" w:hAnsi="宋体" w:eastAsia="宋体"/>
                <w:sz w:val="16"/>
              </w:rPr>
              <w:t>310.56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C69A4">
            <w:pPr>
              <w:jc w:val="center"/>
            </w:pPr>
            <w:r>
              <w:rPr>
                <w:rFonts w:ascii="宋体" w:hAnsi="宋体" w:eastAsia="宋体"/>
                <w:sz w:val="16"/>
              </w:rPr>
              <w:t>392.76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48B2">
            <w:pPr>
              <w:jc w:val="center"/>
            </w:pPr>
            <w:r>
              <w:rPr>
                <w:rFonts w:ascii="宋体" w:hAnsi="宋体" w:eastAsia="宋体"/>
                <w:sz w:val="16"/>
              </w:rPr>
              <w:t>382.38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50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F4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D4180">
            <w:pPr>
              <w:jc w:val="center"/>
            </w:pPr>
            <w:r>
              <w:rPr>
                <w:rFonts w:ascii="宋体" w:hAnsi="宋体" w:eastAsia="宋体"/>
                <w:sz w:val="16"/>
              </w:rPr>
              <w:t>-</w:t>
            </w:r>
          </w:p>
        </w:tc>
      </w:tr>
      <w:tr w14:paraId="4D5E36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6E2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3785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B913">
            <w:pPr>
              <w:jc w:val="center"/>
            </w:pPr>
            <w:r>
              <w:rPr>
                <w:rFonts w:ascii="宋体" w:hAnsi="宋体" w:eastAsia="宋体"/>
                <w:sz w:val="16"/>
              </w:rPr>
              <w:t>61.15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CE6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78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67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22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696F">
            <w:pPr>
              <w:jc w:val="center"/>
            </w:pPr>
            <w:r>
              <w:rPr>
                <w:rFonts w:ascii="宋体" w:hAnsi="宋体" w:eastAsia="宋体"/>
                <w:sz w:val="16"/>
              </w:rPr>
              <w:t>-</w:t>
            </w:r>
          </w:p>
        </w:tc>
      </w:tr>
      <w:tr w14:paraId="5612B3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105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2CFD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BC2D3">
            <w:pPr>
              <w:jc w:val="center"/>
            </w:pPr>
            <w:r>
              <w:rPr>
                <w:rFonts w:ascii="宋体" w:hAnsi="宋体" w:eastAsia="宋体"/>
                <w:sz w:val="16"/>
              </w:rPr>
              <w:t>372.94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FF80E">
            <w:pPr>
              <w:jc w:val="center"/>
            </w:pPr>
            <w:r>
              <w:rPr>
                <w:rFonts w:ascii="宋体" w:hAnsi="宋体" w:eastAsia="宋体"/>
                <w:sz w:val="16"/>
              </w:rPr>
              <w:t>519.82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A5DE">
            <w:pPr>
              <w:jc w:val="center"/>
            </w:pPr>
            <w:r>
              <w:rPr>
                <w:rFonts w:ascii="宋体" w:hAnsi="宋体" w:eastAsia="宋体"/>
                <w:sz w:val="16"/>
              </w:rPr>
              <w:t>509.44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F1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0AFE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E9C2A">
            <w:pPr>
              <w:jc w:val="center"/>
            </w:pPr>
            <w:r>
              <w:rPr>
                <w:rFonts w:ascii="宋体" w:hAnsi="宋体" w:eastAsia="宋体"/>
                <w:sz w:val="16"/>
              </w:rPr>
              <w:t>9.8</w:t>
            </w:r>
          </w:p>
        </w:tc>
      </w:tr>
      <w:tr w14:paraId="68B9B9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DCFB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9E164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B77556">
            <w:pPr>
              <w:jc w:val="center"/>
            </w:pPr>
            <w:r>
              <w:rPr>
                <w:rFonts w:ascii="宋体" w:hAnsi="宋体" w:eastAsia="宋体"/>
                <w:sz w:val="16"/>
              </w:rPr>
              <w:t>实际完成情况</w:t>
            </w:r>
          </w:p>
        </w:tc>
      </w:tr>
      <w:tr w14:paraId="6F944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659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10208D">
            <w:pPr>
              <w:jc w:val="both"/>
            </w:pPr>
            <w:r>
              <w:rPr>
                <w:rFonts w:ascii="宋体" w:hAnsi="宋体" w:eastAsia="宋体"/>
                <w:sz w:val="16"/>
              </w:rPr>
              <w:t>保障卫生院在职职工、村医员工资津贴补贴，社会保障缴费，住房公积金等；公用经费保障卫生院的正常运行。其他资金主要是单位事业收入。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6B08CB">
            <w:pPr>
              <w:jc w:val="both"/>
            </w:pPr>
            <w:r>
              <w:rPr>
                <w:rFonts w:ascii="宋体" w:hAnsi="宋体" w:eastAsia="宋体"/>
                <w:sz w:val="16"/>
              </w:rPr>
              <w:t>一、党风行风廉政建设方面。扎实推进党建工作，坚持把党建工作和业务工作相结合，严格执行“三会一课”“三重一大”制度，坚决落实党建工作各项制度，完善组织生活会制度、加强党员教育、严格党员管理。我院党支部每月定期召开1次党员大会、1次党课、每月开展集中学习1次。二是二、基本医疗服务情况。严格执行诊疗常规和操作规程、门诊病历、处方书写规范,认真执行护理常规、基础护理工作无漏洞。建立健全医院感染管理制度,成立组织,落实专人、责任到位。三是公共卫生工作开展情况。</w:t>
            </w:r>
          </w:p>
        </w:tc>
      </w:tr>
      <w:tr w14:paraId="17FF2E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F3D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E36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358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000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9DDC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8627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150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D7C1">
            <w:pPr>
              <w:jc w:val="center"/>
            </w:pPr>
            <w:r>
              <w:rPr>
                <w:rFonts w:ascii="宋体" w:hAnsi="宋体" w:eastAsia="宋体"/>
                <w:sz w:val="16"/>
              </w:rPr>
              <w:t>得分</w:t>
            </w:r>
          </w:p>
        </w:tc>
      </w:tr>
      <w:tr w14:paraId="5D469D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B3A2D">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CF43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1F461">
            <w:pPr>
              <w:jc w:val="center"/>
            </w:pPr>
            <w:r>
              <w:rPr>
                <w:rFonts w:ascii="宋体" w:hAnsi="宋体" w:eastAsia="宋体"/>
                <w:sz w:val="16"/>
              </w:rPr>
              <w:t>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C357">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066AE">
            <w:pPr>
              <w:jc w:val="center"/>
            </w:pPr>
            <w:r>
              <w:rPr>
                <w:rFonts w:ascii="宋体" w:hAnsi="宋体" w:eastAsia="宋体"/>
                <w:sz w:val="16"/>
              </w:rPr>
              <w:t>吉木萨尔县总院新地乡分院工资表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BEB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7BBC3">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D11C">
            <w:pPr>
              <w:jc w:val="center"/>
            </w:pPr>
            <w:r>
              <w:rPr>
                <w:rFonts w:ascii="宋体" w:hAnsi="宋体" w:eastAsia="宋体"/>
                <w:sz w:val="16"/>
              </w:rPr>
              <w:t>10</w:t>
            </w:r>
          </w:p>
        </w:tc>
      </w:tr>
      <w:tr w14:paraId="71FC52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DF08">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0BFA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F239">
            <w:pPr>
              <w:jc w:val="center"/>
            </w:pPr>
            <w:r>
              <w:rPr>
                <w:rFonts w:ascii="宋体" w:hAnsi="宋体" w:eastAsia="宋体"/>
                <w:sz w:val="16"/>
              </w:rPr>
              <w:t>健康档案建档率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A9A34">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364F">
            <w:pPr>
              <w:jc w:val="center"/>
            </w:pPr>
            <w:r>
              <w:rPr>
                <w:rFonts w:ascii="宋体" w:hAnsi="宋体" w:eastAsia="宋体"/>
                <w:sz w:val="16"/>
              </w:rPr>
              <w:t>吉木萨尔县总院新地乡分院2024年度工作计划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4E3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EF1F">
            <w:pPr>
              <w:jc w:val="center"/>
            </w:pPr>
            <w:r>
              <w:rPr>
                <w:rFonts w:ascii="宋体" w:hAnsi="宋体" w:eastAsia="宋体"/>
                <w:sz w:val="16"/>
              </w:rPr>
              <w:t>=83.52%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34378">
            <w:pPr>
              <w:jc w:val="center"/>
            </w:pPr>
            <w:r>
              <w:rPr>
                <w:rFonts w:ascii="宋体" w:hAnsi="宋体" w:eastAsia="宋体"/>
                <w:sz w:val="16"/>
              </w:rPr>
              <w:t>20</w:t>
            </w:r>
          </w:p>
        </w:tc>
      </w:tr>
      <w:tr w14:paraId="47182D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3F2C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925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A554C">
            <w:pPr>
              <w:jc w:val="center"/>
            </w:pPr>
            <w:r>
              <w:rPr>
                <w:rFonts w:ascii="宋体" w:hAnsi="宋体" w:eastAsia="宋体"/>
                <w:sz w:val="16"/>
              </w:rPr>
              <w:t>高血压规范管理率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5099">
            <w:pPr>
              <w:jc w:val="center"/>
            </w:pPr>
            <w:r>
              <w:rPr>
                <w:rFonts w:ascii="宋体" w:hAnsi="宋体" w:eastAsia="宋体"/>
                <w:sz w:val="16"/>
              </w:rPr>
              <w:t>&gt;=70%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FAFEB">
            <w:pPr>
              <w:jc w:val="center"/>
            </w:pPr>
            <w:r>
              <w:rPr>
                <w:rFonts w:ascii="宋体" w:hAnsi="宋体" w:eastAsia="宋体"/>
                <w:sz w:val="16"/>
              </w:rPr>
              <w:t>吉木萨尔县总院新地乡分院2024年度工作计划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B3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6B70">
            <w:pPr>
              <w:jc w:val="center"/>
            </w:pPr>
            <w:r>
              <w:rPr>
                <w:rFonts w:ascii="宋体" w:hAnsi="宋体" w:eastAsia="宋体"/>
                <w:sz w:val="16"/>
              </w:rPr>
              <w:t>=96.26%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D0D45">
            <w:pPr>
              <w:jc w:val="center"/>
            </w:pPr>
            <w:r>
              <w:rPr>
                <w:rFonts w:ascii="宋体" w:hAnsi="宋体" w:eastAsia="宋体"/>
                <w:sz w:val="16"/>
              </w:rPr>
              <w:t>10</w:t>
            </w:r>
          </w:p>
        </w:tc>
      </w:tr>
      <w:tr w14:paraId="263062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617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A66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F2AF2">
            <w:pPr>
              <w:jc w:val="center"/>
            </w:pPr>
            <w:r>
              <w:rPr>
                <w:rFonts w:ascii="宋体" w:hAnsi="宋体" w:eastAsia="宋体"/>
                <w:sz w:val="16"/>
              </w:rPr>
              <w:t>糖尿病规范管理率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AE37">
            <w:pPr>
              <w:jc w:val="center"/>
            </w:pPr>
            <w:r>
              <w:rPr>
                <w:rFonts w:ascii="宋体" w:hAnsi="宋体" w:eastAsia="宋体"/>
                <w:sz w:val="16"/>
              </w:rPr>
              <w:t>&gt;=70%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AE936">
            <w:pPr>
              <w:jc w:val="center"/>
            </w:pPr>
            <w:r>
              <w:rPr>
                <w:rFonts w:ascii="宋体" w:hAnsi="宋体" w:eastAsia="宋体"/>
                <w:sz w:val="16"/>
              </w:rPr>
              <w:t>吉木萨尔县总院新地乡分院2024年度工作计划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D6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B29A2">
            <w:pPr>
              <w:jc w:val="center"/>
            </w:pPr>
            <w:r>
              <w:rPr>
                <w:rFonts w:ascii="宋体" w:hAnsi="宋体" w:eastAsia="宋体"/>
                <w:sz w:val="16"/>
              </w:rPr>
              <w:t>=96.26%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8953F">
            <w:pPr>
              <w:jc w:val="center"/>
            </w:pPr>
            <w:r>
              <w:rPr>
                <w:rFonts w:ascii="宋体" w:hAnsi="宋体" w:eastAsia="宋体"/>
                <w:sz w:val="16"/>
              </w:rPr>
              <w:t>10</w:t>
            </w:r>
          </w:p>
        </w:tc>
      </w:tr>
      <w:tr w14:paraId="3411D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C92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DC2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317DF">
            <w:pPr>
              <w:jc w:val="center"/>
            </w:pPr>
            <w:r>
              <w:rPr>
                <w:rFonts w:ascii="宋体" w:hAnsi="宋体" w:eastAsia="宋体"/>
                <w:sz w:val="16"/>
              </w:rPr>
              <w:t>老年人健康管理率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1AE1B">
            <w:pPr>
              <w:jc w:val="center"/>
            </w:pPr>
            <w:r>
              <w:rPr>
                <w:rFonts w:ascii="宋体" w:hAnsi="宋体" w:eastAsia="宋体"/>
                <w:sz w:val="16"/>
              </w:rPr>
              <w:t>&gt;=65%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FA0EE">
            <w:pPr>
              <w:jc w:val="center"/>
            </w:pPr>
            <w:r>
              <w:rPr>
                <w:rFonts w:ascii="宋体" w:hAnsi="宋体" w:eastAsia="宋体"/>
                <w:sz w:val="16"/>
              </w:rPr>
              <w:t>吉木萨尔县总院新地乡分院2024年度工作计划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75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056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34699">
            <w:pPr>
              <w:jc w:val="center"/>
            </w:pPr>
            <w:r>
              <w:rPr>
                <w:rFonts w:ascii="宋体" w:hAnsi="宋体" w:eastAsia="宋体"/>
                <w:sz w:val="16"/>
              </w:rPr>
              <w:t>10</w:t>
            </w:r>
          </w:p>
        </w:tc>
      </w:tr>
      <w:tr w14:paraId="5998B6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5DC69">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4651">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F36D">
            <w:pPr>
              <w:jc w:val="center"/>
            </w:pPr>
            <w:r>
              <w:rPr>
                <w:rFonts w:ascii="宋体" w:hAnsi="宋体" w:eastAsia="宋体"/>
                <w:sz w:val="16"/>
              </w:rPr>
              <w:t>全民健康体检人数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635D">
            <w:pPr>
              <w:jc w:val="center"/>
            </w:pPr>
            <w:r>
              <w:rPr>
                <w:rFonts w:ascii="宋体" w:hAnsi="宋体" w:eastAsia="宋体"/>
                <w:sz w:val="16"/>
              </w:rPr>
              <w:t>&gt;=2100人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25774">
            <w:pPr>
              <w:jc w:val="center"/>
            </w:pPr>
            <w:r>
              <w:rPr>
                <w:rFonts w:ascii="宋体" w:hAnsi="宋体" w:eastAsia="宋体"/>
                <w:sz w:val="16"/>
              </w:rPr>
              <w:t>吉木萨尔县总院新地乡分院2024年度工作计划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D7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64F55">
            <w:pPr>
              <w:jc w:val="center"/>
            </w:pPr>
            <w:r>
              <w:rPr>
                <w:rFonts w:ascii="宋体" w:hAnsi="宋体" w:eastAsia="宋体"/>
                <w:sz w:val="16"/>
              </w:rPr>
              <w:t>=2194人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2C9C">
            <w:pPr>
              <w:jc w:val="center"/>
            </w:pPr>
            <w:r>
              <w:rPr>
                <w:rFonts w:ascii="宋体" w:hAnsi="宋体" w:eastAsia="宋体"/>
                <w:sz w:val="16"/>
              </w:rPr>
              <w:t>20</w:t>
            </w:r>
          </w:p>
        </w:tc>
      </w:tr>
      <w:tr w14:paraId="74D407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DE49">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664B">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23440">
            <w:pPr>
              <w:jc w:val="center"/>
            </w:pPr>
            <w:r>
              <w:rPr>
                <w:rFonts w:ascii="宋体" w:hAnsi="宋体" w:eastAsia="宋体"/>
                <w:sz w:val="16"/>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EC44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03EB">
            <w:pPr>
              <w:jc w:val="center"/>
            </w:pPr>
            <w:r>
              <w:rPr>
                <w:rFonts w:ascii="宋体" w:hAnsi="宋体" w:eastAsia="宋体"/>
                <w:sz w:val="16"/>
              </w:rPr>
              <w:t>吉木萨尔县总院新地乡分院2024年度工作计划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3A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1A9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8CB64">
            <w:pPr>
              <w:jc w:val="center"/>
            </w:pPr>
            <w:r>
              <w:rPr>
                <w:rFonts w:ascii="宋体" w:hAnsi="宋体" w:eastAsia="宋体"/>
                <w:sz w:val="16"/>
              </w:rPr>
              <w:t>10</w:t>
            </w:r>
          </w:p>
        </w:tc>
      </w:tr>
    </w:tbl>
    <w:p w14:paraId="1F692572">
      <w:r>
        <w:br w:type="page"/>
      </w:r>
    </w:p>
    <w:p w14:paraId="11DAAC08">
      <w:pPr>
        <w:spacing w:line="640" w:lineRule="exact"/>
        <w:ind w:firstLine="640"/>
        <w:jc w:val="both"/>
        <w:outlineLvl w:val="2"/>
      </w:pPr>
      <w:r>
        <w:rPr>
          <w:rFonts w:ascii="黑体" w:hAnsi="黑体" w:eastAsia="黑体"/>
          <w:sz w:val="32"/>
        </w:rPr>
        <w:t>十二、其他需说明的事项</w:t>
      </w:r>
    </w:p>
    <w:p w14:paraId="6DEACE72">
      <w:pPr>
        <w:spacing w:line="580" w:lineRule="exact"/>
        <w:ind w:firstLine="640"/>
        <w:jc w:val="both"/>
      </w:pPr>
      <w:r>
        <w:rPr>
          <w:rFonts w:ascii="仿宋_GB2312" w:hAnsi="仿宋_GB2312" w:eastAsia="仿宋_GB2312"/>
          <w:b w:val="0"/>
          <w:sz w:val="32"/>
        </w:rPr>
        <w:t>本单位无其他需说明的事项。</w:t>
      </w:r>
    </w:p>
    <w:p w14:paraId="1E4176DC">
      <w:r>
        <w:br w:type="page"/>
      </w:r>
    </w:p>
    <w:p w14:paraId="73BF2DB0">
      <w:pPr>
        <w:spacing w:line="240" w:lineRule="auto"/>
        <w:jc w:val="center"/>
        <w:outlineLvl w:val="1"/>
      </w:pPr>
      <w:r>
        <w:rPr>
          <w:rFonts w:ascii="黑体" w:hAnsi="黑体" w:eastAsia="黑体"/>
          <w:sz w:val="32"/>
        </w:rPr>
        <w:t>第三部分 专业名词解释</w:t>
      </w:r>
    </w:p>
    <w:p w14:paraId="58A091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F0BC6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C5625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07D33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21A0A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8DF1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5400D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2E6D3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98E6C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FBD7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81D72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CEF8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C2947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A2834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A9D7AFC">
      <w:r>
        <w:br w:type="page"/>
      </w:r>
    </w:p>
    <w:p w14:paraId="7FD05C4A">
      <w:pPr>
        <w:spacing w:line="240" w:lineRule="auto"/>
        <w:jc w:val="center"/>
        <w:outlineLvl w:val="1"/>
      </w:pPr>
      <w:r>
        <w:rPr>
          <w:rFonts w:ascii="黑体" w:hAnsi="黑体" w:eastAsia="黑体"/>
          <w:sz w:val="32"/>
        </w:rPr>
        <w:t>第四部分 部门决算报表（见附表）</w:t>
      </w:r>
    </w:p>
    <w:p w14:paraId="1474B64D">
      <w:pPr>
        <w:spacing w:line="240" w:lineRule="auto"/>
        <w:ind w:firstLine="640"/>
        <w:jc w:val="both"/>
      </w:pPr>
      <w:r>
        <w:rPr>
          <w:rFonts w:ascii="仿宋_GB2312" w:hAnsi="仿宋_GB2312" w:eastAsia="仿宋_GB2312"/>
          <w:b w:val="0"/>
          <w:sz w:val="32"/>
        </w:rPr>
        <w:t>一、《收入支出决算总表》</w:t>
      </w:r>
    </w:p>
    <w:p w14:paraId="1E682BAC">
      <w:pPr>
        <w:spacing w:line="240" w:lineRule="auto"/>
        <w:ind w:firstLine="640"/>
        <w:jc w:val="both"/>
      </w:pPr>
      <w:r>
        <w:rPr>
          <w:rFonts w:ascii="仿宋_GB2312" w:hAnsi="仿宋_GB2312" w:eastAsia="仿宋_GB2312"/>
          <w:b w:val="0"/>
          <w:sz w:val="32"/>
        </w:rPr>
        <w:t>二、《收入决算表》</w:t>
      </w:r>
    </w:p>
    <w:p w14:paraId="59171889">
      <w:pPr>
        <w:spacing w:line="240" w:lineRule="auto"/>
        <w:ind w:firstLine="640"/>
        <w:jc w:val="both"/>
      </w:pPr>
      <w:r>
        <w:rPr>
          <w:rFonts w:ascii="仿宋_GB2312" w:hAnsi="仿宋_GB2312" w:eastAsia="仿宋_GB2312"/>
          <w:b w:val="0"/>
          <w:sz w:val="32"/>
        </w:rPr>
        <w:t>三、《支出决算表》</w:t>
      </w:r>
    </w:p>
    <w:p w14:paraId="63428443">
      <w:pPr>
        <w:spacing w:line="240" w:lineRule="auto"/>
        <w:ind w:firstLine="640"/>
        <w:jc w:val="both"/>
      </w:pPr>
      <w:r>
        <w:rPr>
          <w:rFonts w:ascii="仿宋_GB2312" w:hAnsi="仿宋_GB2312" w:eastAsia="仿宋_GB2312"/>
          <w:b w:val="0"/>
          <w:sz w:val="32"/>
        </w:rPr>
        <w:t>四、《财政拨款收入支出决算总表》</w:t>
      </w:r>
    </w:p>
    <w:p w14:paraId="74A03CF8">
      <w:pPr>
        <w:spacing w:line="240" w:lineRule="auto"/>
        <w:ind w:firstLine="640"/>
        <w:jc w:val="both"/>
      </w:pPr>
      <w:r>
        <w:rPr>
          <w:rFonts w:ascii="仿宋_GB2312" w:hAnsi="仿宋_GB2312" w:eastAsia="仿宋_GB2312"/>
          <w:b w:val="0"/>
          <w:sz w:val="32"/>
        </w:rPr>
        <w:t>五、《一般公共预算财政拨款支出决算表》</w:t>
      </w:r>
    </w:p>
    <w:p w14:paraId="32A2D9A0">
      <w:pPr>
        <w:spacing w:line="240" w:lineRule="auto"/>
        <w:ind w:firstLine="640"/>
        <w:jc w:val="both"/>
      </w:pPr>
      <w:r>
        <w:rPr>
          <w:rFonts w:ascii="仿宋_GB2312" w:hAnsi="仿宋_GB2312" w:eastAsia="仿宋_GB2312"/>
          <w:b w:val="0"/>
          <w:sz w:val="32"/>
        </w:rPr>
        <w:t>六、《一般公共预算财政拨款基本支出决算表》</w:t>
      </w:r>
    </w:p>
    <w:p w14:paraId="1C01AC39">
      <w:pPr>
        <w:spacing w:line="240" w:lineRule="auto"/>
        <w:ind w:firstLine="640"/>
        <w:jc w:val="both"/>
      </w:pPr>
      <w:r>
        <w:rPr>
          <w:rFonts w:ascii="仿宋_GB2312" w:hAnsi="仿宋_GB2312" w:eastAsia="仿宋_GB2312"/>
          <w:b w:val="0"/>
          <w:sz w:val="32"/>
        </w:rPr>
        <w:t>七、《政府性基金预算财政拨款收入支出决算表》</w:t>
      </w:r>
    </w:p>
    <w:p w14:paraId="5FE8C723">
      <w:pPr>
        <w:spacing w:line="240" w:lineRule="auto"/>
        <w:ind w:firstLine="640"/>
        <w:jc w:val="both"/>
      </w:pPr>
      <w:r>
        <w:rPr>
          <w:rFonts w:ascii="仿宋_GB2312" w:hAnsi="仿宋_GB2312" w:eastAsia="仿宋_GB2312"/>
          <w:b w:val="0"/>
          <w:sz w:val="32"/>
        </w:rPr>
        <w:t>八、《国有资本经营预算财政拨款收入支出决算表》</w:t>
      </w:r>
    </w:p>
    <w:p w14:paraId="65FBF2CA">
      <w:pPr>
        <w:spacing w:line="240" w:lineRule="auto"/>
        <w:ind w:firstLine="640"/>
        <w:jc w:val="both"/>
      </w:pPr>
      <w:r>
        <w:rPr>
          <w:rFonts w:ascii="仿宋_GB2312" w:hAnsi="仿宋_GB2312" w:eastAsia="仿宋_GB2312"/>
          <w:b w:val="0"/>
          <w:sz w:val="32"/>
        </w:rPr>
        <w:t>九、《财政拨款“三公”经费支出决算表》</w:t>
      </w:r>
    </w:p>
    <w:p w14:paraId="24429384">
      <w:pPr>
        <w:spacing w:line="240" w:lineRule="auto"/>
        <w:ind w:firstLine="640"/>
        <w:jc w:val="both"/>
      </w:pPr>
    </w:p>
    <w:p w14:paraId="1E033E90">
      <w:pPr>
        <w:spacing w:line="240" w:lineRule="auto"/>
        <w:ind w:firstLine="640"/>
        <w:jc w:val="both"/>
      </w:pPr>
    </w:p>
    <w:p w14:paraId="29901AF4">
      <w:pPr>
        <w:spacing w:line="240" w:lineRule="auto"/>
        <w:ind w:firstLine="640"/>
        <w:jc w:val="both"/>
      </w:pPr>
    </w:p>
    <w:p w14:paraId="5C4C33EC">
      <w:pPr>
        <w:spacing w:line="240" w:lineRule="auto"/>
        <w:ind w:firstLine="640"/>
        <w:jc w:val="both"/>
      </w:pPr>
    </w:p>
    <w:p w14:paraId="32C8FB6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2EEE18-ABE8-4DA4-B4F1-DF54394113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1AB396-E9E3-46AB-A729-A15985857F1A}"/>
  </w:font>
  <w:font w:name="仿宋_GB2312">
    <w:panose1 w:val="02010609030101010101"/>
    <w:charset w:val="86"/>
    <w:family w:val="modern"/>
    <w:pitch w:val="default"/>
    <w:sig w:usb0="00000001" w:usb1="080E0000" w:usb2="00000000" w:usb3="00000000" w:csb0="00040000" w:csb1="00000000"/>
    <w:embedRegular r:id="rId3" w:fontKey="{FAC9BD87-E363-46BD-862F-B90E5E29132D}"/>
  </w:font>
  <w:font w:name="楷体_GB2312">
    <w:panose1 w:val="02010609030101010101"/>
    <w:charset w:val="86"/>
    <w:family w:val="auto"/>
    <w:pitch w:val="default"/>
    <w:sig w:usb0="00000001" w:usb1="080E0000" w:usb2="00000000" w:usb3="00000000" w:csb0="00040000" w:csb1="00000000"/>
    <w:embedRegular r:id="rId4" w:fontKey="{FF31DC16-7F61-4AB9-BBFF-5D6B385216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6969A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A7066D"/>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4799</Words>
  <Characters>5575</Characters>
  <Lines>0</Lines>
  <Paragraphs>0</Paragraphs>
  <TotalTime>3</TotalTime>
  <ScaleCrop>false</ScaleCrop>
  <LinksUpToDate>false</LinksUpToDate>
  <CharactersWithSpaces>5583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