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吉木萨尔县技工学校2024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F34CA0">
      <w:r>
        <w:br w:type="page"/>
      </w:r>
    </w:p>
    <w:p w14:paraId="3C13C6C5">
      <w:pPr>
        <w:spacing w:line="640" w:lineRule="exact"/>
        <w:jc w:val="center"/>
        <w:outlineLvl w:val="1"/>
      </w:pPr>
      <w:r>
        <w:rPr>
          <w:rFonts w:ascii="黑体" w:hAnsi="黑体" w:eastAsia="黑体"/>
          <w:sz w:val="32"/>
        </w:rPr>
        <w:t>第一部分 单位概况</w:t>
      </w:r>
    </w:p>
    <w:p w14:paraId="7F204383">
      <w:pPr>
        <w:spacing w:line="640" w:lineRule="exact"/>
        <w:ind w:firstLine="640"/>
        <w:jc w:val="both"/>
        <w:outlineLvl w:val="2"/>
      </w:pPr>
      <w:r>
        <w:rPr>
          <w:rFonts w:ascii="黑体" w:hAnsi="黑体" w:eastAsia="黑体"/>
          <w:sz w:val="32"/>
        </w:rPr>
        <w:t>一、主要职能</w:t>
      </w:r>
    </w:p>
    <w:p w14:paraId="4F4A725D">
      <w:pPr>
        <w:spacing w:line="580" w:lineRule="exact"/>
        <w:ind w:firstLine="640"/>
        <w:jc w:val="both"/>
      </w:pPr>
      <w:r>
        <w:rPr>
          <w:rFonts w:ascii="仿宋_GB2312" w:hAnsi="仿宋_GB2312" w:eastAsia="仿宋_GB2312"/>
          <w:sz w:val="32"/>
        </w:rPr>
        <w:t>我校是一所面向社会针对农牧民群众、城镇失业未就业人员开展技能培训的公办职业技能培训学校。学校坚持把职业技能教育作为培育新型农民、培养技能人才、推动乡村振兴和产业发展的重要抓手，立足县域实际，创新培训方式，强化培训实效，本着为广大人民群众服务</w:t>
      </w:r>
      <w:r>
        <w:rPr>
          <w:rFonts w:hint="eastAsia" w:ascii="仿宋_GB2312" w:hAnsi="仿宋_GB2312" w:eastAsia="仿宋_GB2312"/>
          <w:sz w:val="32"/>
          <w:lang w:eastAsia="zh-CN"/>
        </w:rPr>
        <w:t>的宗</w:t>
      </w:r>
      <w:r>
        <w:rPr>
          <w:rFonts w:ascii="仿宋_GB2312" w:hAnsi="仿宋_GB2312" w:eastAsia="仿宋_GB2312"/>
          <w:sz w:val="32"/>
        </w:rPr>
        <w:t>旨，为老百姓解决就业困难的问题，以就业为导向，根据市场需求，积极走访各行业部门，企业等用工单位，收集整理用工信息。</w:t>
      </w:r>
    </w:p>
    <w:p w14:paraId="25059DEB">
      <w:pPr>
        <w:spacing w:line="640" w:lineRule="exact"/>
        <w:ind w:firstLine="640"/>
        <w:jc w:val="both"/>
        <w:outlineLvl w:val="2"/>
      </w:pPr>
      <w:r>
        <w:rPr>
          <w:rFonts w:ascii="黑体" w:hAnsi="黑体" w:eastAsia="黑体"/>
          <w:sz w:val="32"/>
        </w:rPr>
        <w:t>二、机构设置及人员情况</w:t>
      </w:r>
    </w:p>
    <w:p w14:paraId="6077B964">
      <w:pPr>
        <w:spacing w:line="580" w:lineRule="exact"/>
        <w:ind w:firstLine="640"/>
        <w:jc w:val="both"/>
      </w:pPr>
      <w:r>
        <w:rPr>
          <w:rFonts w:ascii="仿宋_GB2312" w:hAnsi="仿宋_GB2312" w:eastAsia="仿宋_GB2312"/>
          <w:sz w:val="32"/>
        </w:rPr>
        <w:t>吉木萨尔县技工学校2024年度，实有人数10人，其中：在职人员10人，增加2人；离休人员0人，增加0人；退休人员0人,增加0人。</w:t>
      </w:r>
    </w:p>
    <w:p w14:paraId="1249CFAF">
      <w:pPr>
        <w:spacing w:line="580" w:lineRule="exact"/>
        <w:ind w:firstLine="640"/>
        <w:jc w:val="both"/>
      </w:pPr>
      <w:r>
        <w:rPr>
          <w:rFonts w:ascii="仿宋_GB2312" w:hAnsi="仿宋_GB2312" w:eastAsia="仿宋_GB2312"/>
          <w:sz w:val="32"/>
        </w:rPr>
        <w:t>吉木萨尔县技工学校无下属预算单位，下设5个科室，分别是：行政科、教务科、后勤管理科、招生就业科、鉴定科。</w:t>
      </w:r>
    </w:p>
    <w:p w14:paraId="38A0E165">
      <w:r>
        <w:br w:type="page"/>
      </w:r>
    </w:p>
    <w:p w14:paraId="4889A0E7">
      <w:pPr>
        <w:spacing w:line="240" w:lineRule="auto"/>
        <w:jc w:val="center"/>
        <w:outlineLvl w:val="1"/>
      </w:pPr>
      <w:r>
        <w:rPr>
          <w:rFonts w:ascii="黑体" w:hAnsi="黑体" w:eastAsia="黑体"/>
          <w:sz w:val="32"/>
        </w:rPr>
        <w:t>第二部分 部门决算情况说明</w:t>
      </w:r>
    </w:p>
    <w:p w14:paraId="5FE118DC">
      <w:pPr>
        <w:spacing w:line="640" w:lineRule="exact"/>
        <w:ind w:firstLine="640"/>
        <w:jc w:val="both"/>
        <w:outlineLvl w:val="2"/>
      </w:pPr>
      <w:r>
        <w:rPr>
          <w:rFonts w:ascii="黑体" w:hAnsi="黑体" w:eastAsia="黑体"/>
          <w:sz w:val="32"/>
        </w:rPr>
        <w:t>一、收入支出决算总体情况说明</w:t>
      </w:r>
    </w:p>
    <w:p w14:paraId="4792F4A5">
      <w:pPr>
        <w:spacing w:line="580" w:lineRule="exact"/>
        <w:ind w:firstLine="640"/>
        <w:jc w:val="both"/>
      </w:pPr>
      <w:r>
        <w:rPr>
          <w:rFonts w:ascii="仿宋_GB2312" w:hAnsi="仿宋_GB2312" w:eastAsia="仿宋_GB2312"/>
          <w:b/>
          <w:sz w:val="32"/>
        </w:rPr>
        <w:t>2024年度收入总计429.20万元，</w:t>
      </w:r>
      <w:r>
        <w:rPr>
          <w:rFonts w:ascii="仿宋_GB2312" w:hAnsi="仿宋_GB2312" w:eastAsia="仿宋_GB2312"/>
          <w:b w:val="0"/>
          <w:sz w:val="32"/>
        </w:rPr>
        <w:t>其中：本年收入合计425.86万元，使用非财政拨款结余（含专用结余）0.00万元，年初结转和结余3.34万元。</w:t>
      </w:r>
    </w:p>
    <w:p w14:paraId="2860011F">
      <w:pPr>
        <w:spacing w:line="580" w:lineRule="exact"/>
        <w:ind w:firstLine="640"/>
        <w:jc w:val="both"/>
      </w:pPr>
      <w:r>
        <w:rPr>
          <w:rFonts w:ascii="仿宋_GB2312" w:hAnsi="仿宋_GB2312" w:eastAsia="仿宋_GB2312"/>
          <w:b/>
          <w:sz w:val="32"/>
        </w:rPr>
        <w:t>2024年度支出总计429.20万元，</w:t>
      </w:r>
      <w:r>
        <w:rPr>
          <w:rFonts w:ascii="仿宋_GB2312" w:hAnsi="仿宋_GB2312" w:eastAsia="仿宋_GB2312"/>
          <w:b w:val="0"/>
          <w:sz w:val="32"/>
        </w:rPr>
        <w:t>其中：本年支出合计424.07万元，结余分配0.00万元，年末结转和结余5.12万元。</w:t>
      </w:r>
    </w:p>
    <w:p w14:paraId="0CF2677C">
      <w:pPr>
        <w:spacing w:line="580" w:lineRule="exact"/>
        <w:ind w:firstLine="640"/>
        <w:jc w:val="both"/>
      </w:pPr>
      <w:r>
        <w:rPr>
          <w:rFonts w:ascii="仿宋_GB2312" w:hAnsi="仿宋_GB2312" w:eastAsia="仿宋_GB2312"/>
          <w:b w:val="0"/>
          <w:sz w:val="32"/>
        </w:rPr>
        <w:t>收入支出总体与上年相比，减少135.94万元，下降24.05%，主要原因是：本年培训补贴项目资金、设备购置项目资金较上年减少。本年昌吉州财政局拨付2024年第一批培训补贴资金、昌吉州妇女联合会家政培训补贴资金较上年减少。</w:t>
      </w:r>
    </w:p>
    <w:p w14:paraId="76E7BE08">
      <w:pPr>
        <w:spacing w:line="640" w:lineRule="exact"/>
        <w:ind w:firstLine="640"/>
        <w:jc w:val="both"/>
        <w:outlineLvl w:val="2"/>
      </w:pPr>
      <w:r>
        <w:rPr>
          <w:rFonts w:ascii="黑体" w:hAnsi="黑体" w:eastAsia="黑体"/>
          <w:sz w:val="32"/>
        </w:rPr>
        <w:t>二、收入决算情况说明</w:t>
      </w:r>
    </w:p>
    <w:p w14:paraId="16FB4E9B">
      <w:pPr>
        <w:spacing w:line="580" w:lineRule="exact"/>
        <w:ind w:firstLine="640"/>
        <w:jc w:val="both"/>
      </w:pPr>
      <w:r>
        <w:rPr>
          <w:rFonts w:ascii="仿宋_GB2312" w:hAnsi="仿宋_GB2312" w:eastAsia="仿宋_GB2312"/>
          <w:b/>
          <w:sz w:val="32"/>
        </w:rPr>
        <w:t>本年收入425.86万元，</w:t>
      </w:r>
      <w:r>
        <w:rPr>
          <w:rFonts w:ascii="仿宋_GB2312" w:hAnsi="仿宋_GB2312" w:eastAsia="仿宋_GB2312"/>
          <w:b w:val="0"/>
          <w:sz w:val="32"/>
        </w:rPr>
        <w:t>其中：财政拨款收入416.75万元，占97.86%；上级补助收入0.00万元，占0.00%；事业收入0.00万元，占0.00%；经营收入0.00万元，占0.00%；附属单位上缴收入0.00万元，占0.00%；其他收入9.11万元，占2.14%。</w:t>
      </w:r>
    </w:p>
    <w:p w14:paraId="5D243FD5">
      <w:pPr>
        <w:spacing w:line="640" w:lineRule="exact"/>
        <w:ind w:firstLine="640"/>
        <w:jc w:val="both"/>
        <w:outlineLvl w:val="2"/>
      </w:pPr>
      <w:r>
        <w:rPr>
          <w:rFonts w:ascii="黑体" w:hAnsi="黑体" w:eastAsia="黑体"/>
          <w:sz w:val="32"/>
        </w:rPr>
        <w:t>三、支出决算情况说明</w:t>
      </w:r>
    </w:p>
    <w:p w14:paraId="59B4A064">
      <w:pPr>
        <w:spacing w:line="580" w:lineRule="exact"/>
        <w:ind w:firstLine="640"/>
        <w:jc w:val="both"/>
      </w:pPr>
      <w:r>
        <w:rPr>
          <w:rFonts w:ascii="仿宋_GB2312" w:hAnsi="仿宋_GB2312" w:eastAsia="仿宋_GB2312"/>
          <w:b/>
          <w:sz w:val="32"/>
        </w:rPr>
        <w:t>本年支出424.07万元，</w:t>
      </w:r>
      <w:r>
        <w:rPr>
          <w:rFonts w:ascii="仿宋_GB2312" w:hAnsi="仿宋_GB2312" w:eastAsia="仿宋_GB2312"/>
          <w:b w:val="0"/>
          <w:sz w:val="32"/>
        </w:rPr>
        <w:t>其中：基本支出323.30万元，占76.24%；项目支出100.77万元，占23.76%；上缴上级支出0.00万元，占0.00%；经营支出0.00万元，占0.00%；对附属单位补助支出0.00万元，占0.00%。</w:t>
      </w:r>
    </w:p>
    <w:p w14:paraId="2396B76C">
      <w:pPr>
        <w:spacing w:line="640" w:lineRule="exact"/>
        <w:ind w:firstLine="640"/>
        <w:jc w:val="both"/>
        <w:outlineLvl w:val="2"/>
      </w:pPr>
      <w:r>
        <w:rPr>
          <w:rFonts w:ascii="黑体" w:hAnsi="黑体" w:eastAsia="黑体"/>
          <w:sz w:val="32"/>
        </w:rPr>
        <w:t>四、财政拨款收入支出决算总体情况说明</w:t>
      </w:r>
    </w:p>
    <w:p w14:paraId="5CA211C9">
      <w:pPr>
        <w:spacing w:line="580" w:lineRule="exact"/>
        <w:ind w:firstLine="640"/>
        <w:jc w:val="both"/>
      </w:pPr>
      <w:r>
        <w:rPr>
          <w:rFonts w:ascii="仿宋_GB2312" w:hAnsi="仿宋_GB2312" w:eastAsia="仿宋_GB2312"/>
          <w:b/>
          <w:sz w:val="32"/>
        </w:rPr>
        <w:t>2024年度财政拨款收入总计419.98万元，</w:t>
      </w:r>
      <w:r>
        <w:rPr>
          <w:rFonts w:ascii="仿宋_GB2312" w:hAnsi="仿宋_GB2312" w:eastAsia="仿宋_GB2312"/>
          <w:b w:val="0"/>
          <w:sz w:val="32"/>
        </w:rPr>
        <w:t>其中：年初财政拨款结转和结余3.23万元，本年财政拨款收入416.75万元。</w:t>
      </w:r>
      <w:r>
        <w:rPr>
          <w:rFonts w:ascii="仿宋_GB2312" w:hAnsi="仿宋_GB2312" w:eastAsia="仿宋_GB2312"/>
          <w:b/>
          <w:sz w:val="32"/>
        </w:rPr>
        <w:t>财政拨款支出总计419.98万元，</w:t>
      </w:r>
      <w:r>
        <w:rPr>
          <w:rFonts w:ascii="仿宋_GB2312" w:hAnsi="仿宋_GB2312" w:eastAsia="仿宋_GB2312"/>
          <w:b w:val="0"/>
          <w:sz w:val="32"/>
        </w:rPr>
        <w:t>其中：年末财政拨款结转和结余3.23万元，本年财政拨款支出416.75万元。</w:t>
      </w:r>
    </w:p>
    <w:p w14:paraId="69AC799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减少57.07万元，下降11.96%，主要原因是：本年培训补贴项目资金、设备购置项目资金较上年减少。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年初预算数300.04万元，决算数419.98万元，预决算差异率39.97%，主要原因是：年中追加培训补贴资金项目、搬迁费资金，导致预决算存在差异。</w:t>
      </w:r>
    </w:p>
    <w:p w14:paraId="5066307D">
      <w:pPr>
        <w:spacing w:line="640" w:lineRule="exact"/>
        <w:ind w:firstLine="640"/>
        <w:jc w:val="both"/>
        <w:outlineLvl w:val="2"/>
      </w:pPr>
      <w:r>
        <w:rPr>
          <w:rFonts w:ascii="黑体" w:hAnsi="黑体" w:eastAsia="黑体"/>
          <w:sz w:val="32"/>
        </w:rPr>
        <w:t>五、一般公共预算财政拨款支出决算情况说明</w:t>
      </w:r>
    </w:p>
    <w:p w14:paraId="074420DC">
      <w:pPr>
        <w:spacing w:line="640" w:lineRule="exact"/>
        <w:ind w:firstLine="640"/>
        <w:jc w:val="both"/>
        <w:outlineLvl w:val="3"/>
      </w:pPr>
      <w:r>
        <w:rPr>
          <w:rFonts w:ascii="楷体_GB2312" w:hAnsi="楷体_GB2312" w:eastAsia="楷体_GB2312"/>
          <w:b/>
          <w:sz w:val="32"/>
        </w:rPr>
        <w:t>（一）一般公共预算财政拨款支出决算总体情况</w:t>
      </w:r>
    </w:p>
    <w:p w14:paraId="34A42A58">
      <w:pPr>
        <w:spacing w:line="580" w:lineRule="exact"/>
        <w:ind w:firstLine="640"/>
        <w:jc w:val="both"/>
      </w:pPr>
      <w:r>
        <w:rPr>
          <w:rFonts w:ascii="仿宋_GB2312" w:hAnsi="仿宋_GB2312" w:eastAsia="仿宋_GB2312"/>
          <w:b/>
          <w:sz w:val="32"/>
        </w:rPr>
        <w:t>2024年度一般公共预算财政拨款支出416.75万元，</w:t>
      </w:r>
      <w:r>
        <w:rPr>
          <w:rFonts w:ascii="仿宋_GB2312" w:hAnsi="仿宋_GB2312" w:eastAsia="仿宋_GB2312"/>
          <w:b w:val="0"/>
          <w:sz w:val="32"/>
        </w:rPr>
        <w:t>占本年支出合计的98.27%。</w:t>
      </w:r>
      <w:r>
        <w:rPr>
          <w:rFonts w:ascii="仿宋_GB2312" w:hAnsi="仿宋_GB2312" w:eastAsia="仿宋_GB2312"/>
          <w:b/>
          <w:sz w:val="32"/>
        </w:rPr>
        <w:t>与上年相比，</w:t>
      </w:r>
      <w:r>
        <w:rPr>
          <w:rFonts w:ascii="仿宋_GB2312" w:hAnsi="仿宋_GB2312" w:eastAsia="仿宋_GB2312"/>
          <w:b w:val="0"/>
          <w:sz w:val="32"/>
        </w:rPr>
        <w:t>减少57.08万元，下降12.05%，主要原因是：本年培训补贴项目资金、设备购置项目资金较上年减少。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年初预算数300.04万元，决算数416.75万元，预决算差异率38.90%，主要原因是：年中追加培训补贴资金项目、搬迁费资金，导致预决算存在差异。</w:t>
      </w:r>
    </w:p>
    <w:p w14:paraId="7A52F893">
      <w:pPr>
        <w:spacing w:line="640" w:lineRule="exact"/>
        <w:ind w:firstLine="640"/>
        <w:jc w:val="both"/>
        <w:outlineLvl w:val="3"/>
      </w:pPr>
      <w:r>
        <w:rPr>
          <w:rFonts w:ascii="楷体_GB2312" w:hAnsi="楷体_GB2312" w:eastAsia="楷体_GB2312"/>
          <w:b/>
          <w:sz w:val="32"/>
        </w:rPr>
        <w:t>（二）一般公共预算财政拨款支出决算结构情况</w:t>
      </w:r>
    </w:p>
    <w:p w14:paraId="2EF294F8">
      <w:pPr>
        <w:spacing w:line="580" w:lineRule="exact"/>
        <w:ind w:firstLine="640"/>
        <w:jc w:val="both"/>
      </w:pPr>
      <w:r>
        <w:rPr>
          <w:rFonts w:ascii="仿宋_GB2312" w:hAnsi="仿宋_GB2312" w:eastAsia="仿宋_GB2312"/>
          <w:b w:val="0"/>
          <w:sz w:val="32"/>
        </w:rPr>
        <w:t>1.教育支出(类)334.28万元,占80.21%。</w:t>
      </w:r>
    </w:p>
    <w:p w14:paraId="15491286">
      <w:pPr>
        <w:spacing w:line="580" w:lineRule="exact"/>
        <w:ind w:firstLine="640"/>
        <w:jc w:val="both"/>
      </w:pPr>
      <w:r>
        <w:rPr>
          <w:rFonts w:ascii="仿宋_GB2312" w:hAnsi="仿宋_GB2312" w:eastAsia="仿宋_GB2312"/>
          <w:b w:val="0"/>
          <w:sz w:val="32"/>
        </w:rPr>
        <w:t>2.社会保障和就业支出(类)81.32万元,占19.51%。</w:t>
      </w:r>
    </w:p>
    <w:p w14:paraId="61249441">
      <w:pPr>
        <w:spacing w:line="580" w:lineRule="exact"/>
        <w:ind w:firstLine="640"/>
        <w:jc w:val="both"/>
      </w:pPr>
      <w:r>
        <w:rPr>
          <w:rFonts w:ascii="仿宋_GB2312" w:hAnsi="仿宋_GB2312" w:eastAsia="仿宋_GB2312"/>
          <w:b w:val="0"/>
          <w:sz w:val="32"/>
        </w:rPr>
        <w:t>3.农林水支出(类)1.15万元,占0.28%。</w:t>
      </w:r>
    </w:p>
    <w:p w14:paraId="65C57CF7">
      <w:pPr>
        <w:spacing w:line="640" w:lineRule="exact"/>
        <w:ind w:firstLine="640"/>
        <w:jc w:val="both"/>
        <w:outlineLvl w:val="3"/>
      </w:pPr>
      <w:r>
        <w:rPr>
          <w:rFonts w:ascii="楷体_GB2312" w:hAnsi="楷体_GB2312" w:eastAsia="楷体_GB2312"/>
          <w:b/>
          <w:sz w:val="32"/>
        </w:rPr>
        <w:t>（三）一般公共预算财政拨款支出决算具体情况</w:t>
      </w:r>
    </w:p>
    <w:p w14:paraId="785F8B71">
      <w:pPr>
        <w:spacing w:line="580" w:lineRule="exact"/>
        <w:ind w:firstLine="640"/>
        <w:jc w:val="both"/>
      </w:pPr>
      <w:r>
        <w:rPr>
          <w:rFonts w:ascii="仿宋_GB2312" w:hAnsi="仿宋_GB2312" w:eastAsia="仿宋_GB2312"/>
          <w:b w:val="0"/>
          <w:sz w:val="32"/>
        </w:rPr>
        <w:t>1.教育支出(类)职业教育(款)技校教育(项):支出决算数为323.50万元，比上年决算增加6.72万元，增长2.12%,主要原因是：本年在职人员工资调增，导致相关人员经费较上年有所增加。</w:t>
      </w:r>
    </w:p>
    <w:p w14:paraId="04DD1E4B">
      <w:pPr>
        <w:spacing w:line="580" w:lineRule="exact"/>
        <w:ind w:firstLine="640"/>
        <w:jc w:val="both"/>
      </w:pPr>
      <w:r>
        <w:rPr>
          <w:rFonts w:ascii="仿宋_GB2312" w:hAnsi="仿宋_GB2312" w:eastAsia="仿宋_GB2312"/>
          <w:b w:val="0"/>
          <w:sz w:val="32"/>
        </w:rPr>
        <w:t>2.教育支出(类)职业教育(款)其他职业教育支出(项):支出决算数为10.78万元，比上年决算增加10.78万元，增长100.00%,主要原因是：本年增加会计记账费和保安费。</w:t>
      </w:r>
    </w:p>
    <w:p w14:paraId="18235D7C">
      <w:pPr>
        <w:spacing w:line="580" w:lineRule="exact"/>
        <w:ind w:firstLine="640"/>
        <w:jc w:val="both"/>
      </w:pPr>
      <w:r>
        <w:rPr>
          <w:rFonts w:ascii="仿宋_GB2312" w:hAnsi="仿宋_GB2312" w:eastAsia="仿宋_GB2312"/>
          <w:b w:val="0"/>
          <w:sz w:val="32"/>
        </w:rPr>
        <w:t>3.教育支出(类)教育费附加安排的支出(款)其他教育费附加安排的支出(项):支出决算数为0.00万元，比上年决算减少17.91万元，下降100.00%,主要原因是：本年减少办公费、咨询费、邮电费、差旅费等。</w:t>
      </w:r>
    </w:p>
    <w:p w14:paraId="10692D50">
      <w:pPr>
        <w:spacing w:line="580" w:lineRule="exact"/>
        <w:ind w:firstLine="640"/>
        <w:jc w:val="both"/>
      </w:pPr>
      <w:r>
        <w:rPr>
          <w:rFonts w:ascii="仿宋_GB2312" w:hAnsi="仿宋_GB2312" w:eastAsia="仿宋_GB2312"/>
          <w:b w:val="0"/>
          <w:sz w:val="32"/>
        </w:rPr>
        <w:t>4.社会保障和就业支出(类)就业补助(款)其他就业补助支出(项):支出决算数为81.32万元，比上年决算减少42.78万元，下降34.47%,主要原因是：本年度培训班补贴资金按批次申请减少。</w:t>
      </w:r>
    </w:p>
    <w:p w14:paraId="1DE3DB5B">
      <w:pPr>
        <w:spacing w:line="580" w:lineRule="exact"/>
        <w:ind w:firstLine="640"/>
        <w:jc w:val="both"/>
      </w:pPr>
      <w:r>
        <w:rPr>
          <w:rFonts w:ascii="仿宋_GB2312" w:hAnsi="仿宋_GB2312" w:eastAsia="仿宋_GB2312"/>
          <w:b w:val="0"/>
          <w:sz w:val="32"/>
        </w:rPr>
        <w:t>5.卫生健康支出(类)公共卫生(款)突发公共卫生事件应急处理(项):支出决算数为0.00万元，比上年决算减少15.04万元，下降100.00%,主要原因是：本年度减少后勤保障经费。</w:t>
      </w:r>
    </w:p>
    <w:p w14:paraId="7CB061CA">
      <w:pPr>
        <w:spacing w:line="580" w:lineRule="exact"/>
        <w:ind w:firstLine="640"/>
        <w:jc w:val="both"/>
      </w:pPr>
      <w:r>
        <w:rPr>
          <w:rFonts w:ascii="仿宋_GB2312" w:hAnsi="仿宋_GB2312" w:eastAsia="仿宋_GB2312"/>
          <w:b w:val="0"/>
          <w:sz w:val="32"/>
        </w:rPr>
        <w:t>6.农林水支出(类)巩固脱贫攻坚成果衔接乡村振兴(款)其他巩固脱贫攻坚成果衔接乡村振兴支出(项):支出决算数为1.15万元，比上年决算增加1.15万元，增长100.00%,主要原因是：本年度增加区内协作帮扶工作资金。</w:t>
      </w:r>
    </w:p>
    <w:p w14:paraId="55EA292F">
      <w:pPr>
        <w:spacing w:line="640" w:lineRule="exact"/>
        <w:ind w:firstLine="640"/>
        <w:jc w:val="both"/>
        <w:outlineLvl w:val="2"/>
      </w:pPr>
      <w:r>
        <w:rPr>
          <w:rFonts w:ascii="黑体" w:hAnsi="黑体" w:eastAsia="黑体"/>
          <w:sz w:val="32"/>
        </w:rPr>
        <w:t>六、一般公共预算财政拨款基本支出决算情况说明</w:t>
      </w:r>
    </w:p>
    <w:p w14:paraId="60FC4575">
      <w:pPr>
        <w:spacing w:line="580" w:lineRule="exact"/>
        <w:ind w:firstLine="640"/>
        <w:jc w:val="both"/>
      </w:pPr>
      <w:r>
        <w:rPr>
          <w:rFonts w:ascii="仿宋_GB2312" w:hAnsi="仿宋_GB2312" w:eastAsia="仿宋_GB2312"/>
          <w:b w:val="0"/>
          <w:sz w:val="32"/>
        </w:rPr>
        <w:t>2024年度一般公共预算财政拨款基本支出315.98万元，其中：</w:t>
      </w:r>
      <w:r>
        <w:rPr>
          <w:rFonts w:ascii="仿宋_GB2312" w:hAnsi="仿宋_GB2312" w:eastAsia="仿宋_GB2312"/>
          <w:b/>
          <w:sz w:val="32"/>
        </w:rPr>
        <w:t>人员经费258.82万元，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w:t>
      </w:r>
    </w:p>
    <w:p w14:paraId="253A1685">
      <w:pPr>
        <w:spacing w:line="580" w:lineRule="exact"/>
        <w:ind w:firstLine="640"/>
        <w:jc w:val="both"/>
      </w:pPr>
      <w:r>
        <w:rPr>
          <w:rFonts w:ascii="仿宋_GB2312" w:hAnsi="仿宋_GB2312" w:eastAsia="仿宋_GB2312"/>
          <w:b/>
          <w:sz w:val="32"/>
        </w:rPr>
        <w:t>公用经费57.17万元，</w:t>
      </w:r>
      <w:r>
        <w:rPr>
          <w:rFonts w:ascii="仿宋_GB2312" w:hAnsi="仿宋_GB2312" w:eastAsia="仿宋_GB2312"/>
          <w:b w:val="0"/>
          <w:sz w:val="32"/>
        </w:rPr>
        <w:t>包括：办公费、水费、电费、邮电费、取暖费、维修（护）费、租赁费、专用材料费、委托业务费、工会经费、其他交通费用、其他商品和服务支出。</w:t>
      </w:r>
    </w:p>
    <w:p w14:paraId="2790CB94">
      <w:pPr>
        <w:spacing w:line="640" w:lineRule="exact"/>
        <w:ind w:firstLine="640"/>
        <w:jc w:val="both"/>
        <w:outlineLvl w:val="2"/>
      </w:pPr>
      <w:r>
        <w:rPr>
          <w:rFonts w:ascii="黑体" w:hAnsi="黑体" w:eastAsia="黑体"/>
          <w:sz w:val="32"/>
        </w:rPr>
        <w:t>七、政府性基金预算财政拨款收入支出决算情况说明</w:t>
      </w:r>
    </w:p>
    <w:p w14:paraId="6BCA5C0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414B77C">
      <w:pPr>
        <w:spacing w:line="640" w:lineRule="exact"/>
        <w:ind w:firstLine="640"/>
        <w:jc w:val="both"/>
        <w:outlineLvl w:val="2"/>
      </w:pPr>
      <w:r>
        <w:rPr>
          <w:rFonts w:ascii="黑体" w:hAnsi="黑体" w:eastAsia="黑体"/>
          <w:sz w:val="32"/>
        </w:rPr>
        <w:t>八、国有资本经营预算财政拨款收入支出决算情况说明</w:t>
      </w:r>
    </w:p>
    <w:p w14:paraId="0DBFAA2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80C1A9">
      <w:pPr>
        <w:spacing w:line="640" w:lineRule="exact"/>
        <w:ind w:firstLine="640"/>
        <w:jc w:val="both"/>
        <w:outlineLvl w:val="2"/>
      </w:pPr>
      <w:r>
        <w:rPr>
          <w:rFonts w:ascii="黑体" w:hAnsi="黑体" w:eastAsia="黑体"/>
          <w:sz w:val="32"/>
        </w:rPr>
        <w:t>九、财政拨款“三公”经费支出决算情况说明</w:t>
      </w:r>
    </w:p>
    <w:p w14:paraId="0E83F41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F2AF9FB">
      <w:pPr>
        <w:spacing w:line="580" w:lineRule="exact"/>
        <w:ind w:firstLine="640"/>
        <w:jc w:val="both"/>
      </w:pPr>
      <w:r>
        <w:rPr>
          <w:rFonts w:ascii="仿宋_GB2312" w:hAnsi="仿宋_GB2312" w:eastAsia="仿宋_GB2312"/>
          <w:b/>
          <w:sz w:val="32"/>
        </w:rPr>
        <w:t>具体情况如下：</w:t>
      </w:r>
    </w:p>
    <w:p w14:paraId="418AE39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4345A3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车辆0辆，与公务用车保有量差异原因是：本单位无固定资产车辆。</w:t>
      </w:r>
    </w:p>
    <w:p w14:paraId="7030449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46A58A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A35C633">
      <w:pPr>
        <w:spacing w:line="640" w:lineRule="exact"/>
        <w:ind w:firstLine="640"/>
        <w:jc w:val="both"/>
        <w:outlineLvl w:val="2"/>
      </w:pPr>
      <w:r>
        <w:rPr>
          <w:rFonts w:ascii="黑体" w:hAnsi="黑体" w:eastAsia="黑体"/>
          <w:sz w:val="32"/>
        </w:rPr>
        <w:t>十、其他重要事项的情况说明</w:t>
      </w:r>
    </w:p>
    <w:p w14:paraId="57ED4AA8">
      <w:pPr>
        <w:spacing w:line="640" w:lineRule="exact"/>
        <w:ind w:firstLine="640"/>
        <w:jc w:val="both"/>
        <w:outlineLvl w:val="3"/>
      </w:pPr>
      <w:r>
        <w:rPr>
          <w:rFonts w:ascii="楷体_GB2312" w:hAnsi="楷体_GB2312" w:eastAsia="楷体_GB2312"/>
          <w:b/>
          <w:sz w:val="32"/>
        </w:rPr>
        <w:t>（一）机关运行经费及公用经费支出情况</w:t>
      </w:r>
    </w:p>
    <w:p w14:paraId="0BB1AB96">
      <w:pPr>
        <w:spacing w:line="580" w:lineRule="exact"/>
        <w:ind w:firstLine="640"/>
        <w:jc w:val="both"/>
      </w:pPr>
      <w:r>
        <w:rPr>
          <w:rFonts w:ascii="仿宋_GB2312" w:hAnsi="仿宋_GB2312" w:eastAsia="仿宋_GB2312"/>
          <w:b w:val="0"/>
          <w:sz w:val="32"/>
        </w:rPr>
        <w:t>2024年度吉木萨尔县技工学校（事业单位）公用经费支出57.17万元，比上年减少200.83万元，下降77.84%，主要原因是：本年单位部分经费均在项目中列支，公用经费较上年度减少。</w:t>
      </w:r>
    </w:p>
    <w:p w14:paraId="76386EED">
      <w:pPr>
        <w:spacing w:line="640" w:lineRule="exact"/>
        <w:ind w:firstLine="640"/>
        <w:jc w:val="both"/>
        <w:outlineLvl w:val="3"/>
      </w:pPr>
      <w:r>
        <w:rPr>
          <w:rFonts w:ascii="楷体_GB2312" w:hAnsi="楷体_GB2312" w:eastAsia="楷体_GB2312"/>
          <w:b/>
          <w:sz w:val="32"/>
        </w:rPr>
        <w:t>（二）政府采购情况</w:t>
      </w:r>
    </w:p>
    <w:p w14:paraId="082CB12E">
      <w:pPr>
        <w:spacing w:line="580" w:lineRule="exact"/>
        <w:ind w:firstLine="640"/>
        <w:jc w:val="both"/>
      </w:pPr>
      <w:r>
        <w:rPr>
          <w:rFonts w:ascii="仿宋_GB2312" w:hAnsi="仿宋_GB2312" w:eastAsia="仿宋_GB2312"/>
          <w:b w:val="0"/>
          <w:sz w:val="32"/>
        </w:rPr>
        <w:t>2024年度政府采购支出总额3.51万元，其中：政府采购货物支出3.51万元、政府采购工程支出0.00万元、政府采购服务支出0.00万元。</w:t>
      </w:r>
    </w:p>
    <w:p w14:paraId="0B2B78A4">
      <w:pPr>
        <w:spacing w:line="580" w:lineRule="exact"/>
        <w:ind w:firstLine="640"/>
        <w:jc w:val="both"/>
      </w:pPr>
      <w:r>
        <w:rPr>
          <w:rFonts w:ascii="仿宋_GB2312" w:hAnsi="仿宋_GB2312" w:eastAsia="仿宋_GB2312"/>
          <w:b w:val="0"/>
          <w:sz w:val="32"/>
        </w:rPr>
        <w:t>授予中小企业合同金额3.51万元，占政府采购支出总额的100.00%，其中：授予小微企业合同金额3.51万元，占政府采购支出总额的100.00%。</w:t>
      </w:r>
    </w:p>
    <w:p w14:paraId="4C37CADF">
      <w:pPr>
        <w:spacing w:line="640" w:lineRule="exact"/>
        <w:ind w:firstLine="640"/>
        <w:jc w:val="both"/>
        <w:outlineLvl w:val="3"/>
      </w:pPr>
      <w:r>
        <w:rPr>
          <w:rFonts w:ascii="楷体_GB2312" w:hAnsi="楷体_GB2312" w:eastAsia="楷体_GB2312"/>
          <w:b/>
          <w:sz w:val="32"/>
        </w:rPr>
        <w:t>（三）国有资产占用情况说明</w:t>
      </w:r>
    </w:p>
    <w:p w14:paraId="1C627AC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7C8B1AEF">
      <w:pPr>
        <w:spacing w:line="640" w:lineRule="exact"/>
        <w:ind w:firstLine="640"/>
        <w:jc w:val="both"/>
        <w:outlineLvl w:val="2"/>
      </w:pPr>
      <w:r>
        <w:rPr>
          <w:rFonts w:ascii="黑体" w:hAnsi="黑体" w:eastAsia="黑体"/>
          <w:sz w:val="32"/>
        </w:rPr>
        <w:t>十一、预算绩效的情况说明</w:t>
      </w:r>
    </w:p>
    <w:p w14:paraId="6557D69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429.20万元，实际执行总额424.07万元；预算绩效评价项目1个，全年预算数4.59万元，全年执行数4.59万元。预算绩效管理取得的成效：一是确保资金的高效使用，切实发挥财政资金的使用效果。二是严格按照工作职责和相关文件依据，确保专款专用。三是严格控制资金的流出方向，确保资金的合规性。发现的问题及原因：项目细化管理工作不足。各项资金的使用没有做到细致的预算，造成项目遇到各种不确定因素，财政资金无法发挥最大使用效益。师资力量较弱、培训工种有局限性。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开展提供帮助。加强教职员工政治、业务培训力度，提升师资力量。具体附整体支出绩效自评表，项目支出绩效自评表。</w:t>
      </w:r>
    </w:p>
    <w:p w14:paraId="5EAD018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3B2C1FD">
        <w:tblPrEx>
          <w:tblCellMar>
            <w:top w:w="0" w:type="dxa"/>
            <w:left w:w="108" w:type="dxa"/>
            <w:bottom w:w="0" w:type="dxa"/>
            <w:right w:w="108" w:type="dxa"/>
          </w:tblCellMar>
        </w:tblPrEx>
        <w:tc>
          <w:tcPr>
            <w:tcW w:w="8847" w:type="dxa"/>
            <w:gridSpan w:val="9"/>
            <w:vAlign w:val="center"/>
          </w:tcPr>
          <w:p w14:paraId="188B4F83">
            <w:pPr>
              <w:jc w:val="center"/>
            </w:pPr>
            <w:r>
              <w:rPr>
                <w:rFonts w:ascii="宋体" w:hAnsi="宋体" w:eastAsia="宋体"/>
                <w:sz w:val="24"/>
              </w:rPr>
              <w:t>单位整体支出绩效自评表</w:t>
            </w:r>
          </w:p>
        </w:tc>
      </w:tr>
      <w:tr w14:paraId="7D4D2515">
        <w:tblPrEx>
          <w:tblCellMar>
            <w:top w:w="0" w:type="dxa"/>
            <w:left w:w="108" w:type="dxa"/>
            <w:bottom w:w="0" w:type="dxa"/>
            <w:right w:w="108" w:type="dxa"/>
          </w:tblCellMar>
        </w:tblPrEx>
        <w:tc>
          <w:tcPr>
            <w:tcW w:w="8847" w:type="dxa"/>
            <w:gridSpan w:val="9"/>
            <w:vAlign w:val="center"/>
          </w:tcPr>
          <w:p w14:paraId="31A0C9FC">
            <w:pPr>
              <w:jc w:val="center"/>
            </w:pPr>
            <w:r>
              <w:rPr>
                <w:rFonts w:ascii="宋体" w:hAnsi="宋体" w:eastAsia="宋体"/>
                <w:sz w:val="24"/>
              </w:rPr>
              <w:t>（2024年度）</w:t>
            </w:r>
          </w:p>
        </w:tc>
      </w:tr>
      <w:tr w14:paraId="655B99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B23D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3D8C54">
            <w:pPr>
              <w:jc w:val="center"/>
            </w:pPr>
            <w:r>
              <w:rPr>
                <w:rFonts w:ascii="宋体" w:hAnsi="宋体" w:eastAsia="宋体"/>
                <w:sz w:val="16"/>
              </w:rPr>
              <w:t>吉木萨尔县技工学校</w:t>
            </w:r>
          </w:p>
        </w:tc>
      </w:tr>
      <w:tr w14:paraId="5B49EF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EB920">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535C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DF1D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CF65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BDCE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FAC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DDC6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5CB0E">
            <w:pPr>
              <w:jc w:val="center"/>
            </w:pPr>
            <w:r>
              <w:rPr>
                <w:rFonts w:ascii="宋体" w:hAnsi="宋体" w:eastAsia="宋体"/>
                <w:sz w:val="16"/>
              </w:rPr>
              <w:t>得分</w:t>
            </w:r>
          </w:p>
        </w:tc>
      </w:tr>
      <w:tr w14:paraId="4FD57F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853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3E73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D48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95916">
            <w:pPr>
              <w:jc w:val="center"/>
            </w:pPr>
            <w:r>
              <w:rPr>
                <w:rFonts w:ascii="宋体" w:hAnsi="宋体" w:eastAsia="宋体"/>
                <w:sz w:val="16"/>
              </w:rPr>
              <w:t>78.25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61ECF">
            <w:pPr>
              <w:jc w:val="center"/>
            </w:pPr>
            <w:r>
              <w:rPr>
                <w:rFonts w:ascii="宋体" w:hAnsi="宋体" w:eastAsia="宋体"/>
                <w:sz w:val="16"/>
              </w:rPr>
              <w:t>78.25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615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1EB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0DD11">
            <w:pPr>
              <w:jc w:val="center"/>
            </w:pPr>
            <w:r>
              <w:rPr>
                <w:rFonts w:ascii="宋体" w:hAnsi="宋体" w:eastAsia="宋体"/>
                <w:sz w:val="16"/>
              </w:rPr>
              <w:t>-</w:t>
            </w:r>
          </w:p>
        </w:tc>
      </w:tr>
      <w:tr w14:paraId="173F06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A21A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809F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BD15D">
            <w:pPr>
              <w:jc w:val="center"/>
            </w:pPr>
            <w:r>
              <w:rPr>
                <w:rFonts w:ascii="宋体" w:hAnsi="宋体" w:eastAsia="宋体"/>
                <w:sz w:val="16"/>
              </w:rPr>
              <w:t>295.45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7DEFE">
            <w:pPr>
              <w:jc w:val="center"/>
            </w:pPr>
            <w:r>
              <w:rPr>
                <w:rFonts w:ascii="宋体" w:hAnsi="宋体" w:eastAsia="宋体"/>
                <w:sz w:val="16"/>
              </w:rPr>
              <w:t>350.95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70AEF">
            <w:pPr>
              <w:jc w:val="center"/>
            </w:pPr>
            <w:r>
              <w:rPr>
                <w:rFonts w:ascii="宋体" w:hAnsi="宋体" w:eastAsia="宋体"/>
                <w:sz w:val="16"/>
              </w:rPr>
              <w:t>345.82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433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E1E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3A791">
            <w:pPr>
              <w:jc w:val="center"/>
            </w:pPr>
            <w:r>
              <w:rPr>
                <w:rFonts w:ascii="宋体" w:hAnsi="宋体" w:eastAsia="宋体"/>
                <w:sz w:val="16"/>
              </w:rPr>
              <w:t>-</w:t>
            </w:r>
          </w:p>
        </w:tc>
      </w:tr>
      <w:tr w14:paraId="5315AF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1D6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F8C4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B40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626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4CF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169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5D1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02CDF">
            <w:pPr>
              <w:jc w:val="center"/>
            </w:pPr>
            <w:r>
              <w:rPr>
                <w:rFonts w:ascii="宋体" w:hAnsi="宋体" w:eastAsia="宋体"/>
                <w:sz w:val="16"/>
              </w:rPr>
              <w:t>-</w:t>
            </w:r>
          </w:p>
        </w:tc>
      </w:tr>
      <w:tr w14:paraId="65A244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E7C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20B7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3BFEF">
            <w:pPr>
              <w:jc w:val="center"/>
            </w:pPr>
            <w:r>
              <w:rPr>
                <w:rFonts w:ascii="宋体" w:hAnsi="宋体" w:eastAsia="宋体"/>
                <w:sz w:val="16"/>
              </w:rPr>
              <w:t>295.45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2CE1E">
            <w:pPr>
              <w:jc w:val="center"/>
            </w:pPr>
            <w:r>
              <w:rPr>
                <w:rFonts w:ascii="宋体" w:hAnsi="宋体" w:eastAsia="宋体"/>
                <w:sz w:val="16"/>
              </w:rPr>
              <w:t>429.20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B8742">
            <w:pPr>
              <w:jc w:val="center"/>
            </w:pPr>
            <w:r>
              <w:rPr>
                <w:rFonts w:ascii="宋体" w:hAnsi="宋体" w:eastAsia="宋体"/>
                <w:sz w:val="16"/>
              </w:rPr>
              <w:t>424.07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084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81AFE">
            <w:pPr>
              <w:jc w:val="center"/>
            </w:pPr>
            <w:r>
              <w:rPr>
                <w:rFonts w:ascii="宋体" w:hAnsi="宋体" w:eastAsia="宋体"/>
                <w:sz w:val="16"/>
              </w:rPr>
              <w:t>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51AD6">
            <w:pPr>
              <w:jc w:val="center"/>
            </w:pPr>
            <w:r>
              <w:rPr>
                <w:rFonts w:ascii="宋体" w:hAnsi="宋体" w:eastAsia="宋体"/>
                <w:sz w:val="16"/>
              </w:rPr>
              <w:t>9.88</w:t>
            </w:r>
          </w:p>
        </w:tc>
      </w:tr>
      <w:tr w14:paraId="40BD10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9EC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440EE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9092DE">
            <w:pPr>
              <w:jc w:val="center"/>
            </w:pPr>
            <w:r>
              <w:rPr>
                <w:rFonts w:ascii="宋体" w:hAnsi="宋体" w:eastAsia="宋体"/>
                <w:sz w:val="16"/>
              </w:rPr>
              <w:t>实际完成情况</w:t>
            </w:r>
          </w:p>
        </w:tc>
      </w:tr>
      <w:tr w14:paraId="66C51C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D606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116B7A">
            <w:pPr>
              <w:jc w:val="both"/>
            </w:pPr>
            <w:r>
              <w:rPr>
                <w:rFonts w:ascii="宋体" w:hAnsi="宋体" w:eastAsia="宋体"/>
                <w:sz w:val="16"/>
              </w:rPr>
              <w:t>1、技工学校着力于提高广大农牧民群众综合素质，汇聚农牧民群众力量，切实加强农民教育引导工作，不断满足广大农民求知、求富、求乐的需求，更好</w:t>
            </w:r>
            <w:r>
              <w:rPr>
                <w:rFonts w:hint="eastAsia" w:ascii="宋体" w:hAnsi="宋体"/>
                <w:sz w:val="16"/>
                <w:lang w:eastAsia="zh-CN"/>
              </w:rPr>
              <w:t>地</w:t>
            </w:r>
            <w:r>
              <w:rPr>
                <w:rFonts w:ascii="宋体" w:hAnsi="宋体" w:eastAsia="宋体"/>
                <w:sz w:val="16"/>
              </w:rPr>
              <w:t>推动我县经济发展。2、就业〔职业培训〕补贴资金预算主要用于我校教资、伙食费、培训设备费，鉴定费、场地费、培训学习用品、教材费。3、2024年计划开展各类职业技能培训3200人次。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FBC302">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2024年开展各类培训4335人次，完成全年任务135.47%。经费有效保障我校正常运转。</w:t>
            </w:r>
          </w:p>
        </w:tc>
      </w:tr>
      <w:tr w14:paraId="7AF569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9218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9D4C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46F3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D6A1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CBA5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1B33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2C1C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FC37D">
            <w:pPr>
              <w:jc w:val="center"/>
            </w:pPr>
            <w:r>
              <w:rPr>
                <w:rFonts w:ascii="宋体" w:hAnsi="宋体" w:eastAsia="宋体"/>
                <w:sz w:val="16"/>
              </w:rPr>
              <w:t>得分</w:t>
            </w:r>
          </w:p>
        </w:tc>
      </w:tr>
      <w:tr w14:paraId="333168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8270D">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16EE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B1EF0">
            <w:pPr>
              <w:jc w:val="center"/>
            </w:pPr>
            <w:r>
              <w:rPr>
                <w:rFonts w:ascii="宋体" w:hAnsi="宋体" w:eastAsia="宋体"/>
                <w:sz w:val="16"/>
              </w:rPr>
              <w:t>在职人数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B6195">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2875C">
            <w:pPr>
              <w:jc w:val="center"/>
            </w:pPr>
            <w:r>
              <w:rPr>
                <w:rFonts w:ascii="宋体" w:hAnsi="宋体" w:eastAsia="宋体"/>
                <w:sz w:val="16"/>
              </w:rPr>
              <w:t>事业单位人员调动、任命的通知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BEE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E6E36">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82F79">
            <w:pPr>
              <w:jc w:val="center"/>
            </w:pPr>
            <w:r>
              <w:rPr>
                <w:rFonts w:ascii="宋体" w:hAnsi="宋体" w:eastAsia="宋体"/>
                <w:sz w:val="16"/>
              </w:rPr>
              <w:t>20</w:t>
            </w:r>
          </w:p>
        </w:tc>
      </w:tr>
      <w:tr w14:paraId="784F75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9A5FD">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755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D36E5">
            <w:pPr>
              <w:jc w:val="center"/>
            </w:pPr>
            <w:r>
              <w:rPr>
                <w:rFonts w:ascii="宋体" w:hAnsi="宋体" w:eastAsia="宋体"/>
                <w:sz w:val="16"/>
              </w:rPr>
              <w:t>开展各类职业技能培训人次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67D7D">
            <w:pPr>
              <w:jc w:val="center"/>
            </w:pPr>
            <w:r>
              <w:rPr>
                <w:rFonts w:ascii="宋体" w:hAnsi="宋体" w:eastAsia="宋体"/>
                <w:sz w:val="16"/>
              </w:rPr>
              <w:t>&gt;=3200人次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EA584">
            <w:pPr>
              <w:jc w:val="center"/>
            </w:pPr>
            <w:r>
              <w:rPr>
                <w:rFonts w:ascii="宋体" w:hAnsi="宋体" w:eastAsia="宋体"/>
                <w:sz w:val="16"/>
              </w:rPr>
              <w:t>考核指标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104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AD98B">
            <w:pPr>
              <w:jc w:val="center"/>
            </w:pPr>
            <w:r>
              <w:rPr>
                <w:rFonts w:ascii="宋体" w:hAnsi="宋体" w:eastAsia="宋体"/>
                <w:sz w:val="16"/>
              </w:rPr>
              <w:t>4335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AC175">
            <w:pPr>
              <w:jc w:val="center"/>
            </w:pPr>
            <w:r>
              <w:rPr>
                <w:rFonts w:ascii="宋体" w:hAnsi="宋体" w:eastAsia="宋体"/>
                <w:sz w:val="16"/>
              </w:rPr>
              <w:t>20</w:t>
            </w:r>
          </w:p>
        </w:tc>
      </w:tr>
      <w:tr w14:paraId="0CDD32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5B8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32B9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6170B">
            <w:pPr>
              <w:jc w:val="center"/>
            </w:pPr>
            <w:r>
              <w:rPr>
                <w:rFonts w:ascii="宋体" w:hAnsi="宋体" w:eastAsia="宋体"/>
                <w:sz w:val="16"/>
              </w:rPr>
              <w:t>培训学员出勤率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90D4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E433F">
            <w:pPr>
              <w:jc w:val="center"/>
              <w:rPr>
                <w:rFonts w:hint="eastAsia" w:eastAsia="宋体"/>
                <w:lang w:eastAsia="zh-CN"/>
              </w:rPr>
            </w:pPr>
            <w:r>
              <w:rPr>
                <w:rFonts w:ascii="宋体" w:hAnsi="宋体" w:eastAsia="宋体"/>
                <w:sz w:val="16"/>
              </w:rPr>
              <w:t>关于进一步加强职业培训管理工作的通知（昌州财社〔2020〕92</w:t>
            </w:r>
            <w:r>
              <w:rPr>
                <w:rFonts w:hint="eastAsia" w:ascii="宋体" w:hAnsi="宋体"/>
                <w:sz w:val="16"/>
                <w:lang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2DB9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C2F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38E20">
            <w:pPr>
              <w:jc w:val="center"/>
            </w:pPr>
            <w:r>
              <w:rPr>
                <w:rFonts w:ascii="宋体" w:hAnsi="宋体" w:eastAsia="宋体"/>
                <w:sz w:val="16"/>
              </w:rPr>
              <w:t>20</w:t>
            </w:r>
          </w:p>
        </w:tc>
      </w:tr>
      <w:tr w14:paraId="3B0488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27EC">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F6ECD">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BBC06">
            <w:pPr>
              <w:jc w:val="center"/>
            </w:pPr>
            <w:r>
              <w:rPr>
                <w:rFonts w:ascii="宋体" w:hAnsi="宋体" w:eastAsia="宋体"/>
                <w:sz w:val="16"/>
              </w:rPr>
              <w:t>学员持证上岗率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EF5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F2EBA">
            <w:pPr>
              <w:jc w:val="center"/>
              <w:rPr>
                <w:rFonts w:hint="eastAsia" w:eastAsia="宋体"/>
                <w:lang w:eastAsia="zh-CN"/>
              </w:rPr>
            </w:pPr>
            <w:r>
              <w:rPr>
                <w:rFonts w:ascii="宋体" w:hAnsi="宋体" w:eastAsia="宋体"/>
                <w:sz w:val="16"/>
              </w:rPr>
              <w:t>关于进一步加强职业培训管理工作的通知（昌州财社〔2020〕92</w:t>
            </w:r>
            <w:r>
              <w:rPr>
                <w:rFonts w:hint="eastAsia" w:ascii="宋体" w:hAnsi="宋体"/>
                <w:sz w:val="16"/>
                <w:lang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38C5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23B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A0ECA">
            <w:pPr>
              <w:jc w:val="center"/>
            </w:pPr>
            <w:r>
              <w:rPr>
                <w:rFonts w:ascii="宋体" w:hAnsi="宋体" w:eastAsia="宋体"/>
                <w:sz w:val="16"/>
              </w:rPr>
              <w:t>15</w:t>
            </w:r>
          </w:p>
        </w:tc>
      </w:tr>
      <w:tr w14:paraId="7FB390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F405F">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5D874">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7F9AE">
            <w:pPr>
              <w:jc w:val="center"/>
            </w:pPr>
            <w:r>
              <w:rPr>
                <w:rFonts w:ascii="宋体" w:hAnsi="宋体" w:eastAsia="宋体"/>
                <w:sz w:val="16"/>
              </w:rPr>
              <w:t>学员对培训满意度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2426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6E5B8">
            <w:pPr>
              <w:jc w:val="center"/>
              <w:rPr>
                <w:rFonts w:hint="eastAsia" w:eastAsia="宋体"/>
                <w:lang w:eastAsia="zh-CN"/>
              </w:rPr>
            </w:pPr>
            <w:r>
              <w:rPr>
                <w:rFonts w:ascii="宋体" w:hAnsi="宋体" w:eastAsia="宋体"/>
                <w:sz w:val="16"/>
              </w:rPr>
              <w:t>关于进一步加强职业培训管理工作的通知（昌州财社〔2020〕92</w:t>
            </w:r>
            <w:r>
              <w:rPr>
                <w:rFonts w:hint="eastAsia" w:ascii="宋体" w:hAnsi="宋体"/>
                <w:sz w:val="16"/>
                <w:lang w:eastAsia="zh-CN"/>
              </w:rPr>
              <w:t>）</w:t>
            </w:r>
            <w:bookmarkStart w:id="0" w:name="_GoBack"/>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BE70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87D3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4D35B">
            <w:pPr>
              <w:jc w:val="center"/>
            </w:pPr>
            <w:r>
              <w:rPr>
                <w:rFonts w:ascii="宋体" w:hAnsi="宋体" w:eastAsia="宋体"/>
                <w:sz w:val="16"/>
              </w:rPr>
              <w:t>15</w:t>
            </w:r>
          </w:p>
        </w:tc>
      </w:tr>
    </w:tbl>
    <w:p w14:paraId="1D2663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2F3EEA04">
        <w:tblPrEx>
          <w:tblCellMar>
            <w:top w:w="0" w:type="dxa"/>
            <w:left w:w="108" w:type="dxa"/>
            <w:bottom w:w="0" w:type="dxa"/>
            <w:right w:w="108" w:type="dxa"/>
          </w:tblCellMar>
        </w:tblPrEx>
        <w:tc>
          <w:tcPr>
            <w:tcW w:w="8848" w:type="dxa"/>
            <w:gridSpan w:val="14"/>
            <w:vAlign w:val="center"/>
          </w:tcPr>
          <w:p w14:paraId="7B56A2C4">
            <w:pPr>
              <w:jc w:val="center"/>
            </w:pPr>
            <w:r>
              <w:rPr>
                <w:rFonts w:ascii="宋体" w:hAnsi="宋体" w:eastAsia="宋体"/>
                <w:sz w:val="24"/>
              </w:rPr>
              <w:t>项目支出绩效自评表</w:t>
            </w:r>
          </w:p>
        </w:tc>
      </w:tr>
      <w:tr w14:paraId="22E14098">
        <w:tblPrEx>
          <w:tblCellMar>
            <w:top w:w="0" w:type="dxa"/>
            <w:left w:w="108" w:type="dxa"/>
            <w:bottom w:w="0" w:type="dxa"/>
            <w:right w:w="108" w:type="dxa"/>
          </w:tblCellMar>
        </w:tblPrEx>
        <w:tc>
          <w:tcPr>
            <w:tcW w:w="8848" w:type="dxa"/>
            <w:gridSpan w:val="14"/>
            <w:vAlign w:val="center"/>
          </w:tcPr>
          <w:p w14:paraId="5BD1897A">
            <w:pPr>
              <w:jc w:val="center"/>
            </w:pPr>
            <w:r>
              <w:rPr>
                <w:rFonts w:ascii="宋体" w:hAnsi="宋体" w:eastAsia="宋体"/>
                <w:sz w:val="24"/>
              </w:rPr>
              <w:t>(2024年度)</w:t>
            </w:r>
          </w:p>
        </w:tc>
      </w:tr>
      <w:tr w14:paraId="6015CF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F7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B98CCA">
            <w:pPr>
              <w:jc w:val="center"/>
            </w:pPr>
            <w:r>
              <w:rPr>
                <w:rFonts w:ascii="宋体" w:hAnsi="宋体" w:eastAsia="宋体"/>
                <w:sz w:val="16"/>
              </w:rPr>
              <w:t>昌州财办社</w:t>
            </w:r>
            <w:r>
              <w:rPr>
                <w:rFonts w:hint="eastAsia" w:ascii="宋体" w:hAnsi="宋体"/>
                <w:sz w:val="16"/>
                <w:lang w:eastAsia="zh-CN"/>
              </w:rPr>
              <w:t>〔2021〕11号</w:t>
            </w:r>
            <w:r>
              <w:rPr>
                <w:rFonts w:ascii="宋体" w:hAnsi="宋体" w:eastAsia="宋体"/>
                <w:sz w:val="16"/>
              </w:rPr>
              <w:t>关于提前下达2022年中央财政就业[职业培训]补贴资金预算的通知</w:t>
            </w:r>
          </w:p>
        </w:tc>
      </w:tr>
      <w:tr w14:paraId="407D91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55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942078">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2C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BB7DA4">
            <w:pPr>
              <w:jc w:val="center"/>
            </w:pPr>
            <w:r>
              <w:rPr>
                <w:rFonts w:ascii="宋体" w:hAnsi="宋体" w:eastAsia="宋体"/>
                <w:sz w:val="16"/>
              </w:rPr>
              <w:t>吉木萨尔县技工学校</w:t>
            </w:r>
          </w:p>
        </w:tc>
      </w:tr>
      <w:tr w14:paraId="6FC8E6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C71C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F63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A8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ECD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0F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1F7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9D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BA0D">
            <w:pPr>
              <w:jc w:val="center"/>
            </w:pPr>
            <w:r>
              <w:rPr>
                <w:rFonts w:ascii="宋体" w:hAnsi="宋体" w:eastAsia="宋体"/>
                <w:sz w:val="16"/>
              </w:rPr>
              <w:t>得分</w:t>
            </w:r>
          </w:p>
        </w:tc>
      </w:tr>
      <w:tr w14:paraId="2C52F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D01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731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C8557">
            <w:pPr>
              <w:jc w:val="center"/>
            </w:pPr>
            <w:r>
              <w:rPr>
                <w:rFonts w:ascii="宋体" w:hAnsi="宋体" w:eastAsia="宋体"/>
                <w:sz w:val="16"/>
              </w:rPr>
              <w:t>4.59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D9321">
            <w:pPr>
              <w:jc w:val="center"/>
            </w:pPr>
            <w:r>
              <w:rPr>
                <w:rFonts w:ascii="宋体" w:hAnsi="宋体" w:eastAsia="宋体"/>
                <w:sz w:val="16"/>
              </w:rPr>
              <w:t>4.59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4BA48">
            <w:pPr>
              <w:jc w:val="center"/>
            </w:pPr>
            <w:r>
              <w:rPr>
                <w:rFonts w:ascii="宋体" w:hAnsi="宋体" w:eastAsia="宋体"/>
                <w:sz w:val="16"/>
              </w:rPr>
              <w:t>4.59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247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2DB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52F8">
            <w:pPr>
              <w:jc w:val="center"/>
            </w:pPr>
            <w:r>
              <w:rPr>
                <w:rFonts w:ascii="宋体" w:hAnsi="宋体" w:eastAsia="宋体"/>
                <w:sz w:val="16"/>
              </w:rPr>
              <w:t>10.00</w:t>
            </w:r>
          </w:p>
        </w:tc>
      </w:tr>
      <w:tr w14:paraId="45992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840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194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675A">
            <w:pPr>
              <w:jc w:val="center"/>
            </w:pPr>
            <w:r>
              <w:rPr>
                <w:rFonts w:ascii="宋体" w:hAnsi="宋体" w:eastAsia="宋体"/>
                <w:sz w:val="16"/>
              </w:rPr>
              <w:t>4.59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E712A">
            <w:pPr>
              <w:jc w:val="center"/>
            </w:pPr>
            <w:r>
              <w:rPr>
                <w:rFonts w:ascii="宋体" w:hAnsi="宋体" w:eastAsia="宋体"/>
                <w:sz w:val="16"/>
              </w:rPr>
              <w:t>4.59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FFE4D">
            <w:pPr>
              <w:jc w:val="center"/>
            </w:pPr>
            <w:r>
              <w:rPr>
                <w:rFonts w:ascii="宋体" w:hAnsi="宋体" w:eastAsia="宋体"/>
                <w:sz w:val="16"/>
              </w:rPr>
              <w:t>4.59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4A5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4C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3A75">
            <w:pPr>
              <w:jc w:val="center"/>
            </w:pPr>
            <w:r>
              <w:rPr>
                <w:rFonts w:ascii="宋体" w:hAnsi="宋体" w:eastAsia="宋体"/>
                <w:sz w:val="16"/>
              </w:rPr>
              <w:t>—</w:t>
            </w:r>
          </w:p>
        </w:tc>
      </w:tr>
      <w:tr w14:paraId="106CB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292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6B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CC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04C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3C0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84C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9D2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4D56">
            <w:pPr>
              <w:jc w:val="center"/>
            </w:pPr>
            <w:r>
              <w:rPr>
                <w:rFonts w:ascii="宋体" w:hAnsi="宋体" w:eastAsia="宋体"/>
                <w:sz w:val="16"/>
              </w:rPr>
              <w:t>—</w:t>
            </w:r>
          </w:p>
        </w:tc>
      </w:tr>
      <w:tr w14:paraId="6BC2DD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E6E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699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41FB3A">
            <w:pPr>
              <w:jc w:val="center"/>
            </w:pPr>
            <w:r>
              <w:rPr>
                <w:rFonts w:ascii="宋体" w:hAnsi="宋体" w:eastAsia="宋体"/>
                <w:sz w:val="16"/>
              </w:rPr>
              <w:t>实际完成情况</w:t>
            </w:r>
          </w:p>
        </w:tc>
      </w:tr>
      <w:tr w14:paraId="3E86A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9A8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0A412">
            <w:pPr>
              <w:jc w:val="both"/>
            </w:pPr>
            <w:r>
              <w:rPr>
                <w:rFonts w:ascii="宋体" w:hAnsi="宋体" w:eastAsia="宋体"/>
                <w:sz w:val="16"/>
              </w:rPr>
              <w:t>1、技工学校着力于提高广大农牧民群众综合素质，汇聚农牧民群众力量，切实加强农民教育引导工作，不断满足广大农民求知、求富、求乐的需求，更好</w:t>
            </w:r>
            <w:r>
              <w:rPr>
                <w:rFonts w:hint="eastAsia" w:ascii="宋体" w:hAnsi="宋体"/>
                <w:sz w:val="16"/>
                <w:lang w:eastAsia="zh-CN"/>
              </w:rPr>
              <w:t>地</w:t>
            </w:r>
            <w:r>
              <w:rPr>
                <w:rFonts w:ascii="宋体" w:hAnsi="宋体" w:eastAsia="宋体"/>
                <w:sz w:val="16"/>
              </w:rPr>
              <w:t>推动我县经济发展。2、项目资金主要用于我校为开展培训任务产生的师资费、鉴定费、其他交通费</w:t>
            </w:r>
            <w:r>
              <w:rPr>
                <w:rFonts w:hint="eastAsia" w:ascii="宋体" w:hAnsi="宋体"/>
                <w:sz w:val="16"/>
                <w:lang w:eastAsia="zh-CN"/>
              </w:rPr>
              <w:t>、</w:t>
            </w:r>
            <w:r>
              <w:rPr>
                <w:rFonts w:ascii="宋体" w:hAnsi="宋体" w:eastAsia="宋体"/>
                <w:sz w:val="16"/>
              </w:rPr>
              <w:t>培训期间产生的其他相关费用。3、2024年计划开展各类职业技能培训3200人次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6616B7">
            <w:pPr>
              <w:jc w:val="both"/>
            </w:pPr>
            <w:r>
              <w:rPr>
                <w:rFonts w:hint="eastAsia" w:ascii="宋体" w:hAnsi="宋体"/>
                <w:sz w:val="16"/>
                <w:lang w:eastAsia="zh-CN"/>
              </w:rPr>
              <w:t>截至</w:t>
            </w:r>
            <w:r>
              <w:rPr>
                <w:rFonts w:ascii="宋体" w:hAnsi="宋体" w:eastAsia="宋体"/>
                <w:sz w:val="16"/>
              </w:rPr>
              <w:t>2024年12月31日，本项目实际支出资金4.59万元，预算执行率100%，实际已开展各类职业技能培训4335人次，通过实施本项目，增加就业率，使得培训学员满意度达到100%。</w:t>
            </w:r>
          </w:p>
        </w:tc>
      </w:tr>
      <w:tr w14:paraId="36F24A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332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47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FC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AB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F7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B23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EC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9D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8E4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A9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31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E6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74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33C4">
            <w:pPr>
              <w:jc w:val="center"/>
            </w:pPr>
            <w:r>
              <w:rPr>
                <w:rFonts w:ascii="宋体" w:hAnsi="宋体" w:eastAsia="宋体"/>
                <w:sz w:val="16"/>
              </w:rPr>
              <w:t>偏差原因分析及改进措施</w:t>
            </w:r>
          </w:p>
        </w:tc>
      </w:tr>
      <w:tr w14:paraId="5F4D78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FE9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5E2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338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6503">
            <w:pPr>
              <w:jc w:val="center"/>
            </w:pPr>
            <w:r>
              <w:rPr>
                <w:rFonts w:ascii="宋体" w:hAnsi="宋体" w:eastAsia="宋体"/>
                <w:sz w:val="16"/>
              </w:rPr>
              <w:t>开展各类职业技能培训人次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340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46A3">
            <w:pPr>
              <w:jc w:val="center"/>
            </w:pPr>
            <w:r>
              <w:rPr>
                <w:rFonts w:ascii="宋体" w:hAnsi="宋体" w:eastAsia="宋体"/>
                <w:sz w:val="16"/>
              </w:rPr>
              <w:t>&gt;=3200人次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53C7">
            <w:pPr>
              <w:jc w:val="center"/>
            </w:pPr>
            <w:r>
              <w:rPr>
                <w:rFonts w:ascii="宋体" w:hAnsi="宋体" w:eastAsia="宋体"/>
                <w:sz w:val="16"/>
              </w:rPr>
              <w:t>=4335人次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5746">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BA4E">
            <w:pPr>
              <w:jc w:val="center"/>
            </w:pPr>
            <w:r>
              <w:rPr>
                <w:rFonts w:ascii="宋体" w:hAnsi="宋体" w:eastAsia="宋体"/>
                <w:sz w:val="16"/>
              </w:rPr>
              <w:t>8.45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D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2D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C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A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7D89">
            <w:pPr>
              <w:jc w:val="center"/>
            </w:pPr>
            <w:r>
              <w:rPr>
                <w:rFonts w:ascii="宋体" w:hAnsi="宋体" w:eastAsia="宋体"/>
                <w:sz w:val="16"/>
              </w:rPr>
              <w:t>主要新增专业培训较多导致职业技能培训人次达到4335人次。</w:t>
            </w:r>
          </w:p>
        </w:tc>
      </w:tr>
      <w:tr w14:paraId="4A158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11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82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C5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B5BB">
            <w:pPr>
              <w:jc w:val="center"/>
            </w:pPr>
            <w:r>
              <w:rPr>
                <w:rFonts w:ascii="宋体" w:hAnsi="宋体" w:eastAsia="宋体"/>
                <w:sz w:val="16"/>
              </w:rPr>
              <w:t>新增取得职业资格证书和职业技能等级证书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DD0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40FD">
            <w:pPr>
              <w:jc w:val="center"/>
            </w:pPr>
            <w:r>
              <w:rPr>
                <w:rFonts w:ascii="宋体" w:hAnsi="宋体" w:eastAsia="宋体"/>
                <w:sz w:val="16"/>
              </w:rPr>
              <w:t>&gt;=800人次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AA91">
            <w:pPr>
              <w:jc w:val="center"/>
            </w:pPr>
            <w:r>
              <w:rPr>
                <w:rFonts w:ascii="宋体" w:hAnsi="宋体" w:eastAsia="宋体"/>
                <w:sz w:val="16"/>
              </w:rPr>
              <w:t>=910人次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4FE2">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3513">
            <w:pPr>
              <w:jc w:val="center"/>
            </w:pPr>
            <w:r>
              <w:rPr>
                <w:rFonts w:ascii="宋体" w:hAnsi="宋体" w:eastAsia="宋体"/>
                <w:sz w:val="16"/>
              </w:rPr>
              <w:t>10.44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6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16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C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7E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082A">
            <w:pPr>
              <w:jc w:val="center"/>
            </w:pPr>
            <w:r>
              <w:rPr>
                <w:rFonts w:ascii="宋体" w:hAnsi="宋体" w:eastAsia="宋体"/>
                <w:sz w:val="16"/>
              </w:rPr>
              <w:t>根据实际统计完成910人次取得职业资格证书和职业技能等级证书</w:t>
            </w:r>
          </w:p>
        </w:tc>
      </w:tr>
      <w:tr w14:paraId="7C2DE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56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E6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9F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7BD8">
            <w:pPr>
              <w:jc w:val="center"/>
            </w:pPr>
            <w:r>
              <w:rPr>
                <w:rFonts w:ascii="宋体" w:hAnsi="宋体" w:eastAsia="宋体"/>
                <w:sz w:val="16"/>
              </w:rPr>
              <w:t>培训学员出勤率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33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B7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1C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B3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C3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0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2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1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8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0575">
            <w:pPr>
              <w:jc w:val="center"/>
            </w:pPr>
          </w:p>
        </w:tc>
      </w:tr>
      <w:tr w14:paraId="21242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A7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4E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4C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CB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C9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DF0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F452">
            <w:pPr>
              <w:jc w:val="center"/>
            </w:pPr>
            <w:r>
              <w:rPr>
                <w:rFonts w:ascii="宋体" w:hAnsi="宋体" w:eastAsia="宋体"/>
                <w:sz w:val="16"/>
              </w:rPr>
              <w:t>=2024年4月2日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0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D1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94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DC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F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7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0109">
            <w:pPr>
              <w:jc w:val="center"/>
            </w:pPr>
          </w:p>
        </w:tc>
      </w:tr>
      <w:tr w14:paraId="3F0A4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C5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C95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E8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3AF4">
            <w:pPr>
              <w:jc w:val="center"/>
            </w:pPr>
            <w:r>
              <w:rPr>
                <w:rFonts w:ascii="宋体" w:hAnsi="宋体" w:eastAsia="宋体"/>
                <w:sz w:val="16"/>
              </w:rPr>
              <w:t>培训补贴资金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C7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4C0E">
            <w:pPr>
              <w:jc w:val="center"/>
            </w:pPr>
            <w:r>
              <w:rPr>
                <w:rFonts w:ascii="宋体" w:hAnsi="宋体" w:eastAsia="宋体"/>
                <w:sz w:val="16"/>
              </w:rPr>
              <w:t>&lt;=4.59万元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8AE5">
            <w:pPr>
              <w:jc w:val="center"/>
            </w:pPr>
            <w:r>
              <w:rPr>
                <w:rFonts w:ascii="宋体" w:hAnsi="宋体" w:eastAsia="宋体"/>
                <w:sz w:val="16"/>
              </w:rPr>
              <w: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6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7E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1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E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1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6FC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35C6">
            <w:pPr>
              <w:jc w:val="center"/>
            </w:pPr>
          </w:p>
        </w:tc>
      </w:tr>
      <w:tr w14:paraId="20C2D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11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7F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70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E784">
            <w:pPr>
              <w:jc w:val="center"/>
            </w:pPr>
            <w:r>
              <w:rPr>
                <w:rFonts w:ascii="宋体" w:hAnsi="宋体" w:eastAsia="宋体"/>
                <w:sz w:val="16"/>
              </w:rPr>
              <w:t>培训学员持证上岗率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BA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A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4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A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D6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A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B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9A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F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23B0">
            <w:pPr>
              <w:jc w:val="center"/>
            </w:pPr>
          </w:p>
        </w:tc>
      </w:tr>
      <w:tr w14:paraId="1CF6D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52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2A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30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192B">
            <w:pPr>
              <w:jc w:val="center"/>
            </w:pPr>
            <w:r>
              <w:rPr>
                <w:rFonts w:ascii="宋体" w:hAnsi="宋体" w:eastAsia="宋体"/>
                <w:sz w:val="16"/>
              </w:rPr>
              <w:t>培训学员满意度（%）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E0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E0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C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B8E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3D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BD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10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40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D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21E5">
            <w:pPr>
              <w:jc w:val="center"/>
            </w:pPr>
            <w:r>
              <w:rPr>
                <w:rFonts w:ascii="宋体" w:hAnsi="宋体" w:eastAsia="宋体"/>
                <w:sz w:val="16"/>
              </w:rPr>
              <w:t>通过培训每，使得受益培训</w:t>
            </w:r>
            <w:r>
              <w:rPr>
                <w:rFonts w:hint="eastAsia" w:ascii="宋体" w:hAnsi="宋体"/>
                <w:sz w:val="16"/>
                <w:lang w:eastAsia="zh-CN"/>
              </w:rPr>
              <w:t>学员</w:t>
            </w:r>
            <w:r>
              <w:rPr>
                <w:rFonts w:ascii="宋体" w:hAnsi="宋体" w:eastAsia="宋体"/>
                <w:sz w:val="16"/>
              </w:rPr>
              <w:t>满意度达到100%。</w:t>
            </w:r>
          </w:p>
        </w:tc>
      </w:tr>
      <w:tr w14:paraId="08AA51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059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D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714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FDE2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DF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11A7">
            <w:pPr>
              <w:jc w:val="center"/>
            </w:pPr>
            <w:r>
              <w:rPr>
                <w:rFonts w:ascii="宋体" w:hAnsi="宋体" w:eastAsia="宋体"/>
                <w:sz w:val="16"/>
              </w:rPr>
              <w:t>93.89分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4C4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958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129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8FC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4BC69"/>
        </w:tc>
      </w:tr>
    </w:tbl>
    <w:p w14:paraId="4B538D49">
      <w:r>
        <w:br w:type="page"/>
      </w:r>
    </w:p>
    <w:p w14:paraId="1EE4640D">
      <w:pPr>
        <w:spacing w:line="640" w:lineRule="exact"/>
        <w:ind w:firstLine="640"/>
        <w:jc w:val="both"/>
        <w:outlineLvl w:val="2"/>
      </w:pPr>
      <w:r>
        <w:rPr>
          <w:rFonts w:ascii="黑体" w:hAnsi="黑体" w:eastAsia="黑体"/>
          <w:sz w:val="32"/>
        </w:rPr>
        <w:t>十二、其他需说明的事项</w:t>
      </w:r>
    </w:p>
    <w:p w14:paraId="61BB93A0">
      <w:pPr>
        <w:spacing w:line="580" w:lineRule="exact"/>
        <w:ind w:firstLine="640"/>
        <w:jc w:val="both"/>
      </w:pPr>
      <w:r>
        <w:rPr>
          <w:rFonts w:ascii="仿宋_GB2312" w:hAnsi="仿宋_GB2312" w:eastAsia="仿宋_GB2312"/>
          <w:b w:val="0"/>
          <w:sz w:val="32"/>
        </w:rPr>
        <w:t>本单位无其他需说明的事项。</w:t>
      </w:r>
    </w:p>
    <w:p w14:paraId="646048F9">
      <w:r>
        <w:br w:type="page"/>
      </w:r>
    </w:p>
    <w:p w14:paraId="6C232505">
      <w:pPr>
        <w:spacing w:line="240" w:lineRule="auto"/>
        <w:jc w:val="center"/>
        <w:outlineLvl w:val="1"/>
      </w:pPr>
      <w:r>
        <w:rPr>
          <w:rFonts w:ascii="黑体" w:hAnsi="黑体" w:eastAsia="黑体"/>
          <w:sz w:val="32"/>
        </w:rPr>
        <w:t>第三部分 专业名词解释</w:t>
      </w:r>
    </w:p>
    <w:p w14:paraId="2A2A583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4FD66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A8AE9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1E42F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2EA536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ACFD36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0AC7C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0729B8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EF0D3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DFB650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91F69E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6837AA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EA676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E7323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8BB26B0">
      <w:r>
        <w:br w:type="page"/>
      </w:r>
    </w:p>
    <w:p w14:paraId="5803B006">
      <w:pPr>
        <w:spacing w:line="240" w:lineRule="auto"/>
        <w:jc w:val="center"/>
        <w:outlineLvl w:val="1"/>
      </w:pPr>
      <w:r>
        <w:rPr>
          <w:rFonts w:ascii="黑体" w:hAnsi="黑体" w:eastAsia="黑体"/>
          <w:sz w:val="32"/>
        </w:rPr>
        <w:t>第四部分 部门决算报表（见附表）</w:t>
      </w:r>
    </w:p>
    <w:p w14:paraId="66A831E9">
      <w:pPr>
        <w:spacing w:line="240" w:lineRule="auto"/>
        <w:ind w:firstLine="640"/>
        <w:jc w:val="both"/>
      </w:pPr>
      <w:r>
        <w:rPr>
          <w:rFonts w:ascii="仿宋_GB2312" w:hAnsi="仿宋_GB2312" w:eastAsia="仿宋_GB2312"/>
          <w:b w:val="0"/>
          <w:sz w:val="32"/>
        </w:rPr>
        <w:t>一、《收入支出决算总表》</w:t>
      </w:r>
    </w:p>
    <w:p w14:paraId="1288C867">
      <w:pPr>
        <w:spacing w:line="240" w:lineRule="auto"/>
        <w:ind w:firstLine="640"/>
        <w:jc w:val="both"/>
      </w:pPr>
      <w:r>
        <w:rPr>
          <w:rFonts w:ascii="仿宋_GB2312" w:hAnsi="仿宋_GB2312" w:eastAsia="仿宋_GB2312"/>
          <w:b w:val="0"/>
          <w:sz w:val="32"/>
        </w:rPr>
        <w:t>二、《收入决算表》</w:t>
      </w:r>
    </w:p>
    <w:p w14:paraId="35630958">
      <w:pPr>
        <w:spacing w:line="240" w:lineRule="auto"/>
        <w:ind w:firstLine="640"/>
        <w:jc w:val="both"/>
      </w:pPr>
      <w:r>
        <w:rPr>
          <w:rFonts w:ascii="仿宋_GB2312" w:hAnsi="仿宋_GB2312" w:eastAsia="仿宋_GB2312"/>
          <w:b w:val="0"/>
          <w:sz w:val="32"/>
        </w:rPr>
        <w:t>三、《支出决算表》</w:t>
      </w:r>
    </w:p>
    <w:p w14:paraId="6ECA33C6">
      <w:pPr>
        <w:spacing w:line="240" w:lineRule="auto"/>
        <w:ind w:firstLine="640"/>
        <w:jc w:val="both"/>
      </w:pPr>
      <w:r>
        <w:rPr>
          <w:rFonts w:ascii="仿宋_GB2312" w:hAnsi="仿宋_GB2312" w:eastAsia="仿宋_GB2312"/>
          <w:b w:val="0"/>
          <w:sz w:val="32"/>
        </w:rPr>
        <w:t>四、《财政拨款收入支出决算总表》</w:t>
      </w:r>
    </w:p>
    <w:p w14:paraId="0DEAEBE7">
      <w:pPr>
        <w:spacing w:line="240" w:lineRule="auto"/>
        <w:ind w:firstLine="640"/>
        <w:jc w:val="both"/>
      </w:pPr>
      <w:r>
        <w:rPr>
          <w:rFonts w:ascii="仿宋_GB2312" w:hAnsi="仿宋_GB2312" w:eastAsia="仿宋_GB2312"/>
          <w:b w:val="0"/>
          <w:sz w:val="32"/>
        </w:rPr>
        <w:t>五、《一般公共预算财政拨款支出决算表》</w:t>
      </w:r>
    </w:p>
    <w:p w14:paraId="105EC12F">
      <w:pPr>
        <w:spacing w:line="240" w:lineRule="auto"/>
        <w:ind w:firstLine="640"/>
        <w:jc w:val="both"/>
      </w:pPr>
      <w:r>
        <w:rPr>
          <w:rFonts w:ascii="仿宋_GB2312" w:hAnsi="仿宋_GB2312" w:eastAsia="仿宋_GB2312"/>
          <w:b w:val="0"/>
          <w:sz w:val="32"/>
        </w:rPr>
        <w:t>六、《一般公共预算财政拨款基本支出决算表》</w:t>
      </w:r>
    </w:p>
    <w:p w14:paraId="2C56E34D">
      <w:pPr>
        <w:spacing w:line="240" w:lineRule="auto"/>
        <w:ind w:firstLine="640"/>
        <w:jc w:val="both"/>
      </w:pPr>
      <w:r>
        <w:rPr>
          <w:rFonts w:ascii="仿宋_GB2312" w:hAnsi="仿宋_GB2312" w:eastAsia="仿宋_GB2312"/>
          <w:b w:val="0"/>
          <w:sz w:val="32"/>
        </w:rPr>
        <w:t>七、《政府性基金预算财政拨款收入支出决算表》</w:t>
      </w:r>
    </w:p>
    <w:p w14:paraId="3F3F61BE">
      <w:pPr>
        <w:spacing w:line="240" w:lineRule="auto"/>
        <w:ind w:firstLine="640"/>
        <w:jc w:val="both"/>
      </w:pPr>
      <w:r>
        <w:rPr>
          <w:rFonts w:ascii="仿宋_GB2312" w:hAnsi="仿宋_GB2312" w:eastAsia="仿宋_GB2312"/>
          <w:b w:val="0"/>
          <w:sz w:val="32"/>
        </w:rPr>
        <w:t>八、《国有资本经营预算财政拨款收入支出决算表》</w:t>
      </w:r>
    </w:p>
    <w:p w14:paraId="0DB07423">
      <w:pPr>
        <w:spacing w:line="240" w:lineRule="auto"/>
        <w:ind w:firstLine="640"/>
        <w:jc w:val="both"/>
      </w:pPr>
      <w:r>
        <w:rPr>
          <w:rFonts w:ascii="仿宋_GB2312" w:hAnsi="仿宋_GB2312" w:eastAsia="仿宋_GB2312"/>
          <w:b w:val="0"/>
          <w:sz w:val="32"/>
        </w:rPr>
        <w:t>九、《财政拨款“三公”经费支出决算表》</w:t>
      </w:r>
    </w:p>
    <w:p w14:paraId="5B40E28F">
      <w:pPr>
        <w:spacing w:line="240" w:lineRule="auto"/>
        <w:ind w:firstLine="640"/>
        <w:jc w:val="both"/>
      </w:pPr>
    </w:p>
    <w:p w14:paraId="67E53397">
      <w:pPr>
        <w:spacing w:line="240" w:lineRule="auto"/>
        <w:ind w:firstLine="640"/>
        <w:jc w:val="both"/>
      </w:pPr>
    </w:p>
    <w:p w14:paraId="2B227FC2">
      <w:pPr>
        <w:spacing w:line="240" w:lineRule="auto"/>
        <w:ind w:firstLine="640"/>
        <w:jc w:val="both"/>
      </w:pPr>
    </w:p>
    <w:p w14:paraId="33A2E312">
      <w:pPr>
        <w:spacing w:line="240" w:lineRule="auto"/>
        <w:ind w:firstLine="640"/>
        <w:jc w:val="both"/>
      </w:pPr>
    </w:p>
    <w:p w14:paraId="4A29BA8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4FB6AC-3C7F-4A45-9C8E-241DD9D2165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437C370-8EE5-4076-805A-84F39F2183B7}"/>
  </w:font>
  <w:font w:name="仿宋_GB2312">
    <w:altName w:val="仿宋"/>
    <w:panose1 w:val="02010609030101010101"/>
    <w:charset w:val="86"/>
    <w:family w:val="modern"/>
    <w:pitch w:val="default"/>
    <w:sig w:usb0="00000000" w:usb1="00000000" w:usb2="00000000" w:usb3="00000000" w:csb0="00040000" w:csb1="00000000"/>
    <w:embedRegular r:id="rId3" w:fontKey="{17C84451-ECF4-4A78-83C4-AD5469525EB5}"/>
  </w:font>
  <w:font w:name="楷体_GB2312">
    <w:altName w:val="楷体"/>
    <w:panose1 w:val="00000000000000000000"/>
    <w:charset w:val="00"/>
    <w:family w:val="auto"/>
    <w:pitch w:val="default"/>
    <w:sig w:usb0="00000000" w:usb1="00000000" w:usb2="00000000" w:usb3="00000000" w:csb0="00000000" w:csb1="00000000"/>
    <w:embedRegular r:id="rId4" w:fontKey="{1C97C623-916E-4894-B96F-6FF66C04A56C}"/>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0130D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023958"/>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4548</Words>
  <Characters>5253</Characters>
  <Lines>0</Lines>
  <Paragraphs>0</Paragraphs>
  <TotalTime>4</TotalTime>
  <ScaleCrop>false</ScaleCrop>
  <LinksUpToDate>false</LinksUpToDate>
  <CharactersWithSpaces>5261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2025-10-14T02:20:23Z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