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吉木萨尔县总工会2024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8F58941">
      <w:r>
        <w:br w:type="page"/>
      </w:r>
    </w:p>
    <w:p w14:paraId="7D3E10BB">
      <w:pPr>
        <w:spacing w:line="640" w:lineRule="exact"/>
        <w:jc w:val="center"/>
        <w:outlineLvl w:val="1"/>
      </w:pPr>
      <w:r>
        <w:rPr>
          <w:rFonts w:ascii="黑体" w:hAnsi="黑体" w:eastAsia="黑体"/>
          <w:sz w:val="32"/>
        </w:rPr>
        <w:t>第一部分 单位概况</w:t>
      </w:r>
    </w:p>
    <w:p w14:paraId="65BC310E">
      <w:pPr>
        <w:spacing w:line="640" w:lineRule="exact"/>
        <w:ind w:firstLine="640"/>
        <w:jc w:val="both"/>
        <w:outlineLvl w:val="2"/>
      </w:pPr>
      <w:r>
        <w:rPr>
          <w:rFonts w:ascii="黑体" w:hAnsi="黑体" w:eastAsia="黑体"/>
          <w:sz w:val="32"/>
        </w:rPr>
        <w:t>一、主要职能</w:t>
      </w:r>
    </w:p>
    <w:p w14:paraId="2E26DD01">
      <w:pPr>
        <w:spacing w:line="580" w:lineRule="exact"/>
        <w:ind w:firstLine="640"/>
        <w:jc w:val="both"/>
      </w:pPr>
      <w:r>
        <w:rPr>
          <w:rFonts w:ascii="仿宋_GB2312" w:hAnsi="仿宋_GB2312" w:eastAsia="仿宋_GB2312"/>
          <w:sz w:val="32"/>
        </w:rPr>
        <w:t>1、认真履行工会四项主要职能（维护、建设、参与、教育），充分发挥工会组织是党组织联系群众的“桥梁、纽带”作用，协助党政组织发动广大职工积极参与单位的民主管理、民主监督工作。发挥工会的特色和优势，依照“中国工会章程”独立自主地开展工作。</w:t>
      </w:r>
    </w:p>
    <w:p w14:paraId="3A048A4D">
      <w:pPr>
        <w:spacing w:line="580" w:lineRule="exact"/>
        <w:ind w:firstLine="640"/>
        <w:jc w:val="both"/>
      </w:pPr>
      <w:r>
        <w:rPr>
          <w:rFonts w:ascii="仿宋_GB2312" w:hAnsi="仿宋_GB2312" w:eastAsia="仿宋_GB2312"/>
          <w:sz w:val="32"/>
        </w:rPr>
        <w:t>2、维护职工群众的合法利益和民主权利。动员和组织广大职工群众积极参加改革和建设,努力完成经济和社会发展任务、代表和组织职工参与国家和社会事务管理,参与企业、事业和机关的民主管理。教育职工不断提高思想道德素质和科学文化素质,建设有理想、有道德、有文化、有纪律的职工队伍。</w:t>
      </w:r>
    </w:p>
    <w:p w14:paraId="62968AA5">
      <w:pPr>
        <w:spacing w:line="580" w:lineRule="exact"/>
        <w:ind w:firstLine="640"/>
        <w:jc w:val="both"/>
      </w:pPr>
      <w:r>
        <w:rPr>
          <w:rFonts w:ascii="仿宋_GB2312" w:hAnsi="仿宋_GB2312" w:eastAsia="仿宋_GB2312"/>
          <w:sz w:val="32"/>
        </w:rPr>
        <w:t>3、收好、管好、用好工会各项经费，管好工会财产，严肃财经法纪，使工会经费得到合理、有效地使用，使工会的企事业不断改善经营管理，提高社会效益和经济效益，更好地为职工群众服务。</w:t>
      </w:r>
    </w:p>
    <w:p w14:paraId="7D5A259C">
      <w:pPr>
        <w:spacing w:line="640" w:lineRule="exact"/>
        <w:ind w:firstLine="640"/>
        <w:jc w:val="both"/>
        <w:outlineLvl w:val="2"/>
      </w:pPr>
      <w:r>
        <w:rPr>
          <w:rFonts w:ascii="黑体" w:hAnsi="黑体" w:eastAsia="黑体"/>
          <w:sz w:val="32"/>
        </w:rPr>
        <w:t>二、机构设置及人员情况</w:t>
      </w:r>
    </w:p>
    <w:p w14:paraId="6A41783E">
      <w:pPr>
        <w:spacing w:line="580" w:lineRule="exact"/>
        <w:ind w:firstLine="640"/>
        <w:jc w:val="both"/>
      </w:pPr>
      <w:r>
        <w:rPr>
          <w:rFonts w:ascii="仿宋_GB2312" w:hAnsi="仿宋_GB2312" w:eastAsia="仿宋_GB2312"/>
          <w:sz w:val="32"/>
        </w:rPr>
        <w:t>吉木萨尔县总工会2024年度，实有人数18人，其中：在职人员8人，增加0人；离休人员0人，增加0人；退休人员10人,增加0人。</w:t>
      </w:r>
    </w:p>
    <w:p w14:paraId="304FFD24">
      <w:pPr>
        <w:spacing w:line="580" w:lineRule="exact"/>
        <w:ind w:firstLine="640"/>
        <w:jc w:val="both"/>
      </w:pPr>
      <w:r>
        <w:rPr>
          <w:rFonts w:ascii="仿宋_GB2312" w:hAnsi="仿宋_GB2312" w:eastAsia="仿宋_GB2312"/>
          <w:sz w:val="32"/>
        </w:rPr>
        <w:t>吉木萨尔县总工会无下属预算单位，下设1个科室，分别是：职工帮扶中心。</w:t>
      </w:r>
    </w:p>
    <w:p w14:paraId="06EDD4A7">
      <w:r>
        <w:br w:type="page"/>
      </w:r>
    </w:p>
    <w:p w14:paraId="5B773DCE">
      <w:pPr>
        <w:spacing w:line="240" w:lineRule="auto"/>
        <w:jc w:val="center"/>
        <w:outlineLvl w:val="1"/>
      </w:pPr>
      <w:r>
        <w:rPr>
          <w:rFonts w:ascii="黑体" w:hAnsi="黑体" w:eastAsia="黑体"/>
          <w:sz w:val="32"/>
        </w:rPr>
        <w:t>第二部分 部门决算情况说明</w:t>
      </w:r>
    </w:p>
    <w:p w14:paraId="6E132588">
      <w:pPr>
        <w:spacing w:line="640" w:lineRule="exact"/>
        <w:ind w:firstLine="640"/>
        <w:jc w:val="both"/>
        <w:outlineLvl w:val="2"/>
      </w:pPr>
      <w:r>
        <w:rPr>
          <w:rFonts w:ascii="黑体" w:hAnsi="黑体" w:eastAsia="黑体"/>
          <w:sz w:val="32"/>
        </w:rPr>
        <w:t>一、收入支出决算总体情况说明</w:t>
      </w:r>
    </w:p>
    <w:p w14:paraId="37B8443D">
      <w:pPr>
        <w:spacing w:line="580" w:lineRule="exact"/>
        <w:ind w:firstLine="640"/>
        <w:jc w:val="both"/>
      </w:pPr>
      <w:r>
        <w:rPr>
          <w:rFonts w:ascii="仿宋_GB2312" w:hAnsi="仿宋_GB2312" w:eastAsia="仿宋_GB2312"/>
          <w:b/>
          <w:sz w:val="32"/>
        </w:rPr>
        <w:t>2024年度收入总计725.44万元，</w:t>
      </w:r>
      <w:r>
        <w:rPr>
          <w:rFonts w:ascii="仿宋_GB2312" w:hAnsi="仿宋_GB2312" w:eastAsia="仿宋_GB2312"/>
          <w:b w:val="0"/>
          <w:sz w:val="32"/>
        </w:rPr>
        <w:t>其中：本年收入合计725.44万元，使用非财政拨款结余（含专用结余）0.00万元，年初结转和结余0.01万元。</w:t>
      </w:r>
    </w:p>
    <w:p w14:paraId="69B14514">
      <w:pPr>
        <w:spacing w:line="580" w:lineRule="exact"/>
        <w:ind w:firstLine="640"/>
        <w:jc w:val="both"/>
      </w:pPr>
      <w:r>
        <w:rPr>
          <w:rFonts w:ascii="仿宋_GB2312" w:hAnsi="仿宋_GB2312" w:eastAsia="仿宋_GB2312"/>
          <w:b/>
          <w:sz w:val="32"/>
        </w:rPr>
        <w:t>2024年度支出总计725.44万元，</w:t>
      </w:r>
      <w:r>
        <w:rPr>
          <w:rFonts w:ascii="仿宋_GB2312" w:hAnsi="仿宋_GB2312" w:eastAsia="仿宋_GB2312"/>
          <w:b w:val="0"/>
          <w:sz w:val="32"/>
        </w:rPr>
        <w:t>其中：本年支出合计725.44万元，结余分配0.00万元，年末结转和结余0.01万元。</w:t>
      </w:r>
    </w:p>
    <w:p w14:paraId="2FCFD0FD">
      <w:pPr>
        <w:spacing w:line="580" w:lineRule="exact"/>
        <w:ind w:firstLine="640"/>
        <w:jc w:val="both"/>
      </w:pPr>
      <w:r>
        <w:rPr>
          <w:rFonts w:ascii="仿宋_GB2312" w:hAnsi="仿宋_GB2312" w:eastAsia="仿宋_GB2312"/>
          <w:b w:val="0"/>
          <w:sz w:val="32"/>
        </w:rPr>
        <w:t>收入支出总体与上年相比，增加555.03万元，增长325.70%，主要原因是：本年增加工人文化宫建设项目资金；本年在职人员工资调增，社保、公积金基数调增，人员经费增加。</w:t>
      </w:r>
    </w:p>
    <w:p w14:paraId="04B16FCA">
      <w:pPr>
        <w:spacing w:line="640" w:lineRule="exact"/>
        <w:ind w:firstLine="640"/>
        <w:jc w:val="both"/>
        <w:outlineLvl w:val="2"/>
      </w:pPr>
      <w:r>
        <w:rPr>
          <w:rFonts w:ascii="黑体" w:hAnsi="黑体" w:eastAsia="黑体"/>
          <w:sz w:val="32"/>
        </w:rPr>
        <w:t>二、收入决算情况说明</w:t>
      </w:r>
    </w:p>
    <w:p w14:paraId="2CF3537D">
      <w:pPr>
        <w:spacing w:line="580" w:lineRule="exact"/>
        <w:ind w:firstLine="640"/>
        <w:jc w:val="both"/>
      </w:pPr>
      <w:r>
        <w:rPr>
          <w:rFonts w:ascii="仿宋_GB2312" w:hAnsi="仿宋_GB2312" w:eastAsia="仿宋_GB2312"/>
          <w:b/>
          <w:sz w:val="32"/>
        </w:rPr>
        <w:t>本年收入725.44万元，</w:t>
      </w:r>
      <w:r>
        <w:rPr>
          <w:rFonts w:ascii="仿宋_GB2312" w:hAnsi="仿宋_GB2312" w:eastAsia="仿宋_GB2312"/>
          <w:b w:val="0"/>
          <w:sz w:val="32"/>
        </w:rPr>
        <w:t>其中：财政拨款收入725.44万元，占100.00%；上级补助收入0.00万元，占0.00%；事业收入0.00万元，占0.00%；经营收入0.00万元，占0.00%；附属单位上缴收入0.00万元，占0.00%；其他收入0.00万元，占0.00%。</w:t>
      </w:r>
    </w:p>
    <w:p w14:paraId="0CE1390B">
      <w:pPr>
        <w:spacing w:line="640" w:lineRule="exact"/>
        <w:ind w:firstLine="640"/>
        <w:jc w:val="both"/>
        <w:outlineLvl w:val="2"/>
      </w:pPr>
      <w:r>
        <w:rPr>
          <w:rFonts w:ascii="黑体" w:hAnsi="黑体" w:eastAsia="黑体"/>
          <w:sz w:val="32"/>
        </w:rPr>
        <w:t>三、支出决算情况说明</w:t>
      </w:r>
    </w:p>
    <w:p w14:paraId="1FE12CAF">
      <w:pPr>
        <w:spacing w:line="580" w:lineRule="exact"/>
        <w:ind w:firstLine="640"/>
        <w:jc w:val="both"/>
      </w:pPr>
      <w:r>
        <w:rPr>
          <w:rFonts w:ascii="仿宋_GB2312" w:hAnsi="仿宋_GB2312" w:eastAsia="仿宋_GB2312"/>
          <w:b/>
          <w:sz w:val="32"/>
        </w:rPr>
        <w:t>本年支出725.44万元，</w:t>
      </w:r>
      <w:r>
        <w:rPr>
          <w:rFonts w:ascii="仿宋_GB2312" w:hAnsi="仿宋_GB2312" w:eastAsia="仿宋_GB2312"/>
          <w:b w:val="0"/>
          <w:sz w:val="32"/>
        </w:rPr>
        <w:t>其中：基本支出174.25万元，占24.02%；项目支出551.19万元，占75.98%；上缴上级支出0.00万元，占0.00%；经营支出0.00万元，占0.00%；对附属单位补助支出0.00万元，占0.00%。</w:t>
      </w:r>
    </w:p>
    <w:p w14:paraId="6B48426C">
      <w:pPr>
        <w:spacing w:line="640" w:lineRule="exact"/>
        <w:ind w:firstLine="640"/>
        <w:jc w:val="both"/>
        <w:outlineLvl w:val="2"/>
      </w:pPr>
      <w:r>
        <w:rPr>
          <w:rFonts w:ascii="黑体" w:hAnsi="黑体" w:eastAsia="黑体"/>
          <w:sz w:val="32"/>
        </w:rPr>
        <w:t>四、财政拨款收入支出决算总体情况说明</w:t>
      </w:r>
    </w:p>
    <w:p w14:paraId="37E05AF5">
      <w:pPr>
        <w:spacing w:line="580" w:lineRule="exact"/>
        <w:ind w:firstLine="640"/>
        <w:jc w:val="both"/>
      </w:pPr>
      <w:r>
        <w:rPr>
          <w:rFonts w:ascii="仿宋_GB2312" w:hAnsi="仿宋_GB2312" w:eastAsia="仿宋_GB2312"/>
          <w:b/>
          <w:sz w:val="32"/>
        </w:rPr>
        <w:t>2024年度财政拨款收入总计725.44万元，</w:t>
      </w:r>
      <w:r>
        <w:rPr>
          <w:rFonts w:ascii="仿宋_GB2312" w:hAnsi="仿宋_GB2312" w:eastAsia="仿宋_GB2312"/>
          <w:b w:val="0"/>
          <w:sz w:val="32"/>
        </w:rPr>
        <w:t>其中：年初财政拨款结转和结余0.00万元，本年财政拨款收入725.44万元。</w:t>
      </w:r>
      <w:r>
        <w:rPr>
          <w:rFonts w:ascii="仿宋_GB2312" w:hAnsi="仿宋_GB2312" w:eastAsia="仿宋_GB2312"/>
          <w:b/>
          <w:sz w:val="32"/>
        </w:rPr>
        <w:t>财政拨款支出总计725.44万元，</w:t>
      </w:r>
      <w:r>
        <w:rPr>
          <w:rFonts w:ascii="仿宋_GB2312" w:hAnsi="仿宋_GB2312" w:eastAsia="仿宋_GB2312"/>
          <w:b w:val="0"/>
          <w:sz w:val="32"/>
        </w:rPr>
        <w:t>其中：年末财政拨款结转和结余0.00万元，本年财政拨款支出725.44万元。</w:t>
      </w:r>
    </w:p>
    <w:p w14:paraId="08AE300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增加555.04万元，增长325.73%，主要原因是：本年增加工人文化宫建设项目资金；本年在职人员工资调增，社保、公积金基数调增，人员经费增加。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年初预算数165.09万元，决算数725.44万元，预决算差异率339.42%，主要原因是：一是年中追加人员工资、社保、公积金基数调增部分资金；二是年中追加工人文化宫建设项目资金，导致预决算存在差异。</w:t>
      </w:r>
    </w:p>
    <w:p w14:paraId="791DDC5A">
      <w:pPr>
        <w:spacing w:line="640" w:lineRule="exact"/>
        <w:ind w:firstLine="640"/>
        <w:jc w:val="both"/>
        <w:outlineLvl w:val="2"/>
      </w:pPr>
      <w:r>
        <w:rPr>
          <w:rFonts w:ascii="黑体" w:hAnsi="黑体" w:eastAsia="黑体"/>
          <w:sz w:val="32"/>
        </w:rPr>
        <w:t>五、一般公共预算财政拨款支出决算情况说明</w:t>
      </w:r>
    </w:p>
    <w:p w14:paraId="737F400E">
      <w:pPr>
        <w:spacing w:line="640" w:lineRule="exact"/>
        <w:ind w:firstLine="640"/>
        <w:jc w:val="both"/>
        <w:outlineLvl w:val="3"/>
      </w:pPr>
      <w:r>
        <w:rPr>
          <w:rFonts w:ascii="楷体_GB2312" w:hAnsi="楷体_GB2312" w:eastAsia="楷体_GB2312"/>
          <w:b/>
          <w:sz w:val="32"/>
        </w:rPr>
        <w:t>（一）一般公共预算财政拨款支出决算总体情况</w:t>
      </w:r>
    </w:p>
    <w:p w14:paraId="0155692B">
      <w:pPr>
        <w:spacing w:line="580" w:lineRule="exact"/>
        <w:ind w:firstLine="640"/>
        <w:jc w:val="both"/>
      </w:pPr>
      <w:r>
        <w:rPr>
          <w:rFonts w:ascii="仿宋_GB2312" w:hAnsi="仿宋_GB2312" w:eastAsia="仿宋_GB2312"/>
          <w:b/>
          <w:sz w:val="32"/>
        </w:rPr>
        <w:t>2024年度一般公共预算财政拨款支出725.44万元，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增加555.04万元，增长325.73%，主要原因是：本年增加工人文化宫建设项目资金；本年在职人员工资调增，社保、公积金基数调增，人员经费增加。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年初预算数165.09万元，决算数725.44万元，预决算差异率339.42%，主要原因是：一是年中追加人员工资、社保、公积金基数调增部分资金；二是年中追加工人文化宫建设项目资金，导致预决算存在差异。</w:t>
      </w:r>
    </w:p>
    <w:p w14:paraId="3E5AD1FF">
      <w:pPr>
        <w:spacing w:line="640" w:lineRule="exact"/>
        <w:ind w:firstLine="640"/>
        <w:jc w:val="both"/>
        <w:outlineLvl w:val="3"/>
      </w:pPr>
      <w:r>
        <w:rPr>
          <w:rFonts w:ascii="楷体_GB2312" w:hAnsi="楷体_GB2312" w:eastAsia="楷体_GB2312"/>
          <w:b/>
          <w:sz w:val="32"/>
        </w:rPr>
        <w:t>（二）一般公共预算财政拨款支出决算结构情况</w:t>
      </w:r>
    </w:p>
    <w:p w14:paraId="3048F0B3">
      <w:pPr>
        <w:spacing w:line="580" w:lineRule="exact"/>
        <w:ind w:firstLine="640"/>
        <w:jc w:val="both"/>
      </w:pPr>
      <w:r>
        <w:rPr>
          <w:rFonts w:ascii="仿宋_GB2312" w:hAnsi="仿宋_GB2312" w:eastAsia="仿宋_GB2312"/>
          <w:b w:val="0"/>
          <w:sz w:val="32"/>
        </w:rPr>
        <w:t>1.一般公共服务支出(类)673.19万元,占92.80%。</w:t>
      </w:r>
    </w:p>
    <w:p w14:paraId="6A3D99EB">
      <w:pPr>
        <w:spacing w:line="580" w:lineRule="exact"/>
        <w:ind w:firstLine="640"/>
        <w:jc w:val="both"/>
      </w:pPr>
      <w:r>
        <w:rPr>
          <w:rFonts w:ascii="仿宋_GB2312" w:hAnsi="仿宋_GB2312" w:eastAsia="仿宋_GB2312"/>
          <w:b w:val="0"/>
          <w:sz w:val="32"/>
        </w:rPr>
        <w:t>2.科学技术支出(类)2.38万元,占0.33%。</w:t>
      </w:r>
    </w:p>
    <w:p w14:paraId="10E12F9F">
      <w:pPr>
        <w:spacing w:line="580" w:lineRule="exact"/>
        <w:ind w:firstLine="640"/>
        <w:jc w:val="both"/>
      </w:pPr>
      <w:r>
        <w:rPr>
          <w:rFonts w:ascii="仿宋_GB2312" w:hAnsi="仿宋_GB2312" w:eastAsia="仿宋_GB2312"/>
          <w:b w:val="0"/>
          <w:sz w:val="32"/>
        </w:rPr>
        <w:t>3.社会保障和就业支出(类)31.50万元,占4.34%。</w:t>
      </w:r>
    </w:p>
    <w:p w14:paraId="1BB54FE9">
      <w:pPr>
        <w:spacing w:line="580" w:lineRule="exact"/>
        <w:ind w:firstLine="640"/>
        <w:jc w:val="both"/>
      </w:pPr>
      <w:r>
        <w:rPr>
          <w:rFonts w:ascii="仿宋_GB2312" w:hAnsi="仿宋_GB2312" w:eastAsia="仿宋_GB2312"/>
          <w:b w:val="0"/>
          <w:sz w:val="32"/>
        </w:rPr>
        <w:t>4.卫生健康支出(类)7.32万元,占1.01%。</w:t>
      </w:r>
    </w:p>
    <w:p w14:paraId="40C1BAC8">
      <w:pPr>
        <w:spacing w:line="580" w:lineRule="exact"/>
        <w:ind w:firstLine="640"/>
        <w:jc w:val="both"/>
      </w:pPr>
      <w:r>
        <w:rPr>
          <w:rFonts w:ascii="仿宋_GB2312" w:hAnsi="仿宋_GB2312" w:eastAsia="仿宋_GB2312"/>
          <w:b w:val="0"/>
          <w:sz w:val="32"/>
        </w:rPr>
        <w:t>5.住房保障支出(类)11.05万元,占1.52%。</w:t>
      </w:r>
    </w:p>
    <w:p w14:paraId="551022E3">
      <w:pPr>
        <w:spacing w:line="640" w:lineRule="exact"/>
        <w:ind w:firstLine="640"/>
        <w:jc w:val="both"/>
        <w:outlineLvl w:val="3"/>
      </w:pPr>
      <w:r>
        <w:rPr>
          <w:rFonts w:ascii="楷体_GB2312" w:hAnsi="楷体_GB2312" w:eastAsia="楷体_GB2312"/>
          <w:b/>
          <w:sz w:val="32"/>
        </w:rPr>
        <w:t>（三）一般公共预算财政拨款支出决算具体情况</w:t>
      </w:r>
    </w:p>
    <w:p w14:paraId="29660E7B">
      <w:pPr>
        <w:spacing w:line="580" w:lineRule="exact"/>
        <w:ind w:firstLine="640"/>
        <w:jc w:val="both"/>
      </w:pPr>
      <w:r>
        <w:rPr>
          <w:rFonts w:ascii="仿宋_GB2312" w:hAnsi="仿宋_GB2312" w:eastAsia="仿宋_GB2312"/>
          <w:b w:val="0"/>
          <w:sz w:val="32"/>
        </w:rPr>
        <w:t>1.一般公共服务支出(类)群众团体事务(款)行政运行(项):支出决算数为57.92万元，比上年决算减少0.47万元，下降0.80%,主要原因是：本年在职人员调入调出，人员职级不同，工资基数不同，导致人员经费较上年减少。</w:t>
      </w:r>
    </w:p>
    <w:p w14:paraId="158E4C78">
      <w:pPr>
        <w:spacing w:line="580" w:lineRule="exact"/>
        <w:ind w:firstLine="640"/>
        <w:jc w:val="both"/>
      </w:pPr>
      <w:r>
        <w:rPr>
          <w:rFonts w:ascii="仿宋_GB2312" w:hAnsi="仿宋_GB2312" w:eastAsia="仿宋_GB2312"/>
          <w:b w:val="0"/>
          <w:sz w:val="32"/>
        </w:rPr>
        <w:t>2.一般公共服务支出(类)群众团体事务(款)事业运行(项):支出决算数为59.09万元，比上年决算增加7.68万元，增长14.94%,主要原因是：本年在职人员工资调增，导致相关人员经费较上年有所增加。</w:t>
      </w:r>
    </w:p>
    <w:p w14:paraId="5EE57C00">
      <w:pPr>
        <w:spacing w:line="580" w:lineRule="exact"/>
        <w:ind w:firstLine="640"/>
        <w:jc w:val="both"/>
      </w:pPr>
      <w:r>
        <w:rPr>
          <w:rFonts w:ascii="仿宋_GB2312" w:hAnsi="仿宋_GB2312" w:eastAsia="仿宋_GB2312"/>
          <w:b w:val="0"/>
          <w:sz w:val="32"/>
        </w:rPr>
        <w:t>3.一般公共服务支出(类)群众团体事务(款)其他群众团体事务支出(项):支出决算数为556.19万元，比上年决算增加536.05万元，增长2,661.62%,主要原因是：本年增加工人文化宫建设项目资金，导致经费较上年增加。</w:t>
      </w:r>
    </w:p>
    <w:p w14:paraId="68B2B326">
      <w:pPr>
        <w:spacing w:line="580" w:lineRule="exact"/>
        <w:ind w:firstLine="640"/>
        <w:jc w:val="both"/>
      </w:pPr>
      <w:r>
        <w:rPr>
          <w:rFonts w:ascii="仿宋_GB2312" w:hAnsi="仿宋_GB2312" w:eastAsia="仿宋_GB2312"/>
          <w:b w:val="0"/>
          <w:sz w:val="32"/>
        </w:rPr>
        <w:t>4.科学技术支出(类)科技条件与服务(款)其他科技条件与服务支出(项):支出决算数为2.38万元，比上年决算增加2.38万元，增长100.00%,主要原因是：本年增加购置国产化办公设备资金，导致经费较上年增加。</w:t>
      </w:r>
    </w:p>
    <w:p w14:paraId="4DD009E5">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5.社会保障和就业支出(类)行政事业单位养老支出(款)行政单位离退休(项):支出决算数为7.73万元，比上年决算增加4.70万元，增长155.12%,主要原因是：本年增加退休人员基础绩效奖，退休费支出增加。</w:t>
      </w:r>
    </w:p>
    <w:p w14:paraId="5306E7C7">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13.77万元，比上年决算增加2.30万元，增长20.05%,主要原因是：本年在职人员工资基数调增，养老缴费基数上涨，相应支出增加。</w:t>
      </w:r>
    </w:p>
    <w:p w14:paraId="6A33EC11">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10.00万元，比上年决算增加0.19万元，增长1.94%,主要原因是：本年在职人员工资基数调增，职业年金缴费基数上涨，相应支出增加。</w:t>
      </w:r>
    </w:p>
    <w:p w14:paraId="42CA7C11">
      <w:pPr>
        <w:spacing w:line="580" w:lineRule="exact"/>
        <w:ind w:firstLine="640"/>
        <w:jc w:val="both"/>
      </w:pPr>
      <w:r>
        <w:rPr>
          <w:rFonts w:ascii="仿宋_GB2312" w:hAnsi="仿宋_GB2312" w:eastAsia="仿宋_GB2312"/>
          <w:b w:val="0"/>
          <w:sz w:val="32"/>
        </w:rPr>
        <w:t>8.卫生健康支出(类)行政事业单位医疗(款)行政单位医疗(项):支出决算数为3.53万元，比上年决算减少1.21万元，下降25.53%,主要原因是：因退休人员医疗保险制度改革，退休人员基本医疗不再由单位缴纳，导致经费较上年减少。</w:t>
      </w:r>
    </w:p>
    <w:p w14:paraId="3A2F8C9C">
      <w:pPr>
        <w:spacing w:line="580" w:lineRule="exact"/>
        <w:ind w:firstLine="640"/>
        <w:jc w:val="both"/>
      </w:pPr>
      <w:r>
        <w:rPr>
          <w:rFonts w:ascii="仿宋_GB2312" w:hAnsi="仿宋_GB2312" w:eastAsia="仿宋_GB2312"/>
          <w:b w:val="0"/>
          <w:sz w:val="32"/>
        </w:rPr>
        <w:t>9.卫生健康支出(类)行政事业单位医疗(款)事业单位医疗(项):支出决算数为3.35万元，比上年决算增加1.42万元，增长73.58%,主要原因是：本年在职人员工资基数调增，医疗缴费基数上涨，相应支出增加。</w:t>
      </w:r>
    </w:p>
    <w:p w14:paraId="3B466022">
      <w:pPr>
        <w:spacing w:line="580" w:lineRule="exact"/>
        <w:ind w:firstLine="640"/>
        <w:jc w:val="both"/>
      </w:pPr>
      <w:r>
        <w:rPr>
          <w:rFonts w:ascii="仿宋_GB2312" w:hAnsi="仿宋_GB2312" w:eastAsia="仿宋_GB2312"/>
          <w:b w:val="0"/>
          <w:sz w:val="32"/>
        </w:rPr>
        <w:t>10.卫生健康支出(类)行政事业单位医疗(款)公务员医疗补助(项):支出决算数为0.43万元，比上年决算增加0.01万元，增长2.38%,主要原因是：本年在职人员工资基数调增，医疗缴费基数上涨，相应支出增加。</w:t>
      </w:r>
    </w:p>
    <w:p w14:paraId="42B78E83">
      <w:pPr>
        <w:spacing w:line="580" w:lineRule="exact"/>
        <w:ind w:firstLine="640"/>
        <w:jc w:val="both"/>
      </w:pPr>
      <w:r>
        <w:rPr>
          <w:rFonts w:ascii="仿宋_GB2312" w:hAnsi="仿宋_GB2312" w:eastAsia="仿宋_GB2312"/>
          <w:b w:val="0"/>
          <w:sz w:val="32"/>
        </w:rPr>
        <w:t>11.住房保障支出(类)住房改革支出(款)住房公积金(项):支出决算数为11.05万元，比上年决算增加1.98万元，增长21.83%,主要原因是：本年在职人员工资基数调增，公积金缴费基数上涨，相应支出增加。</w:t>
      </w:r>
    </w:p>
    <w:p w14:paraId="77A12385">
      <w:pPr>
        <w:spacing w:line="640" w:lineRule="exact"/>
        <w:ind w:firstLine="640"/>
        <w:jc w:val="both"/>
        <w:outlineLvl w:val="2"/>
      </w:pPr>
      <w:r>
        <w:rPr>
          <w:rFonts w:ascii="黑体" w:hAnsi="黑体" w:eastAsia="黑体"/>
          <w:sz w:val="32"/>
        </w:rPr>
        <w:t>六、一般公共预算财政拨款基本支出决算情况说明</w:t>
      </w:r>
    </w:p>
    <w:p w14:paraId="0225C2D7">
      <w:pPr>
        <w:spacing w:line="580" w:lineRule="exact"/>
        <w:ind w:firstLine="640"/>
        <w:jc w:val="both"/>
      </w:pPr>
      <w:r>
        <w:rPr>
          <w:rFonts w:ascii="仿宋_GB2312" w:hAnsi="仿宋_GB2312" w:eastAsia="仿宋_GB2312"/>
          <w:b w:val="0"/>
          <w:sz w:val="32"/>
        </w:rPr>
        <w:t>2024年度一般公共预算财政拨款基本支出174.25万元，其中：</w:t>
      </w:r>
      <w:r>
        <w:rPr>
          <w:rFonts w:ascii="仿宋_GB2312" w:hAnsi="仿宋_GB2312" w:eastAsia="仿宋_GB2312"/>
          <w:b/>
          <w:sz w:val="32"/>
        </w:rPr>
        <w:t>人员经费149.90万元，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包括：基本工资、津贴补贴、奖金、绩效工资、机关事业单位基本养老保险缴费、职业年金缴费、职工基本医疗保险缴费、公务员医疗补助缴费、其他社会保障缴费、住房公积金、退休费、奖励金。</w:t>
      </w:r>
    </w:p>
    <w:p w14:paraId="33B3D95D">
      <w:pPr>
        <w:spacing w:line="580" w:lineRule="exact"/>
        <w:ind w:firstLine="640"/>
        <w:jc w:val="both"/>
      </w:pPr>
      <w:r>
        <w:rPr>
          <w:rFonts w:ascii="仿宋_GB2312" w:hAnsi="仿宋_GB2312" w:eastAsia="仿宋_GB2312"/>
          <w:b/>
          <w:sz w:val="32"/>
        </w:rPr>
        <w:t>公用经费24.35万元，</w:t>
      </w:r>
      <w:r>
        <w:rPr>
          <w:rFonts w:ascii="仿宋_GB2312" w:hAnsi="仿宋_GB2312" w:eastAsia="仿宋_GB2312"/>
          <w:b w:val="0"/>
          <w:sz w:val="32"/>
        </w:rPr>
        <w:t>包括：办公费、电费、取暖费、租赁费、工会经费、公务用车运行维护费、其他商品和服务支出、办公设备购置。</w:t>
      </w:r>
    </w:p>
    <w:p w14:paraId="5B790ADF">
      <w:pPr>
        <w:spacing w:line="640" w:lineRule="exact"/>
        <w:ind w:firstLine="640"/>
        <w:jc w:val="both"/>
        <w:outlineLvl w:val="2"/>
      </w:pPr>
      <w:r>
        <w:rPr>
          <w:rFonts w:ascii="黑体" w:hAnsi="黑体" w:eastAsia="黑体"/>
          <w:sz w:val="32"/>
        </w:rPr>
        <w:t>七、政府性基金预算财政拨款收入支出决算情况说明</w:t>
      </w:r>
    </w:p>
    <w:p w14:paraId="588DF05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FF7EA5C">
      <w:pPr>
        <w:spacing w:line="640" w:lineRule="exact"/>
        <w:ind w:firstLine="640"/>
        <w:jc w:val="both"/>
        <w:outlineLvl w:val="2"/>
      </w:pPr>
      <w:r>
        <w:rPr>
          <w:rFonts w:ascii="黑体" w:hAnsi="黑体" w:eastAsia="黑体"/>
          <w:sz w:val="32"/>
        </w:rPr>
        <w:t>八、国有资本经营预算财政拨款收入支出决算情况说明</w:t>
      </w:r>
    </w:p>
    <w:p w14:paraId="4702A58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2E4470D">
      <w:pPr>
        <w:spacing w:line="640" w:lineRule="exact"/>
        <w:ind w:firstLine="640"/>
        <w:jc w:val="both"/>
        <w:outlineLvl w:val="2"/>
      </w:pPr>
      <w:r>
        <w:rPr>
          <w:rFonts w:ascii="黑体" w:hAnsi="黑体" w:eastAsia="黑体"/>
          <w:sz w:val="32"/>
        </w:rPr>
        <w:t>九、财政拨款“三公”经费支出决算情况说明</w:t>
      </w:r>
    </w:p>
    <w:p w14:paraId="4EADECE9">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2.00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30CAE3E7">
      <w:pPr>
        <w:spacing w:line="580" w:lineRule="exact"/>
        <w:ind w:firstLine="640"/>
        <w:jc w:val="both"/>
      </w:pPr>
      <w:r>
        <w:rPr>
          <w:rFonts w:ascii="仿宋_GB2312" w:hAnsi="仿宋_GB2312" w:eastAsia="仿宋_GB2312"/>
          <w:b/>
          <w:sz w:val="32"/>
        </w:rPr>
        <w:t>具体情况如下：</w:t>
      </w:r>
    </w:p>
    <w:p w14:paraId="6923B96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362579C">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等。公务用车购置数0辆，公务用车保有量1辆。国有资产占用情况中固定资产车辆0辆，与公务用车保有量差异原因是：借用其他单位车辆，车辆费用由本单位支付。</w:t>
      </w:r>
    </w:p>
    <w:p w14:paraId="6081D4D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54DD77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64A694CA">
      <w:pPr>
        <w:spacing w:line="640" w:lineRule="exact"/>
        <w:ind w:firstLine="640"/>
        <w:jc w:val="both"/>
        <w:outlineLvl w:val="2"/>
      </w:pPr>
      <w:r>
        <w:rPr>
          <w:rFonts w:ascii="黑体" w:hAnsi="黑体" w:eastAsia="黑体"/>
          <w:sz w:val="32"/>
        </w:rPr>
        <w:t>十、其他重要事项的情况说明</w:t>
      </w:r>
    </w:p>
    <w:p w14:paraId="5AD13904">
      <w:pPr>
        <w:spacing w:line="640" w:lineRule="exact"/>
        <w:ind w:firstLine="640"/>
        <w:jc w:val="both"/>
        <w:outlineLvl w:val="3"/>
      </w:pPr>
      <w:r>
        <w:rPr>
          <w:rFonts w:ascii="楷体_GB2312" w:hAnsi="楷体_GB2312" w:eastAsia="楷体_GB2312"/>
          <w:b/>
          <w:sz w:val="32"/>
        </w:rPr>
        <w:t>（一）机关运行经费及公用经费支出情况</w:t>
      </w:r>
    </w:p>
    <w:p w14:paraId="4381519E">
      <w:pPr>
        <w:spacing w:line="580" w:lineRule="exact"/>
        <w:ind w:firstLine="640"/>
        <w:jc w:val="both"/>
      </w:pPr>
      <w:r>
        <w:rPr>
          <w:rFonts w:ascii="仿宋_GB2312" w:hAnsi="仿宋_GB2312" w:eastAsia="仿宋_GB2312"/>
          <w:b w:val="0"/>
          <w:sz w:val="32"/>
        </w:rPr>
        <w:t>2024年度吉木萨尔县总工会（行政单位和参照公务员法管理事业单位）机关运行经费支出24.35万元，比上年减少16.53万元，下降40.44%，主要原因是：上年度财政拨部分工人文化宫建设项目前期</w:t>
      </w:r>
      <w:r>
        <w:rPr>
          <w:rFonts w:hint="eastAsia" w:ascii="仿宋_GB2312" w:hAnsi="仿宋_GB2312" w:eastAsia="仿宋_GB2312"/>
          <w:b w:val="0"/>
          <w:sz w:val="32"/>
          <w:lang w:eastAsia="zh-CN"/>
        </w:rPr>
        <w:t>费用</w:t>
      </w:r>
      <w:r>
        <w:rPr>
          <w:rFonts w:ascii="仿宋_GB2312" w:hAnsi="仿宋_GB2312" w:eastAsia="仿宋_GB2312"/>
          <w:b w:val="0"/>
          <w:sz w:val="32"/>
        </w:rPr>
        <w:t>在公用经费中列支，今年无此项支出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导致经费减少</w:t>
      </w:r>
      <w:r>
        <w:rPr>
          <w:rFonts w:ascii="仿宋_GB2312" w:hAnsi="仿宋_GB2312" w:eastAsia="仿宋_GB2312"/>
          <w:b w:val="0"/>
          <w:sz w:val="32"/>
        </w:rPr>
        <w:t>。</w:t>
      </w:r>
    </w:p>
    <w:p w14:paraId="68D8447B">
      <w:pPr>
        <w:spacing w:line="640" w:lineRule="exact"/>
        <w:ind w:firstLine="640"/>
        <w:jc w:val="both"/>
        <w:outlineLvl w:val="3"/>
      </w:pPr>
      <w:r>
        <w:rPr>
          <w:rFonts w:ascii="楷体_GB2312" w:hAnsi="楷体_GB2312" w:eastAsia="楷体_GB2312"/>
          <w:b/>
          <w:sz w:val="32"/>
        </w:rPr>
        <w:t>（二）政府采购情况</w:t>
      </w:r>
    </w:p>
    <w:p w14:paraId="3480D9FB">
      <w:pPr>
        <w:spacing w:line="580" w:lineRule="exact"/>
        <w:ind w:firstLine="640"/>
        <w:jc w:val="both"/>
      </w:pPr>
      <w:r>
        <w:rPr>
          <w:rFonts w:ascii="仿宋_GB2312" w:hAnsi="仿宋_GB2312" w:eastAsia="仿宋_GB2312"/>
          <w:b w:val="0"/>
          <w:sz w:val="32"/>
        </w:rPr>
        <w:t>2024年度政府采购支出总额3.02万元，其中：政府采购货物支出2.57万元、政府采购工程支出0.00万元、政府采购服务支出0.45万元。</w:t>
      </w:r>
    </w:p>
    <w:p w14:paraId="054130F8">
      <w:pPr>
        <w:spacing w:line="580" w:lineRule="exact"/>
        <w:ind w:firstLine="640"/>
        <w:jc w:val="both"/>
      </w:pPr>
      <w:r>
        <w:rPr>
          <w:rFonts w:ascii="仿宋_GB2312" w:hAnsi="仿宋_GB2312" w:eastAsia="仿宋_GB2312"/>
          <w:b w:val="0"/>
          <w:sz w:val="32"/>
        </w:rPr>
        <w:t>授予中小企业合同金额3.02万元，占政府采购支出总额的100.00%，其中：授予小微企业合同金额3.02万元，占政府采购支出总额的100.00%。</w:t>
      </w:r>
    </w:p>
    <w:p w14:paraId="739BD52E">
      <w:pPr>
        <w:spacing w:line="640" w:lineRule="exact"/>
        <w:ind w:firstLine="640"/>
        <w:jc w:val="both"/>
        <w:outlineLvl w:val="3"/>
      </w:pPr>
      <w:r>
        <w:rPr>
          <w:rFonts w:ascii="楷体_GB2312" w:hAnsi="楷体_GB2312" w:eastAsia="楷体_GB2312"/>
          <w:b/>
          <w:sz w:val="32"/>
        </w:rPr>
        <w:t>（三）国有资产占用情况说明</w:t>
      </w:r>
    </w:p>
    <w:p w14:paraId="63C9C53B">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16F04A7">
      <w:pPr>
        <w:spacing w:line="640" w:lineRule="exact"/>
        <w:ind w:firstLine="640"/>
        <w:jc w:val="both"/>
        <w:outlineLvl w:val="2"/>
      </w:pPr>
      <w:r>
        <w:rPr>
          <w:rFonts w:ascii="黑体" w:hAnsi="黑体" w:eastAsia="黑体"/>
          <w:sz w:val="32"/>
        </w:rPr>
        <w:t>十一、预算绩效的情况说明</w:t>
      </w:r>
    </w:p>
    <w:p w14:paraId="1A1D851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725.44万元，实际执行总额725.44万元；预算绩效评价项目1个，全年预算数551.19万元，全年执行数551.19万元。预算绩效管理取得的成效：一是通过部门项目支出绩效评价，进一步严格落实《中华人民共和国预算法》以及党中央、国务院关于加强预算绩效管理的指示精神，建立健全“花钱必问效、无效必问责”的绩效预算管理机制、提升财政资金的使用效能。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发现的问题及原因：1.资金使用效率有待提高。部分项目存在资金拨付滞后等问题，影响项目实施进度。一方面，项目前期准备工作不充分，如规划设计、招投标等环节耗时过长，导致资金无法及时投入使用；另一方面，资金审批流程</w:t>
      </w:r>
      <w:r>
        <w:rPr>
          <w:rFonts w:hint="eastAsia" w:ascii="仿宋_GB2312" w:hAnsi="仿宋_GB2312" w:eastAsia="仿宋_GB2312"/>
          <w:b w:val="0"/>
          <w:sz w:val="32"/>
          <w:lang w:eastAsia="zh-CN"/>
        </w:rPr>
        <w:t>烦琐</w:t>
      </w:r>
      <w:r>
        <w:rPr>
          <w:rFonts w:ascii="仿宋_GB2312" w:hAnsi="仿宋_GB2312" w:eastAsia="仿宋_GB2312"/>
          <w:b w:val="0"/>
          <w:sz w:val="32"/>
        </w:rPr>
        <w:t>，部门间沟通协调不畅，审批环节多、周期长，延误了资金拨付时间。2.项目实施监管不到位。在项目实施过程中，存在质量把控不严、进度滞后等问题。部分项目单位质量意识不强，未严格按照设计方案和施工规范开展建设；监管部门日常巡查频次不足，对隐蔽工程等关键环节监督不到位，缺乏有效的事中监管手段。此外，部分项目因外部环境变化（如征地拆迁受阻、自然灾害等），未及时调整实施方案，导致项目进度延误。下一步改进措施：1.提高资金使用效率。简化资金审批流程，推行“一站式”审批服务，压缩审批时限。加强项目前期准备工作的统筹协调，建立项目储备库，提前做好项目规划、设计、招投标等工作，确保项目具备实施条件后能及时获得资金支持。同时，建立资金动态管理机制，对闲置资金及时收回调剂，提高资金使用效益。2.强化项目实施监管。完善项目监管制度，明确各部门监管职责，加大日常巡查和专项检查力度。利用信息化手段，实时监控项目进度、质量和资金使用情况。对关键环节和重点部位实行重点监管，引入第三方专业机构进行质量检测和评估。针对外部环境变化，建立应急预案和动态调整机制，及时解决项目推进中的问题。具体附整体支出绩效自评表，项目支出绩效自评表和评价报告。</w:t>
      </w:r>
    </w:p>
    <w:p w14:paraId="6E30D8E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1324501">
        <w:tblPrEx>
          <w:tblCellMar>
            <w:top w:w="0" w:type="dxa"/>
            <w:left w:w="108" w:type="dxa"/>
            <w:bottom w:w="0" w:type="dxa"/>
            <w:right w:w="108" w:type="dxa"/>
          </w:tblCellMar>
        </w:tblPrEx>
        <w:tc>
          <w:tcPr>
            <w:tcW w:w="8847" w:type="dxa"/>
            <w:gridSpan w:val="9"/>
            <w:vAlign w:val="center"/>
          </w:tcPr>
          <w:p w14:paraId="1CFBF9C6">
            <w:pPr>
              <w:jc w:val="center"/>
            </w:pPr>
            <w:r>
              <w:rPr>
                <w:rFonts w:ascii="宋体" w:hAnsi="宋体" w:eastAsia="宋体"/>
                <w:sz w:val="24"/>
              </w:rPr>
              <w:t>单位整体支出绩效自评表</w:t>
            </w:r>
          </w:p>
        </w:tc>
      </w:tr>
      <w:tr w14:paraId="7E8F7AD3">
        <w:tblPrEx>
          <w:tblCellMar>
            <w:top w:w="0" w:type="dxa"/>
            <w:left w:w="108" w:type="dxa"/>
            <w:bottom w:w="0" w:type="dxa"/>
            <w:right w:w="108" w:type="dxa"/>
          </w:tblCellMar>
        </w:tblPrEx>
        <w:tc>
          <w:tcPr>
            <w:tcW w:w="8847" w:type="dxa"/>
            <w:gridSpan w:val="9"/>
            <w:vAlign w:val="center"/>
          </w:tcPr>
          <w:p w14:paraId="1E8CCE5A">
            <w:pPr>
              <w:jc w:val="center"/>
            </w:pPr>
            <w:r>
              <w:rPr>
                <w:rFonts w:ascii="宋体" w:hAnsi="宋体" w:eastAsia="宋体"/>
                <w:sz w:val="24"/>
              </w:rPr>
              <w:t>（2024年度）</w:t>
            </w:r>
          </w:p>
        </w:tc>
      </w:tr>
      <w:tr w14:paraId="40F4FE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8C08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564C4F">
            <w:pPr>
              <w:jc w:val="center"/>
            </w:pPr>
            <w:r>
              <w:rPr>
                <w:rFonts w:ascii="宋体" w:hAnsi="宋体" w:eastAsia="宋体"/>
                <w:sz w:val="16"/>
              </w:rPr>
              <w:t>吉木萨尔县总工会</w:t>
            </w:r>
          </w:p>
        </w:tc>
      </w:tr>
      <w:tr w14:paraId="0DE309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8666D">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3638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C99A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D870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3903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B3FD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5262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924E8">
            <w:pPr>
              <w:jc w:val="center"/>
            </w:pPr>
            <w:r>
              <w:rPr>
                <w:rFonts w:ascii="宋体" w:hAnsi="宋体" w:eastAsia="宋体"/>
                <w:sz w:val="16"/>
              </w:rPr>
              <w:t>得分</w:t>
            </w:r>
          </w:p>
        </w:tc>
      </w:tr>
      <w:tr w14:paraId="78356A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EB8A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2B5B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F0E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C9B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7A3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04D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920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430EB">
            <w:pPr>
              <w:jc w:val="center"/>
            </w:pPr>
            <w:r>
              <w:rPr>
                <w:rFonts w:ascii="宋体" w:hAnsi="宋体" w:eastAsia="宋体"/>
                <w:sz w:val="16"/>
              </w:rPr>
              <w:t>-</w:t>
            </w:r>
          </w:p>
        </w:tc>
      </w:tr>
      <w:tr w14:paraId="745AEA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278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65E9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DC441">
            <w:pPr>
              <w:jc w:val="center"/>
            </w:pPr>
            <w:r>
              <w:rPr>
                <w:rFonts w:ascii="宋体" w:hAnsi="宋体" w:eastAsia="宋体"/>
                <w:sz w:val="16"/>
              </w:rPr>
              <w:t>165.09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73DF8">
            <w:pPr>
              <w:jc w:val="center"/>
            </w:pPr>
            <w:r>
              <w:rPr>
                <w:rFonts w:ascii="宋体" w:hAnsi="宋体" w:eastAsia="宋体"/>
                <w:sz w:val="16"/>
              </w:rPr>
              <w:t>725.44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FBD7A">
            <w:pPr>
              <w:jc w:val="center"/>
            </w:pPr>
            <w:r>
              <w:rPr>
                <w:rFonts w:ascii="宋体" w:hAnsi="宋体" w:eastAsia="宋体"/>
                <w:sz w:val="16"/>
              </w:rPr>
              <w:t>725.44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AF5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880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94656">
            <w:pPr>
              <w:jc w:val="center"/>
            </w:pPr>
            <w:r>
              <w:rPr>
                <w:rFonts w:ascii="宋体" w:hAnsi="宋体" w:eastAsia="宋体"/>
                <w:sz w:val="16"/>
              </w:rPr>
              <w:t>-</w:t>
            </w:r>
          </w:p>
        </w:tc>
      </w:tr>
      <w:tr w14:paraId="317303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CB8F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2845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84449">
            <w:pPr>
              <w:jc w:val="center"/>
            </w:pPr>
            <w:r>
              <w:rPr>
                <w:rFonts w:ascii="宋体" w:hAnsi="宋体" w:eastAsia="宋体"/>
                <w:sz w:val="16"/>
              </w:rPr>
              <w:t>0.30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8F2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AD3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48F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4EC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64EBB">
            <w:pPr>
              <w:jc w:val="center"/>
            </w:pPr>
            <w:r>
              <w:rPr>
                <w:rFonts w:ascii="宋体" w:hAnsi="宋体" w:eastAsia="宋体"/>
                <w:sz w:val="16"/>
              </w:rPr>
              <w:t>-</w:t>
            </w:r>
          </w:p>
        </w:tc>
      </w:tr>
      <w:tr w14:paraId="19CFC8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392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6D6F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2908D">
            <w:pPr>
              <w:jc w:val="center"/>
            </w:pPr>
            <w:r>
              <w:rPr>
                <w:rFonts w:ascii="宋体" w:hAnsi="宋体" w:eastAsia="宋体"/>
                <w:sz w:val="16"/>
              </w:rPr>
              <w:t>165.39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CBCF7">
            <w:pPr>
              <w:jc w:val="center"/>
            </w:pPr>
            <w:r>
              <w:rPr>
                <w:rFonts w:ascii="宋体" w:hAnsi="宋体" w:eastAsia="宋体"/>
                <w:sz w:val="16"/>
              </w:rPr>
              <w:t>725.44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31192">
            <w:pPr>
              <w:jc w:val="center"/>
            </w:pPr>
            <w:r>
              <w:rPr>
                <w:rFonts w:ascii="宋体" w:hAnsi="宋体" w:eastAsia="宋体"/>
                <w:sz w:val="16"/>
              </w:rPr>
              <w:t>725.44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3E3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62D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2D0FA">
            <w:pPr>
              <w:jc w:val="center"/>
            </w:pPr>
            <w:r>
              <w:rPr>
                <w:rFonts w:ascii="宋体" w:hAnsi="宋体" w:eastAsia="宋体"/>
                <w:sz w:val="16"/>
              </w:rPr>
              <w:t>10</w:t>
            </w:r>
          </w:p>
        </w:tc>
      </w:tr>
      <w:tr w14:paraId="422F75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55BD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9CC49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A08DA0">
            <w:pPr>
              <w:jc w:val="center"/>
            </w:pPr>
            <w:r>
              <w:rPr>
                <w:rFonts w:ascii="宋体" w:hAnsi="宋体" w:eastAsia="宋体"/>
                <w:sz w:val="16"/>
              </w:rPr>
              <w:t>实际完成情况</w:t>
            </w:r>
          </w:p>
        </w:tc>
      </w:tr>
      <w:tr w14:paraId="54AEA2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AB36F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56C077">
            <w:pPr>
              <w:jc w:val="both"/>
            </w:pPr>
            <w:r>
              <w:rPr>
                <w:rFonts w:ascii="宋体" w:hAnsi="宋体" w:eastAsia="宋体"/>
                <w:sz w:val="16"/>
              </w:rPr>
              <w:t>认真履行工会四项主要职能（维护、建设、参与、教育），充分发挥工会组织是党组织联系群众的“桥梁、纽带”作用，协助党政组织发动广大职工积极参与单位的民主管理、民主监督等工作。发挥工会的特色和优势，依照“中国工会章程”独立自主地开展工作。帮扶中心主要开展对困难职工帮扶救助，对一线职工送温暖。</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E83DB2">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全年预算数725.44万元，执行数725.44万元，预算执行率100%。重点完成以下工作：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1、发挥工会组织联系职工群众的“桥梁，纽带”作用，协助党政组织发动广大职工</w:t>
            </w:r>
            <w:r>
              <w:rPr>
                <w:rFonts w:hint="eastAsia" w:ascii="宋体" w:hAnsi="宋体"/>
                <w:sz w:val="16"/>
                <w:lang w:eastAsia="zh-CN"/>
              </w:rPr>
              <w:t>积极参与</w:t>
            </w:r>
            <w:r>
              <w:rPr>
                <w:rFonts w:ascii="宋体" w:hAnsi="宋体" w:eastAsia="宋体"/>
                <w:sz w:val="16"/>
              </w:rPr>
              <w:t>单位的</w:t>
            </w:r>
            <w:r>
              <w:rPr>
                <w:rFonts w:hint="eastAsia" w:ascii="宋体" w:hAnsi="宋体"/>
                <w:sz w:val="16"/>
                <w:lang w:eastAsia="zh-CN"/>
              </w:rPr>
              <w:t>民主管理、民主监督</w:t>
            </w:r>
            <w:r>
              <w:rPr>
                <w:rFonts w:ascii="宋体" w:hAnsi="宋体" w:eastAsia="宋体"/>
                <w:sz w:val="16"/>
              </w:rPr>
              <w:t xml:space="preserve">等工作。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2、发挥工会的维权及帮扶救助职能为全县广大职工及困难群众送温暖送关爱，各类活动覆盖人次达8000以上。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3、完成对全县40家基层工会经费的指导工作。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4、打造天山骄子马智勇、中粮屯河马建光2家创新工作室。</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5、顺利举办白酒行业、石油化工行业技能竞赛场次。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6、保障在职8名及10名退休人员的工资、社保、津贴、奖金</w:t>
            </w:r>
            <w:r>
              <w:rPr>
                <w:rFonts w:hint="eastAsia" w:ascii="宋体" w:hAnsi="宋体"/>
                <w:sz w:val="16"/>
                <w:lang w:eastAsia="zh-CN"/>
              </w:rPr>
              <w:t>等</w:t>
            </w:r>
            <w:r>
              <w:rPr>
                <w:rFonts w:ascii="宋体" w:hAnsi="宋体" w:eastAsia="宋体"/>
                <w:sz w:val="16"/>
              </w:rPr>
              <w:t>及时足额发放，进一步稳定职工队伍。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7、保障一辆公务用车的正常运转及各类公用经费、保迁各项工作顺利开展。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8、保障工人文化宫建设项目顺利施工，按计划推进施工进度。</w:t>
            </w:r>
          </w:p>
        </w:tc>
      </w:tr>
      <w:tr w14:paraId="1EA9CE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4553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F8C22">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CE87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F8498">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5904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3623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2EE4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AA93D">
            <w:pPr>
              <w:jc w:val="center"/>
            </w:pPr>
            <w:r>
              <w:rPr>
                <w:rFonts w:ascii="宋体" w:hAnsi="宋体" w:eastAsia="宋体"/>
                <w:sz w:val="16"/>
              </w:rPr>
              <w:t>得分</w:t>
            </w:r>
          </w:p>
        </w:tc>
      </w:tr>
      <w:tr w14:paraId="78E289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3EACB">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EA829">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E7E52">
            <w:pPr>
              <w:jc w:val="center"/>
            </w:pPr>
            <w:r>
              <w:rPr>
                <w:rFonts w:ascii="宋体" w:hAnsi="宋体" w:eastAsia="宋体"/>
                <w:sz w:val="16"/>
              </w:rPr>
              <w:t>在编人员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47B53">
            <w:pPr>
              <w:jc w:val="center"/>
            </w:pPr>
            <w:r>
              <w:rPr>
                <w:rFonts w:ascii="宋体" w:hAnsi="宋体" w:eastAsia="宋体"/>
                <w:sz w:val="16"/>
              </w:rPr>
              <w:t>&gt;=8人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B0CDC">
            <w:pPr>
              <w:jc w:val="center"/>
            </w:pPr>
            <w:r>
              <w:rPr>
                <w:rFonts w:ascii="宋体" w:hAnsi="宋体" w:eastAsia="宋体"/>
                <w:sz w:val="16"/>
              </w:rPr>
              <w:t>吉木萨尔县总工会2024年预算公开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4F16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523D2">
            <w:pPr>
              <w:jc w:val="center"/>
            </w:pPr>
            <w:r>
              <w:rPr>
                <w:rFonts w:ascii="宋体" w:hAnsi="宋体" w:eastAsia="宋体"/>
                <w:sz w:val="16"/>
              </w:rPr>
              <w: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E70B2">
            <w:pPr>
              <w:jc w:val="center"/>
            </w:pPr>
            <w:r>
              <w:rPr>
                <w:rFonts w:ascii="宋体" w:hAnsi="宋体" w:eastAsia="宋体"/>
                <w:sz w:val="16"/>
              </w:rPr>
              <w:t>15</w:t>
            </w:r>
          </w:p>
        </w:tc>
      </w:tr>
      <w:tr w14:paraId="304B0F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64758">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3F1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3F049">
            <w:pPr>
              <w:jc w:val="center"/>
            </w:pPr>
            <w:r>
              <w:rPr>
                <w:rFonts w:ascii="宋体" w:hAnsi="宋体" w:eastAsia="宋体"/>
                <w:sz w:val="16"/>
              </w:rPr>
              <w:t>“四季送”活动预计覆盖职工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1E4A7">
            <w:pPr>
              <w:jc w:val="center"/>
            </w:pPr>
            <w:r>
              <w:rPr>
                <w:rFonts w:ascii="宋体" w:hAnsi="宋体" w:eastAsia="宋体"/>
                <w:sz w:val="16"/>
              </w:rPr>
              <w:t>&gt;=8000人次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65526">
            <w:pPr>
              <w:jc w:val="center"/>
            </w:pPr>
            <w:r>
              <w:rPr>
                <w:rFonts w:ascii="宋体" w:hAnsi="宋体" w:eastAsia="宋体"/>
                <w:sz w:val="16"/>
              </w:rPr>
              <w:t>吉木萨尔县总工会2023年工作总结暨2024年工作计划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6CB2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0381E">
            <w:pPr>
              <w:jc w:val="center"/>
            </w:pPr>
            <w:r>
              <w:rPr>
                <w:rFonts w:ascii="宋体" w:hAnsi="宋体" w:eastAsia="宋体"/>
                <w:sz w:val="16"/>
              </w:rPr>
              <w:t>=8450人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964F6">
            <w:pPr>
              <w:jc w:val="center"/>
            </w:pPr>
            <w:r>
              <w:rPr>
                <w:rFonts w:ascii="宋体" w:hAnsi="宋体" w:eastAsia="宋体"/>
                <w:sz w:val="16"/>
              </w:rPr>
              <w:t>18</w:t>
            </w:r>
          </w:p>
        </w:tc>
      </w:tr>
      <w:tr w14:paraId="79E093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5AF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35E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02F23">
            <w:pPr>
              <w:jc w:val="center"/>
            </w:pPr>
            <w:r>
              <w:rPr>
                <w:rFonts w:ascii="宋体" w:hAnsi="宋体" w:eastAsia="宋体"/>
                <w:sz w:val="16"/>
              </w:rPr>
              <w:t>打造职工劳模创新工作室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0D4BC">
            <w:pPr>
              <w:jc w:val="center"/>
            </w:pPr>
            <w:r>
              <w:rPr>
                <w:rFonts w:ascii="宋体" w:hAnsi="宋体" w:eastAsia="宋体"/>
                <w:sz w:val="16"/>
              </w:rPr>
              <w:t>&gt;=2家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DB82C">
            <w:pPr>
              <w:jc w:val="center"/>
            </w:pPr>
            <w:r>
              <w:rPr>
                <w:rFonts w:ascii="宋体" w:hAnsi="宋体" w:eastAsia="宋体"/>
                <w:sz w:val="16"/>
              </w:rPr>
              <w:t>吉木萨尔县总工会2023年工作总结暨2024年工作计划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8C29D">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1B581">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A7152">
            <w:pPr>
              <w:jc w:val="center"/>
            </w:pPr>
            <w:r>
              <w:rPr>
                <w:rFonts w:ascii="宋体" w:hAnsi="宋体" w:eastAsia="宋体"/>
                <w:sz w:val="16"/>
              </w:rPr>
              <w:t>14</w:t>
            </w:r>
          </w:p>
        </w:tc>
      </w:tr>
      <w:tr w14:paraId="6686B8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1E6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0C4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11EB3">
            <w:pPr>
              <w:jc w:val="center"/>
            </w:pPr>
            <w:r>
              <w:rPr>
                <w:rFonts w:ascii="宋体" w:hAnsi="宋体" w:eastAsia="宋体"/>
                <w:sz w:val="16"/>
              </w:rPr>
              <w:t>完成30家基层工会经费使用情况审计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37FE0">
            <w:pPr>
              <w:jc w:val="center"/>
            </w:pPr>
            <w:r>
              <w:rPr>
                <w:rFonts w:ascii="宋体" w:hAnsi="宋体" w:eastAsia="宋体"/>
                <w:sz w:val="16"/>
              </w:rPr>
              <w:t>&gt;=30家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DB27C">
            <w:pPr>
              <w:jc w:val="center"/>
            </w:pPr>
            <w:r>
              <w:rPr>
                <w:rFonts w:ascii="宋体" w:hAnsi="宋体" w:eastAsia="宋体"/>
                <w:sz w:val="16"/>
              </w:rPr>
              <w:t>吉木萨尔县总工会2023年工作总结暨2024年工作计划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D85F4">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9B873">
            <w:pPr>
              <w:jc w:val="center"/>
            </w:pPr>
            <w:r>
              <w:rPr>
                <w:rFonts w:ascii="宋体" w:hAnsi="宋体" w:eastAsia="宋体"/>
                <w:sz w:val="16"/>
              </w:rPr>
              <w:t>=40家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1C7BC">
            <w:pPr>
              <w:jc w:val="center"/>
            </w:pPr>
            <w:r>
              <w:rPr>
                <w:rFonts w:ascii="宋体" w:hAnsi="宋体" w:eastAsia="宋体"/>
                <w:sz w:val="16"/>
              </w:rPr>
              <w:t>16</w:t>
            </w:r>
          </w:p>
        </w:tc>
      </w:tr>
      <w:tr w14:paraId="439C97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D60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473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15B43">
            <w:pPr>
              <w:jc w:val="center"/>
            </w:pPr>
            <w:r>
              <w:rPr>
                <w:rFonts w:ascii="宋体" w:hAnsi="宋体" w:eastAsia="宋体"/>
                <w:sz w:val="16"/>
              </w:rPr>
              <w:t>举办区州级白酒品鉴大会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F38FA">
            <w:pPr>
              <w:jc w:val="center"/>
            </w:pPr>
            <w:r>
              <w:rPr>
                <w:rFonts w:ascii="宋体" w:hAnsi="宋体" w:eastAsia="宋体"/>
                <w:sz w:val="16"/>
              </w:rPr>
              <w:t>&gt;=1场次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BAF0B">
            <w:pPr>
              <w:jc w:val="center"/>
            </w:pPr>
            <w:r>
              <w:rPr>
                <w:rFonts w:ascii="宋体" w:hAnsi="宋体" w:eastAsia="宋体"/>
                <w:sz w:val="16"/>
              </w:rPr>
              <w:t>吉木萨尔县总工会2023年工作总结暨2024年工作计划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30FB0">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07E5D">
            <w:pPr>
              <w:jc w:val="center"/>
            </w:pPr>
            <w:r>
              <w:rPr>
                <w:rFonts w:ascii="宋体" w:hAnsi="宋体" w:eastAsia="宋体"/>
                <w:sz w:val="16"/>
              </w:rPr>
              <w:t>=1场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08106">
            <w:pPr>
              <w:jc w:val="center"/>
            </w:pPr>
            <w:r>
              <w:rPr>
                <w:rFonts w:ascii="宋体" w:hAnsi="宋体" w:eastAsia="宋体"/>
                <w:sz w:val="16"/>
              </w:rPr>
              <w:t>12</w:t>
            </w:r>
          </w:p>
        </w:tc>
      </w:tr>
      <w:tr w14:paraId="7828AD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9E9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16D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43141">
            <w:pPr>
              <w:jc w:val="center"/>
            </w:pPr>
            <w:r>
              <w:rPr>
                <w:rFonts w:ascii="宋体" w:hAnsi="宋体" w:eastAsia="宋体"/>
                <w:sz w:val="16"/>
              </w:rPr>
              <w:t>举办行业职工技能竞赛2场次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37C2D">
            <w:pPr>
              <w:jc w:val="center"/>
            </w:pPr>
            <w:r>
              <w:rPr>
                <w:rFonts w:ascii="宋体" w:hAnsi="宋体" w:eastAsia="宋体"/>
                <w:sz w:val="16"/>
              </w:rPr>
              <w:t>&gt;=2场次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5A6F3">
            <w:pPr>
              <w:jc w:val="center"/>
            </w:pPr>
            <w:r>
              <w:rPr>
                <w:rFonts w:ascii="宋体" w:hAnsi="宋体" w:eastAsia="宋体"/>
                <w:sz w:val="16"/>
              </w:rPr>
              <w:t>吉木萨尔县总工会2023年工作总结暨2024年工作计划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F208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E8DCD">
            <w:pPr>
              <w:jc w:val="center"/>
            </w:pPr>
            <w:r>
              <w:rPr>
                <w:rFonts w:ascii="宋体" w:hAnsi="宋体" w:eastAsia="宋体"/>
                <w:sz w:val="16"/>
              </w:rPr>
              <w:t>=2场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C0CE2">
            <w:pPr>
              <w:jc w:val="center"/>
            </w:pPr>
            <w:r>
              <w:rPr>
                <w:rFonts w:ascii="宋体" w:hAnsi="宋体" w:eastAsia="宋体"/>
                <w:sz w:val="16"/>
              </w:rPr>
              <w:t>15</w:t>
            </w:r>
          </w:p>
        </w:tc>
      </w:tr>
    </w:tbl>
    <w:p w14:paraId="4933075E">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5"/>
        <w:gridCol w:w="622"/>
        <w:gridCol w:w="613"/>
        <w:gridCol w:w="776"/>
        <w:gridCol w:w="776"/>
        <w:gridCol w:w="622"/>
        <w:gridCol w:w="696"/>
        <w:gridCol w:w="605"/>
        <w:gridCol w:w="605"/>
        <w:gridCol w:w="605"/>
        <w:gridCol w:w="613"/>
        <w:gridCol w:w="696"/>
      </w:tblGrid>
      <w:tr w14:paraId="755416B8">
        <w:tblPrEx>
          <w:tblCellMar>
            <w:top w:w="0" w:type="dxa"/>
            <w:left w:w="108" w:type="dxa"/>
            <w:bottom w:w="0" w:type="dxa"/>
            <w:right w:w="108" w:type="dxa"/>
          </w:tblCellMar>
        </w:tblPrEx>
        <w:tc>
          <w:tcPr>
            <w:tcW w:w="8848" w:type="dxa"/>
            <w:gridSpan w:val="14"/>
            <w:vAlign w:val="center"/>
          </w:tcPr>
          <w:p w14:paraId="1B28692A">
            <w:pPr>
              <w:jc w:val="center"/>
            </w:pPr>
            <w:r>
              <w:rPr>
                <w:rFonts w:ascii="宋体" w:hAnsi="宋体" w:eastAsia="宋体"/>
                <w:sz w:val="24"/>
              </w:rPr>
              <w:t>项目支出绩效自评表</w:t>
            </w:r>
          </w:p>
        </w:tc>
      </w:tr>
      <w:tr w14:paraId="135D5303">
        <w:tblPrEx>
          <w:tblCellMar>
            <w:top w:w="0" w:type="dxa"/>
            <w:left w:w="108" w:type="dxa"/>
            <w:bottom w:w="0" w:type="dxa"/>
            <w:right w:w="108" w:type="dxa"/>
          </w:tblCellMar>
        </w:tblPrEx>
        <w:tc>
          <w:tcPr>
            <w:tcW w:w="8848" w:type="dxa"/>
            <w:gridSpan w:val="14"/>
            <w:vAlign w:val="center"/>
          </w:tcPr>
          <w:p w14:paraId="2E7DBB64">
            <w:pPr>
              <w:jc w:val="center"/>
            </w:pPr>
            <w:r>
              <w:rPr>
                <w:rFonts w:ascii="宋体" w:hAnsi="宋体" w:eastAsia="宋体"/>
                <w:sz w:val="24"/>
              </w:rPr>
              <w:t>(2024年度)</w:t>
            </w:r>
          </w:p>
        </w:tc>
      </w:tr>
      <w:tr w14:paraId="2B30E6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BC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670753">
            <w:pPr>
              <w:jc w:val="center"/>
            </w:pPr>
            <w:r>
              <w:rPr>
                <w:rFonts w:ascii="宋体" w:hAnsi="宋体" w:eastAsia="宋体"/>
                <w:sz w:val="16"/>
              </w:rPr>
              <w:t>吉木萨尔县总工会工人文化宫建设项目</w:t>
            </w:r>
          </w:p>
        </w:tc>
      </w:tr>
      <w:tr w14:paraId="51F82E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68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C889C">
            <w:pPr>
              <w:jc w:val="center"/>
            </w:pPr>
            <w:r>
              <w:rPr>
                <w:rFonts w:ascii="宋体" w:hAnsi="宋体" w:eastAsia="宋体"/>
                <w:sz w:val="16"/>
              </w:rPr>
              <w:t>吉木萨尔县总工会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D3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213C6F">
            <w:pPr>
              <w:jc w:val="center"/>
            </w:pPr>
            <w:r>
              <w:rPr>
                <w:rFonts w:ascii="宋体" w:hAnsi="宋体" w:eastAsia="宋体"/>
                <w:sz w:val="16"/>
              </w:rPr>
              <w:t>吉木萨尔县总工会</w:t>
            </w:r>
          </w:p>
        </w:tc>
      </w:tr>
      <w:tr w14:paraId="34157B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3724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E21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A68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747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254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BA2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9E8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0FEB">
            <w:pPr>
              <w:jc w:val="center"/>
            </w:pPr>
            <w:r>
              <w:rPr>
                <w:rFonts w:ascii="宋体" w:hAnsi="宋体" w:eastAsia="宋体"/>
                <w:sz w:val="16"/>
              </w:rPr>
              <w:t>得分</w:t>
            </w:r>
          </w:p>
        </w:tc>
      </w:tr>
      <w:tr w14:paraId="720C9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4A3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D38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D373D">
            <w:pPr>
              <w:jc w:val="center"/>
            </w:pPr>
            <w:r>
              <w:rPr>
                <w:rFonts w:ascii="宋体" w:hAnsi="宋体" w:eastAsia="宋体"/>
                <w:sz w:val="16"/>
              </w:rPr>
              <w:t>551.19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50F1C">
            <w:pPr>
              <w:jc w:val="center"/>
            </w:pPr>
            <w:r>
              <w:rPr>
                <w:rFonts w:ascii="宋体" w:hAnsi="宋体" w:eastAsia="宋体"/>
                <w:sz w:val="16"/>
              </w:rPr>
              <w:t>551.19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7AE57">
            <w:pPr>
              <w:jc w:val="center"/>
            </w:pPr>
            <w:r>
              <w:rPr>
                <w:rFonts w:ascii="宋体" w:hAnsi="宋体" w:eastAsia="宋体"/>
                <w:sz w:val="16"/>
              </w:rPr>
              <w:t>551.19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070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E3D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815C">
            <w:pPr>
              <w:jc w:val="center"/>
            </w:pPr>
            <w:r>
              <w:rPr>
                <w:rFonts w:ascii="宋体" w:hAnsi="宋体" w:eastAsia="宋体"/>
                <w:sz w:val="16"/>
              </w:rPr>
              <w:t>10.00</w:t>
            </w:r>
          </w:p>
        </w:tc>
      </w:tr>
      <w:tr w14:paraId="33D51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6AF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61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3D613">
            <w:pPr>
              <w:jc w:val="center"/>
            </w:pPr>
            <w:r>
              <w:rPr>
                <w:rFonts w:ascii="宋体" w:hAnsi="宋体" w:eastAsia="宋体"/>
                <w:sz w:val="16"/>
              </w:rPr>
              <w:t>551.19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705C6">
            <w:pPr>
              <w:jc w:val="center"/>
            </w:pPr>
            <w:r>
              <w:rPr>
                <w:rFonts w:ascii="宋体" w:hAnsi="宋体" w:eastAsia="宋体"/>
                <w:sz w:val="16"/>
              </w:rPr>
              <w:t>551.19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1423A">
            <w:pPr>
              <w:jc w:val="center"/>
            </w:pPr>
            <w:r>
              <w:rPr>
                <w:rFonts w:ascii="宋体" w:hAnsi="宋体" w:eastAsia="宋体"/>
                <w:sz w:val="16"/>
              </w:rPr>
              <w:t>551.19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B8E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52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7EA0">
            <w:pPr>
              <w:jc w:val="center"/>
            </w:pPr>
            <w:r>
              <w:rPr>
                <w:rFonts w:ascii="宋体" w:hAnsi="宋体" w:eastAsia="宋体"/>
                <w:sz w:val="16"/>
              </w:rPr>
              <w:t>—</w:t>
            </w:r>
          </w:p>
        </w:tc>
      </w:tr>
      <w:tr w14:paraId="26309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636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9CC4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AE5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5A8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F7D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975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17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BFCC">
            <w:pPr>
              <w:jc w:val="center"/>
            </w:pPr>
            <w:r>
              <w:rPr>
                <w:rFonts w:ascii="宋体" w:hAnsi="宋体" w:eastAsia="宋体"/>
                <w:sz w:val="16"/>
              </w:rPr>
              <w:t>—</w:t>
            </w:r>
          </w:p>
        </w:tc>
      </w:tr>
      <w:tr w14:paraId="06EBD2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0CCF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75B0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77F9AD">
            <w:pPr>
              <w:jc w:val="center"/>
            </w:pPr>
            <w:r>
              <w:rPr>
                <w:rFonts w:ascii="宋体" w:hAnsi="宋体" w:eastAsia="宋体"/>
                <w:sz w:val="16"/>
              </w:rPr>
              <w:t>实际完成情况</w:t>
            </w:r>
          </w:p>
        </w:tc>
      </w:tr>
      <w:tr w14:paraId="4A5CD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9A4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FA2AC3">
            <w:pPr>
              <w:jc w:val="both"/>
            </w:pPr>
            <w:r>
              <w:rPr>
                <w:rFonts w:ascii="宋体" w:hAnsi="宋体" w:eastAsia="宋体"/>
                <w:sz w:val="16"/>
              </w:rPr>
              <w:t>本项目主要内容为：吉木萨尔县工人文化宫项目位于吉木萨尔县新旧城区交接处，S303省道以南沙河域，在建的庭州湾景观带二期以东，庭州大道以西，人民东路以北。工人文化宫总建筑面积为5839.58平方米（建筑面积最终以施工蓝图为准，不超过6000</w:t>
            </w:r>
            <w:r>
              <w:rPr>
                <w:rFonts w:hint="eastAsia" w:ascii="宋体" w:hAnsi="宋体"/>
                <w:sz w:val="16"/>
                <w:lang w:eastAsia="zh-CN"/>
              </w:rPr>
              <w:t>平方米</w:t>
            </w:r>
            <w:r>
              <w:rPr>
                <w:rFonts w:ascii="宋体" w:hAnsi="宋体" w:eastAsia="宋体"/>
                <w:sz w:val="16"/>
              </w:rPr>
              <w:t>），采用三层框架结构。吉木萨尔县工人文化宫的建设。通过本项目实施，将极大地丰富广大职工群众的文体活动，提高他们的生活质量。同时，该项目也是吉木萨尔县总工会推动工运事业和工会工作高质量发展的有力举措。待项目完成后，争取使受益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917533">
            <w:pPr>
              <w:jc w:val="both"/>
            </w:pPr>
            <w:r>
              <w:rPr>
                <w:rFonts w:ascii="宋体" w:hAnsi="宋体" w:eastAsia="宋体"/>
                <w:sz w:val="16"/>
              </w:rPr>
              <w:t>2024年度工人文化宫建设项目按照施工计划正常建设，截至目前工程主体已完工，外墙装饰、窗户、玻璃、“三通一平”工程施工、第一批中央空调设备的安装等均已完工。开始进入室内装修、水电暖环节、内部设施部分的施工。此项目预计2025年末投入使用，投入后将为广大职工提供一个更加丰富、专业的活动场地。</w:t>
            </w:r>
          </w:p>
        </w:tc>
      </w:tr>
      <w:tr w14:paraId="44495C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D47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0C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D3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8C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2F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14A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26E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F0CC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D38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E8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C3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080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94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3BCF">
            <w:pPr>
              <w:jc w:val="center"/>
            </w:pPr>
            <w:r>
              <w:rPr>
                <w:rFonts w:ascii="宋体" w:hAnsi="宋体" w:eastAsia="宋体"/>
                <w:sz w:val="16"/>
              </w:rPr>
              <w:t>偏差原因分析及改进措施</w:t>
            </w:r>
          </w:p>
        </w:tc>
      </w:tr>
      <w:tr w14:paraId="13AAD6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EAF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37F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8AA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D2C9">
            <w:pPr>
              <w:jc w:val="center"/>
            </w:pPr>
            <w:r>
              <w:rPr>
                <w:rFonts w:ascii="宋体" w:hAnsi="宋体" w:eastAsia="宋体"/>
                <w:sz w:val="16"/>
              </w:rPr>
              <w:t>工人文化宫三通一平建设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D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5AD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78B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4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F7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F8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CB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E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3A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1BA8">
            <w:pPr>
              <w:jc w:val="center"/>
            </w:pPr>
          </w:p>
        </w:tc>
      </w:tr>
      <w:tr w14:paraId="526C4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D8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63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45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152F">
            <w:pPr>
              <w:jc w:val="center"/>
            </w:pPr>
            <w:r>
              <w:rPr>
                <w:rFonts w:ascii="宋体" w:hAnsi="宋体" w:eastAsia="宋体"/>
                <w:sz w:val="16"/>
              </w:rPr>
              <w:t>内部中央空调设备安装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832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A44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5AC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5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1AC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FC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08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49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55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FB1D">
            <w:pPr>
              <w:jc w:val="center"/>
            </w:pPr>
          </w:p>
        </w:tc>
      </w:tr>
      <w:tr w14:paraId="0AE26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9F7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A3D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E7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E929">
            <w:pPr>
              <w:jc w:val="center"/>
            </w:pPr>
            <w:r>
              <w:rPr>
                <w:rFonts w:ascii="宋体" w:hAnsi="宋体" w:eastAsia="宋体"/>
                <w:sz w:val="16"/>
              </w:rPr>
              <w:t>已完工程质量合格率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7E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1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D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8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1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87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12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24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7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DA5A">
            <w:pPr>
              <w:jc w:val="center"/>
            </w:pPr>
          </w:p>
        </w:tc>
      </w:tr>
      <w:tr w14:paraId="20774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2A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93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6E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9FFA">
            <w:pPr>
              <w:jc w:val="center"/>
            </w:pPr>
            <w:r>
              <w:rPr>
                <w:rFonts w:ascii="宋体" w:hAnsi="宋体" w:eastAsia="宋体"/>
                <w:sz w:val="16"/>
              </w:rPr>
              <w:t>项目按时开工率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B19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8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E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0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D47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0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C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2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D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1FE8">
            <w:pPr>
              <w:jc w:val="center"/>
            </w:pPr>
          </w:p>
        </w:tc>
      </w:tr>
      <w:tr w14:paraId="7A072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248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169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C18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C589">
            <w:pPr>
              <w:jc w:val="center"/>
            </w:pPr>
            <w:r>
              <w:rPr>
                <w:rFonts w:ascii="宋体" w:hAnsi="宋体" w:eastAsia="宋体"/>
                <w:sz w:val="16"/>
              </w:rPr>
              <w:t>项目工程进度款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43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BE6B">
            <w:pPr>
              <w:jc w:val="center"/>
            </w:pPr>
            <w:r>
              <w:rPr>
                <w:rFonts w:ascii="宋体" w:hAnsi="宋体" w:eastAsia="宋体"/>
                <w:sz w:val="16"/>
              </w:rPr>
              <w:t>=456.95万元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1260">
            <w:pPr>
              <w:jc w:val="center"/>
            </w:pPr>
            <w:r>
              <w:rPr>
                <w:rFonts w:ascii="宋体" w:hAnsi="宋体" w:eastAsia="宋体"/>
                <w:sz w:val="16"/>
              </w:rPr>
              <w:t>=456.95万元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BF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57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F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0C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15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87E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7072">
            <w:pPr>
              <w:jc w:val="center"/>
            </w:pPr>
          </w:p>
        </w:tc>
      </w:tr>
      <w:tr w14:paraId="62D27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7F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84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A2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27CB">
            <w:pPr>
              <w:jc w:val="center"/>
            </w:pPr>
            <w:r>
              <w:rPr>
                <w:rFonts w:hint="eastAsia" w:ascii="宋体" w:hAnsi="宋体"/>
                <w:sz w:val="16"/>
                <w:lang w:eastAsia="zh-CN"/>
              </w:rPr>
              <w:t>政府</w:t>
            </w:r>
            <w:r>
              <w:rPr>
                <w:rFonts w:ascii="宋体" w:hAnsi="宋体" w:eastAsia="宋体"/>
                <w:sz w:val="16"/>
              </w:rPr>
              <w:t>化债前期</w:t>
            </w:r>
            <w:bookmarkStart w:id="0" w:name="_GoBack"/>
            <w:r>
              <w:rPr>
                <w:rFonts w:hint="eastAsia" w:ascii="宋体" w:hAnsi="宋体"/>
                <w:sz w:val="16"/>
                <w:lang w:eastAsia="zh-CN"/>
              </w:rPr>
              <w:t>费用</w:t>
            </w:r>
            <w:bookmarkEnd w:id="0"/>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65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6417">
            <w:pPr>
              <w:jc w:val="center"/>
            </w:pPr>
            <w:r>
              <w:rPr>
                <w:rFonts w:ascii="宋体" w:hAnsi="宋体" w:eastAsia="宋体"/>
                <w:sz w:val="16"/>
              </w:rPr>
              <w:t>=10.66万元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4351">
            <w:pPr>
              <w:jc w:val="center"/>
            </w:pPr>
            <w:r>
              <w:rPr>
                <w:rFonts w:ascii="宋体" w:hAnsi="宋体" w:eastAsia="宋体"/>
                <w:sz w:val="16"/>
              </w:rPr>
              <w:t>=10.66万元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2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70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3C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75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2F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F00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CDF9">
            <w:pPr>
              <w:jc w:val="center"/>
            </w:pPr>
          </w:p>
        </w:tc>
      </w:tr>
      <w:tr w14:paraId="55429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4B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70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CB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8460">
            <w:pPr>
              <w:jc w:val="center"/>
            </w:pPr>
            <w:r>
              <w:rPr>
                <w:rFonts w:ascii="宋体" w:hAnsi="宋体" w:eastAsia="宋体"/>
                <w:sz w:val="16"/>
              </w:rPr>
              <w:t>水土保持补偿、罚款、异地建设款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F8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C4FB">
            <w:pPr>
              <w:jc w:val="center"/>
            </w:pPr>
            <w:r>
              <w:rPr>
                <w:rFonts w:ascii="宋体" w:hAnsi="宋体" w:eastAsia="宋体"/>
                <w:sz w:val="16"/>
              </w:rPr>
              <w:t>=40.53万元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D9A4">
            <w:pPr>
              <w:jc w:val="center"/>
            </w:pPr>
            <w:r>
              <w:rPr>
                <w:rFonts w:ascii="宋体" w:hAnsi="宋体" w:eastAsia="宋体"/>
                <w:sz w:val="16"/>
              </w:rPr>
              <w:t>=40.53万元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B0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CF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1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E8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4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867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43B6">
            <w:pPr>
              <w:jc w:val="center"/>
            </w:pPr>
          </w:p>
        </w:tc>
      </w:tr>
      <w:tr w14:paraId="1F195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E1B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C3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05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9D41">
            <w:pPr>
              <w:jc w:val="center"/>
            </w:pPr>
            <w:r>
              <w:rPr>
                <w:rFonts w:ascii="宋体" w:hAnsi="宋体" w:eastAsia="宋体"/>
                <w:sz w:val="16"/>
              </w:rPr>
              <w:t>中央空调设备安装及采购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C1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280E">
            <w:pPr>
              <w:jc w:val="center"/>
            </w:pPr>
            <w:r>
              <w:rPr>
                <w:rFonts w:ascii="宋体" w:hAnsi="宋体" w:eastAsia="宋体"/>
                <w:sz w:val="16"/>
              </w:rPr>
              <w:t>=25.55万元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1973">
            <w:pPr>
              <w:jc w:val="center"/>
            </w:pPr>
            <w:r>
              <w:rPr>
                <w:rFonts w:ascii="宋体" w:hAnsi="宋体" w:eastAsia="宋体"/>
                <w:sz w:val="16"/>
              </w:rPr>
              <w:t>=25.55万元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0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56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52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A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D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E3C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D3DD">
            <w:pPr>
              <w:jc w:val="center"/>
            </w:pPr>
          </w:p>
        </w:tc>
      </w:tr>
      <w:tr w14:paraId="1726D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1F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BC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A4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C064">
            <w:pPr>
              <w:jc w:val="center"/>
            </w:pPr>
            <w:r>
              <w:rPr>
                <w:rFonts w:ascii="宋体" w:hAnsi="宋体" w:eastAsia="宋体"/>
                <w:sz w:val="16"/>
              </w:rPr>
              <w:t>项目检测费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5D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623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D0D2">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0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77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8E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F0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7C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F1B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F59A">
            <w:pPr>
              <w:jc w:val="center"/>
            </w:pPr>
          </w:p>
        </w:tc>
      </w:tr>
      <w:tr w14:paraId="39348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13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0B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8CD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B109">
            <w:pPr>
              <w:jc w:val="center"/>
            </w:pPr>
            <w:r>
              <w:rPr>
                <w:rFonts w:ascii="宋体" w:hAnsi="宋体" w:eastAsia="宋体"/>
                <w:sz w:val="16"/>
              </w:rPr>
              <w:t>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20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7E1A">
            <w:pPr>
              <w:jc w:val="center"/>
            </w:pPr>
            <w:r>
              <w:rPr>
                <w:rFonts w:ascii="宋体" w:hAnsi="宋体" w:eastAsia="宋体"/>
                <w:sz w:val="16"/>
              </w:rPr>
              <w:t>=9.45万元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D631">
            <w:pPr>
              <w:jc w:val="center"/>
            </w:pPr>
            <w:r>
              <w:rPr>
                <w:rFonts w:ascii="宋体" w:hAnsi="宋体" w:eastAsia="宋体"/>
                <w:sz w:val="16"/>
              </w:rPr>
              <w:t>=9.45万元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1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AE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3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3D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7C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838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FAF6">
            <w:pPr>
              <w:jc w:val="center"/>
            </w:pPr>
          </w:p>
        </w:tc>
      </w:tr>
      <w:tr w14:paraId="7A601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E3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5A4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55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238C">
            <w:pPr>
              <w:jc w:val="center"/>
            </w:pPr>
            <w:r>
              <w:rPr>
                <w:rFonts w:ascii="宋体" w:hAnsi="宋体" w:eastAsia="宋体"/>
                <w:sz w:val="16"/>
              </w:rPr>
              <w:t>跟踪审计费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0E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2739">
            <w:pPr>
              <w:jc w:val="center"/>
            </w:pPr>
            <w:r>
              <w:rPr>
                <w:rFonts w:ascii="宋体" w:hAnsi="宋体" w:eastAsia="宋体"/>
                <w:sz w:val="16"/>
              </w:rPr>
              <w:t>=4.05万元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D227">
            <w:pPr>
              <w:jc w:val="center"/>
            </w:pPr>
            <w:r>
              <w:rPr>
                <w:rFonts w:ascii="宋体" w:hAnsi="宋体" w:eastAsia="宋体"/>
                <w:sz w:val="16"/>
              </w:rPr>
              <w:t>=4.05万元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2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4FE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0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83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A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67B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A65B">
            <w:pPr>
              <w:jc w:val="center"/>
            </w:pPr>
          </w:p>
        </w:tc>
      </w:tr>
      <w:tr w14:paraId="39B5E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DCC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86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08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B503">
            <w:pPr>
              <w:jc w:val="center"/>
            </w:pPr>
            <w:r>
              <w:rPr>
                <w:rFonts w:ascii="宋体" w:hAnsi="宋体" w:eastAsia="宋体"/>
                <w:sz w:val="16"/>
              </w:rPr>
              <w:t>重大安全事故发生次数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66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59FD">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D9EA">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1B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8D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0A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CC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0F5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2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5DA5">
            <w:pPr>
              <w:jc w:val="center"/>
            </w:pPr>
          </w:p>
        </w:tc>
      </w:tr>
      <w:tr w14:paraId="4B634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5C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FA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B4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D1D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1B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7D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F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4D6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A5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2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FF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CB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19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73A3">
            <w:pPr>
              <w:jc w:val="center"/>
            </w:pPr>
            <w:r>
              <w:rPr>
                <w:rFonts w:ascii="宋体" w:hAnsi="宋体" w:eastAsia="宋体"/>
                <w:sz w:val="16"/>
              </w:rPr>
              <w:t>项目的实施对县城群众有很大保障，受益群众满意度达到100%。</w:t>
            </w:r>
          </w:p>
        </w:tc>
      </w:tr>
      <w:tr w14:paraId="3DA3CB6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D102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4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165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346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CE7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371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90A9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6F0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7459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331B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78C50"/>
        </w:tc>
      </w:tr>
    </w:tbl>
    <w:p w14:paraId="3F3B2FE7">
      <w:r>
        <w:br w:type="page"/>
      </w:r>
    </w:p>
    <w:p w14:paraId="4EE98524">
      <w:pPr>
        <w:spacing w:line="640" w:lineRule="exact"/>
        <w:ind w:firstLine="640"/>
        <w:jc w:val="both"/>
        <w:outlineLvl w:val="2"/>
      </w:pPr>
      <w:r>
        <w:rPr>
          <w:rFonts w:ascii="黑体" w:hAnsi="黑体" w:eastAsia="黑体"/>
          <w:sz w:val="32"/>
        </w:rPr>
        <w:t>十二、其他需说明的事项</w:t>
      </w:r>
    </w:p>
    <w:p w14:paraId="4F8E1ACF">
      <w:pPr>
        <w:spacing w:line="580" w:lineRule="exact"/>
        <w:ind w:firstLine="640"/>
        <w:jc w:val="both"/>
      </w:pPr>
      <w:r>
        <w:rPr>
          <w:rFonts w:ascii="仿宋_GB2312" w:hAnsi="仿宋_GB2312" w:eastAsia="仿宋_GB2312"/>
          <w:b w:val="0"/>
          <w:sz w:val="32"/>
        </w:rPr>
        <w:t>本单位无其他需说明的事项。</w:t>
      </w:r>
    </w:p>
    <w:p w14:paraId="327CC1E4">
      <w:r>
        <w:br w:type="page"/>
      </w:r>
    </w:p>
    <w:p w14:paraId="55340667">
      <w:pPr>
        <w:spacing w:line="240" w:lineRule="auto"/>
        <w:jc w:val="center"/>
        <w:outlineLvl w:val="1"/>
      </w:pPr>
      <w:r>
        <w:rPr>
          <w:rFonts w:ascii="黑体" w:hAnsi="黑体" w:eastAsia="黑体"/>
          <w:sz w:val="32"/>
        </w:rPr>
        <w:t>第三部分 专业名词解释</w:t>
      </w:r>
    </w:p>
    <w:p w14:paraId="67D6E56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669CD1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CDB5FC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CBAB43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3EC687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E63CD9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3EFFC3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FF875E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0EC3E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C395B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BFE902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4D8EB9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085C4E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3F640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DFE4629">
      <w:r>
        <w:br w:type="page"/>
      </w:r>
    </w:p>
    <w:p w14:paraId="167254D2">
      <w:pPr>
        <w:spacing w:line="240" w:lineRule="auto"/>
        <w:jc w:val="center"/>
        <w:outlineLvl w:val="1"/>
      </w:pPr>
      <w:r>
        <w:rPr>
          <w:rFonts w:ascii="黑体" w:hAnsi="黑体" w:eastAsia="黑体"/>
          <w:sz w:val="32"/>
        </w:rPr>
        <w:t>第四部分 部门决算报表（见附表）</w:t>
      </w:r>
    </w:p>
    <w:p w14:paraId="30F38335">
      <w:pPr>
        <w:spacing w:line="240" w:lineRule="auto"/>
        <w:ind w:firstLine="640"/>
        <w:jc w:val="both"/>
      </w:pPr>
      <w:r>
        <w:rPr>
          <w:rFonts w:ascii="仿宋_GB2312" w:hAnsi="仿宋_GB2312" w:eastAsia="仿宋_GB2312"/>
          <w:b w:val="0"/>
          <w:sz w:val="32"/>
        </w:rPr>
        <w:t>一、《收入支出决算总表》</w:t>
      </w:r>
    </w:p>
    <w:p w14:paraId="053ED6E5">
      <w:pPr>
        <w:spacing w:line="240" w:lineRule="auto"/>
        <w:ind w:firstLine="640"/>
        <w:jc w:val="both"/>
      </w:pPr>
      <w:r>
        <w:rPr>
          <w:rFonts w:ascii="仿宋_GB2312" w:hAnsi="仿宋_GB2312" w:eastAsia="仿宋_GB2312"/>
          <w:b w:val="0"/>
          <w:sz w:val="32"/>
        </w:rPr>
        <w:t>二、《收入决算表》</w:t>
      </w:r>
    </w:p>
    <w:p w14:paraId="5742F4B6">
      <w:pPr>
        <w:spacing w:line="240" w:lineRule="auto"/>
        <w:ind w:firstLine="640"/>
        <w:jc w:val="both"/>
      </w:pPr>
      <w:r>
        <w:rPr>
          <w:rFonts w:ascii="仿宋_GB2312" w:hAnsi="仿宋_GB2312" w:eastAsia="仿宋_GB2312"/>
          <w:b w:val="0"/>
          <w:sz w:val="32"/>
        </w:rPr>
        <w:t>三、《支出决算表》</w:t>
      </w:r>
    </w:p>
    <w:p w14:paraId="706797CC">
      <w:pPr>
        <w:spacing w:line="240" w:lineRule="auto"/>
        <w:ind w:firstLine="640"/>
        <w:jc w:val="both"/>
      </w:pPr>
      <w:r>
        <w:rPr>
          <w:rFonts w:ascii="仿宋_GB2312" w:hAnsi="仿宋_GB2312" w:eastAsia="仿宋_GB2312"/>
          <w:b w:val="0"/>
          <w:sz w:val="32"/>
        </w:rPr>
        <w:t>四、《财政拨款收入支出决算总表》</w:t>
      </w:r>
    </w:p>
    <w:p w14:paraId="477B53E6">
      <w:pPr>
        <w:spacing w:line="240" w:lineRule="auto"/>
        <w:ind w:firstLine="640"/>
        <w:jc w:val="both"/>
      </w:pPr>
      <w:r>
        <w:rPr>
          <w:rFonts w:ascii="仿宋_GB2312" w:hAnsi="仿宋_GB2312" w:eastAsia="仿宋_GB2312"/>
          <w:b w:val="0"/>
          <w:sz w:val="32"/>
        </w:rPr>
        <w:t>五、《一般公共预算财政拨款支出决算表》</w:t>
      </w:r>
    </w:p>
    <w:p w14:paraId="2A0F2622">
      <w:pPr>
        <w:spacing w:line="240" w:lineRule="auto"/>
        <w:ind w:firstLine="640"/>
        <w:jc w:val="both"/>
      </w:pPr>
      <w:r>
        <w:rPr>
          <w:rFonts w:ascii="仿宋_GB2312" w:hAnsi="仿宋_GB2312" w:eastAsia="仿宋_GB2312"/>
          <w:b w:val="0"/>
          <w:sz w:val="32"/>
        </w:rPr>
        <w:t>六、《一般公共预算财政拨款基本支出决算表》</w:t>
      </w:r>
    </w:p>
    <w:p w14:paraId="7AD19BDE">
      <w:pPr>
        <w:spacing w:line="240" w:lineRule="auto"/>
        <w:ind w:firstLine="640"/>
        <w:jc w:val="both"/>
      </w:pPr>
      <w:r>
        <w:rPr>
          <w:rFonts w:ascii="仿宋_GB2312" w:hAnsi="仿宋_GB2312" w:eastAsia="仿宋_GB2312"/>
          <w:b w:val="0"/>
          <w:sz w:val="32"/>
        </w:rPr>
        <w:t>七、《政府性基金预算财政拨款收入支出决算表》</w:t>
      </w:r>
    </w:p>
    <w:p w14:paraId="71DE994A">
      <w:pPr>
        <w:spacing w:line="240" w:lineRule="auto"/>
        <w:ind w:firstLine="640"/>
        <w:jc w:val="both"/>
      </w:pPr>
      <w:r>
        <w:rPr>
          <w:rFonts w:ascii="仿宋_GB2312" w:hAnsi="仿宋_GB2312" w:eastAsia="仿宋_GB2312"/>
          <w:b w:val="0"/>
          <w:sz w:val="32"/>
        </w:rPr>
        <w:t>八、《国有资本经营预算财政拨款收入支出决算表》</w:t>
      </w:r>
    </w:p>
    <w:p w14:paraId="34923E41">
      <w:pPr>
        <w:spacing w:line="240" w:lineRule="auto"/>
        <w:ind w:firstLine="640"/>
        <w:jc w:val="both"/>
      </w:pPr>
      <w:r>
        <w:rPr>
          <w:rFonts w:ascii="仿宋_GB2312" w:hAnsi="仿宋_GB2312" w:eastAsia="仿宋_GB2312"/>
          <w:b w:val="0"/>
          <w:sz w:val="32"/>
        </w:rPr>
        <w:t>九、《财政拨款“三公”经费支出决算表》</w:t>
      </w:r>
    </w:p>
    <w:p w14:paraId="7B71DF5B">
      <w:pPr>
        <w:spacing w:line="240" w:lineRule="auto"/>
        <w:ind w:firstLine="640"/>
        <w:jc w:val="both"/>
      </w:pPr>
    </w:p>
    <w:p w14:paraId="3A49BF21">
      <w:pPr>
        <w:spacing w:line="240" w:lineRule="auto"/>
        <w:ind w:firstLine="640"/>
        <w:jc w:val="both"/>
      </w:pPr>
    </w:p>
    <w:p w14:paraId="159429E2">
      <w:pPr>
        <w:spacing w:line="240" w:lineRule="auto"/>
        <w:ind w:firstLine="640"/>
        <w:jc w:val="both"/>
      </w:pPr>
    </w:p>
    <w:p w14:paraId="421F196B">
      <w:pPr>
        <w:spacing w:line="240" w:lineRule="auto"/>
        <w:ind w:firstLine="640"/>
        <w:jc w:val="both"/>
      </w:pPr>
    </w:p>
    <w:p w14:paraId="393668B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BA24BB6-D073-4FFE-84C0-F0D57450061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652B9A0-A802-483C-B4C3-6ABF255CD7B3}"/>
  </w:font>
  <w:font w:name="仿宋_GB2312">
    <w:altName w:val="仿宋"/>
    <w:panose1 w:val="02010609030101010101"/>
    <w:charset w:val="86"/>
    <w:family w:val="modern"/>
    <w:pitch w:val="default"/>
    <w:sig w:usb0="00000000" w:usb1="00000000" w:usb2="00000000" w:usb3="00000000" w:csb0="00040000" w:csb1="00000000"/>
    <w:embedRegular r:id="rId3" w:fontKey="{FCC19FB2-11C4-436B-8ADD-DF38ABCFAD47}"/>
  </w:font>
  <w:font w:name="楷体_GB2312">
    <w:altName w:val="楷体"/>
    <w:panose1 w:val="00000000000000000000"/>
    <w:charset w:val="00"/>
    <w:family w:val="auto"/>
    <w:pitch w:val="default"/>
    <w:sig w:usb0="00000000" w:usb1="00000000" w:usb2="00000000" w:usb3="00000000" w:csb0="00000000" w:csb1="00000000"/>
    <w:embedRegular r:id="rId4" w:fontKey="{9E264923-4181-46FD-A439-BBCBDB71C651}"/>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1E2472"/>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421B6C"/>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D51810"/>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5843</Words>
  <Characters>6557</Characters>
  <Lines>0</Lines>
  <Paragraphs>0</Paragraphs>
  <TotalTime>3</TotalTime>
  <ScaleCrop>false</ScaleCrop>
  <LinksUpToDate>false</LinksUpToDate>
  <CharactersWithSpaces>6566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2025-10-14T03:02:06Z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