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吉木萨尔县妇幼保健院2024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55B956">
      <w:r>
        <w:br w:type="page"/>
      </w:r>
    </w:p>
    <w:p w14:paraId="079EF4E5">
      <w:pPr>
        <w:spacing w:line="640" w:lineRule="exact"/>
        <w:jc w:val="center"/>
        <w:outlineLvl w:val="1"/>
      </w:pPr>
      <w:r>
        <w:rPr>
          <w:rFonts w:ascii="黑体" w:hAnsi="黑体" w:eastAsia="黑体"/>
          <w:sz w:val="32"/>
        </w:rPr>
        <w:t>第一部分 单位概况</w:t>
      </w:r>
    </w:p>
    <w:p w14:paraId="678DD62F">
      <w:pPr>
        <w:spacing w:line="640" w:lineRule="exact"/>
        <w:ind w:firstLine="640"/>
        <w:jc w:val="both"/>
        <w:outlineLvl w:val="2"/>
      </w:pPr>
      <w:r>
        <w:rPr>
          <w:rFonts w:ascii="黑体" w:hAnsi="黑体" w:eastAsia="黑体"/>
          <w:sz w:val="32"/>
        </w:rPr>
        <w:t>一、主要职能</w:t>
      </w:r>
    </w:p>
    <w:p w14:paraId="1918B154">
      <w:pPr>
        <w:spacing w:line="580" w:lineRule="exact"/>
        <w:ind w:firstLine="640"/>
        <w:jc w:val="both"/>
      </w:pPr>
      <w:r>
        <w:rPr>
          <w:rFonts w:ascii="仿宋_GB2312" w:hAnsi="仿宋_GB2312" w:eastAsia="仿宋_GB2312"/>
          <w:sz w:val="32"/>
        </w:rPr>
        <w:t>（一）贯彻执行党和国家、自治区、州关于妇幼保健工作的方针政策、法律法规。</w:t>
      </w:r>
    </w:p>
    <w:p w14:paraId="1F1F454D">
      <w:pPr>
        <w:spacing w:line="580" w:lineRule="exact"/>
        <w:ind w:firstLine="640"/>
        <w:jc w:val="both"/>
      </w:pPr>
      <w:r>
        <w:rPr>
          <w:rFonts w:ascii="仿宋_GB2312" w:hAnsi="仿宋_GB2312" w:eastAsia="仿宋_GB2312"/>
          <w:sz w:val="32"/>
        </w:rPr>
        <w:t>（二）拟订本县妇幼健康工作的相关政策和规章制度。承担辖区内妇女儿童妇女保健、围产保健、儿童保健、生殖健康等妇幼保健技术服务，组织孕产妇死亡、新生儿死亡个案评审。</w:t>
      </w:r>
    </w:p>
    <w:p w14:paraId="7D7FD730">
      <w:pPr>
        <w:spacing w:line="580" w:lineRule="exact"/>
        <w:ind w:firstLine="640"/>
        <w:jc w:val="both"/>
      </w:pPr>
      <w:r>
        <w:rPr>
          <w:rFonts w:ascii="仿宋_GB2312" w:hAnsi="仿宋_GB2312" w:eastAsia="仿宋_GB2312"/>
          <w:sz w:val="32"/>
        </w:rPr>
        <w:t>（三）承担辖区内基层妇幼保健、母婴保健、生殖健康技术服务人员的培训和业务指导；对各级医疗保健机构开展的妇幼卫生服务进行指导、考核与评价。</w:t>
      </w:r>
    </w:p>
    <w:p w14:paraId="053753B6">
      <w:pPr>
        <w:spacing w:line="580" w:lineRule="exact"/>
        <w:ind w:firstLine="640"/>
        <w:jc w:val="both"/>
      </w:pPr>
      <w:r>
        <w:rPr>
          <w:rFonts w:ascii="仿宋_GB2312" w:hAnsi="仿宋_GB2312" w:eastAsia="仿宋_GB2312"/>
          <w:sz w:val="32"/>
        </w:rPr>
        <w:t>（四）负责指导托幼机构卫生保健工作；负责开展入园儿童体检及辖区内儿童常规检查工作；承担托幼机构工作人员培训、考核以及健康检查工作。</w:t>
      </w:r>
    </w:p>
    <w:p w14:paraId="3523F424">
      <w:pPr>
        <w:spacing w:line="580" w:lineRule="exact"/>
        <w:ind w:firstLine="640"/>
        <w:jc w:val="both"/>
      </w:pPr>
      <w:r>
        <w:rPr>
          <w:rFonts w:ascii="仿宋_GB2312" w:hAnsi="仿宋_GB2312" w:eastAsia="仿宋_GB2312"/>
          <w:sz w:val="32"/>
        </w:rPr>
        <w:t>（五）负责妇幼重大及基本公共卫生项目工作。</w:t>
      </w:r>
    </w:p>
    <w:p w14:paraId="561D6222">
      <w:pPr>
        <w:spacing w:line="580" w:lineRule="exact"/>
        <w:ind w:firstLine="640"/>
        <w:jc w:val="both"/>
      </w:pPr>
      <w:r>
        <w:rPr>
          <w:rFonts w:ascii="仿宋_GB2312" w:hAnsi="仿宋_GB2312" w:eastAsia="仿宋_GB2312"/>
          <w:sz w:val="32"/>
        </w:rPr>
        <w:t>（六）负责全县出生医学证明的发放和管理工作。</w:t>
      </w:r>
    </w:p>
    <w:p w14:paraId="581454A8">
      <w:pPr>
        <w:spacing w:line="580" w:lineRule="exact"/>
        <w:ind w:firstLine="640"/>
        <w:jc w:val="both"/>
      </w:pPr>
      <w:r>
        <w:rPr>
          <w:rFonts w:ascii="仿宋_GB2312" w:hAnsi="仿宋_GB2312" w:eastAsia="仿宋_GB2312"/>
          <w:sz w:val="32"/>
        </w:rPr>
        <w:t>（七）承担妇幼保健健康教育及健康促进工作，组织实施母婴保健技术指导、优生指导、药具发放、信息咨询、随访服务、生殖保健和避孕为主的综合节育措施。</w:t>
      </w:r>
    </w:p>
    <w:p w14:paraId="35D27730">
      <w:pPr>
        <w:spacing w:line="580" w:lineRule="exact"/>
        <w:ind w:firstLine="640"/>
        <w:jc w:val="both"/>
      </w:pPr>
      <w:r>
        <w:rPr>
          <w:rFonts w:ascii="仿宋_GB2312" w:hAnsi="仿宋_GB2312" w:eastAsia="仿宋_GB2312"/>
          <w:sz w:val="32"/>
        </w:rPr>
        <w:t>（八）负责提供妇女儿童的基本医疗服务，危急重症孕妇儿童转诊，开展中医诊疗与康复工作。</w:t>
      </w:r>
    </w:p>
    <w:p w14:paraId="47DF5CBB">
      <w:pPr>
        <w:spacing w:line="580" w:lineRule="exact"/>
        <w:ind w:firstLine="640"/>
        <w:jc w:val="both"/>
      </w:pPr>
      <w:r>
        <w:rPr>
          <w:rFonts w:ascii="仿宋_GB2312" w:hAnsi="仿宋_GB2312" w:eastAsia="仿宋_GB2312"/>
          <w:sz w:val="32"/>
        </w:rPr>
        <w:t>（九）承担本县妇幼健康信息系统管理工作，负责对本县妇幼健康信息管理工作人员的培训、指导妇幼健康信息管理工作及妇幼健康年报、数据质量控制。</w:t>
      </w:r>
    </w:p>
    <w:p w14:paraId="07DA0B94">
      <w:pPr>
        <w:spacing w:line="580" w:lineRule="exact"/>
        <w:ind w:firstLine="640"/>
        <w:jc w:val="both"/>
      </w:pPr>
      <w:r>
        <w:rPr>
          <w:rFonts w:ascii="仿宋_GB2312" w:hAnsi="仿宋_GB2312" w:eastAsia="仿宋_GB2312"/>
          <w:sz w:val="32"/>
        </w:rPr>
        <w:t>（十）完成县卫生健康委员会（县疾病预防控制局）交办的其他任务。</w:t>
      </w:r>
    </w:p>
    <w:p w14:paraId="327E1A4D">
      <w:pPr>
        <w:spacing w:line="640" w:lineRule="exact"/>
        <w:ind w:firstLine="640"/>
        <w:jc w:val="both"/>
        <w:outlineLvl w:val="2"/>
      </w:pPr>
      <w:r>
        <w:rPr>
          <w:rFonts w:ascii="黑体" w:hAnsi="黑体" w:eastAsia="黑体"/>
          <w:sz w:val="32"/>
        </w:rPr>
        <w:t>二、机构设置及人员情况</w:t>
      </w:r>
    </w:p>
    <w:p w14:paraId="07C13B99">
      <w:pPr>
        <w:spacing w:line="580" w:lineRule="exact"/>
        <w:ind w:firstLine="640"/>
        <w:jc w:val="both"/>
      </w:pPr>
      <w:r>
        <w:rPr>
          <w:rFonts w:ascii="仿宋_GB2312" w:hAnsi="仿宋_GB2312" w:eastAsia="仿宋_GB2312"/>
          <w:sz w:val="32"/>
        </w:rPr>
        <w:t>吉木萨尔县妇幼保健院2024年度，实有人数63人，其中：在职人员30人，减少1人；离休人员0人，增加0人；退休人员33人,增加2人。</w:t>
      </w:r>
    </w:p>
    <w:p w14:paraId="171F3F8A">
      <w:pPr>
        <w:spacing w:line="580" w:lineRule="exact"/>
        <w:ind w:firstLine="640"/>
        <w:jc w:val="both"/>
      </w:pPr>
      <w:r>
        <w:rPr>
          <w:rFonts w:ascii="仿宋_GB2312" w:hAnsi="仿宋_GB2312" w:eastAsia="仿宋_GB2312"/>
          <w:sz w:val="32"/>
        </w:rPr>
        <w:t>吉木萨尔县妇幼保健院无下属预算单位，下设4个科室，分别是：儿童保健部、妇女保健部、孕产保健部、技术服务部。</w:t>
      </w:r>
    </w:p>
    <w:p w14:paraId="638C600C">
      <w:r>
        <w:br w:type="page"/>
      </w:r>
    </w:p>
    <w:p w14:paraId="70ABAB68">
      <w:pPr>
        <w:spacing w:line="240" w:lineRule="auto"/>
        <w:jc w:val="center"/>
        <w:outlineLvl w:val="1"/>
      </w:pPr>
      <w:r>
        <w:rPr>
          <w:rFonts w:ascii="黑体" w:hAnsi="黑体" w:eastAsia="黑体"/>
          <w:sz w:val="32"/>
        </w:rPr>
        <w:t>第二部分 部门决算情况说明</w:t>
      </w:r>
    </w:p>
    <w:p w14:paraId="5EE78C75">
      <w:pPr>
        <w:spacing w:line="640" w:lineRule="exact"/>
        <w:ind w:firstLine="640"/>
        <w:jc w:val="both"/>
        <w:outlineLvl w:val="2"/>
      </w:pPr>
      <w:r>
        <w:rPr>
          <w:rFonts w:ascii="黑体" w:hAnsi="黑体" w:eastAsia="黑体"/>
          <w:sz w:val="32"/>
        </w:rPr>
        <w:t>一、收入支出决算总体情况说明</w:t>
      </w:r>
    </w:p>
    <w:p w14:paraId="6B2CB4A1">
      <w:pPr>
        <w:spacing w:line="580" w:lineRule="exact"/>
        <w:ind w:firstLine="640"/>
        <w:jc w:val="both"/>
      </w:pPr>
      <w:r>
        <w:rPr>
          <w:rFonts w:ascii="仿宋_GB2312" w:hAnsi="仿宋_GB2312" w:eastAsia="仿宋_GB2312"/>
          <w:b/>
          <w:sz w:val="32"/>
        </w:rPr>
        <w:t>2024年度收入总计807.94万元，</w:t>
      </w:r>
      <w:r>
        <w:rPr>
          <w:rFonts w:ascii="仿宋_GB2312" w:hAnsi="仿宋_GB2312" w:eastAsia="仿宋_GB2312"/>
          <w:b w:val="0"/>
          <w:sz w:val="32"/>
        </w:rPr>
        <w:t>其中：本年收入合计807.94万元，使用非财政拨款结余（含专用结余）0.00万元，年初结转和结余0.00万元。</w:t>
      </w:r>
    </w:p>
    <w:p w14:paraId="36C8013E">
      <w:pPr>
        <w:spacing w:line="580" w:lineRule="exact"/>
        <w:ind w:firstLine="640"/>
        <w:jc w:val="both"/>
      </w:pPr>
      <w:r>
        <w:rPr>
          <w:rFonts w:ascii="仿宋_GB2312" w:hAnsi="仿宋_GB2312" w:eastAsia="仿宋_GB2312"/>
          <w:b/>
          <w:sz w:val="32"/>
        </w:rPr>
        <w:t>2024年度支出总计807.94万元，</w:t>
      </w:r>
      <w:r>
        <w:rPr>
          <w:rFonts w:ascii="仿宋_GB2312" w:hAnsi="仿宋_GB2312" w:eastAsia="仿宋_GB2312"/>
          <w:b w:val="0"/>
          <w:sz w:val="32"/>
        </w:rPr>
        <w:t>其中：本年支出合计799.20万元，结余分配0.00万元，年末结转和结余8.73万元。</w:t>
      </w:r>
    </w:p>
    <w:p w14:paraId="746D38C9">
      <w:pPr>
        <w:spacing w:line="580" w:lineRule="exact"/>
        <w:ind w:firstLine="640"/>
        <w:jc w:val="both"/>
      </w:pPr>
      <w:r>
        <w:rPr>
          <w:rFonts w:ascii="仿宋_GB2312" w:hAnsi="仿宋_GB2312" w:eastAsia="仿宋_GB2312"/>
          <w:b w:val="0"/>
          <w:sz w:val="32"/>
        </w:rPr>
        <w:t>收入支出总体与上年相比，减少223.77万元，下降21.69%，主要原因是：本年度门诊就诊人员减少，事业收入减少；减少结转结余人员经费，导致经费较上年减少。</w:t>
      </w:r>
    </w:p>
    <w:p w14:paraId="7B9FE219">
      <w:pPr>
        <w:spacing w:line="640" w:lineRule="exact"/>
        <w:ind w:firstLine="640"/>
        <w:jc w:val="both"/>
        <w:outlineLvl w:val="2"/>
      </w:pPr>
      <w:r>
        <w:rPr>
          <w:rFonts w:ascii="黑体" w:hAnsi="黑体" w:eastAsia="黑体"/>
          <w:sz w:val="32"/>
        </w:rPr>
        <w:t>二、收入决算情况说明</w:t>
      </w:r>
    </w:p>
    <w:p w14:paraId="419FD4CF">
      <w:pPr>
        <w:spacing w:line="580" w:lineRule="exact"/>
        <w:ind w:firstLine="640"/>
        <w:jc w:val="both"/>
      </w:pPr>
      <w:r>
        <w:rPr>
          <w:rFonts w:ascii="仿宋_GB2312" w:hAnsi="仿宋_GB2312" w:eastAsia="仿宋_GB2312"/>
          <w:b/>
          <w:sz w:val="32"/>
        </w:rPr>
        <w:t>本年收入807.94万元，</w:t>
      </w:r>
      <w:r>
        <w:rPr>
          <w:rFonts w:ascii="仿宋_GB2312" w:hAnsi="仿宋_GB2312" w:eastAsia="仿宋_GB2312"/>
          <w:b w:val="0"/>
          <w:sz w:val="32"/>
        </w:rPr>
        <w:t>其中：财政拨款收入733.12万元，占90.74%；上级补助收入0.00万元，占0.00%；事业收入57.47万元，占7.11%；经营收入0.00万元，占0.00%；附属单位上缴收入0.00万元，占0.00%；其他收入17.35万元，占2.15%。</w:t>
      </w:r>
    </w:p>
    <w:p w14:paraId="0DBA472D">
      <w:pPr>
        <w:spacing w:line="640" w:lineRule="exact"/>
        <w:ind w:firstLine="640"/>
        <w:jc w:val="both"/>
        <w:outlineLvl w:val="2"/>
      </w:pPr>
      <w:r>
        <w:rPr>
          <w:rFonts w:ascii="黑体" w:hAnsi="黑体" w:eastAsia="黑体"/>
          <w:sz w:val="32"/>
        </w:rPr>
        <w:t>三、支出决算情况说明</w:t>
      </w:r>
    </w:p>
    <w:p w14:paraId="6FEE8666">
      <w:pPr>
        <w:spacing w:line="580" w:lineRule="exact"/>
        <w:ind w:firstLine="640"/>
        <w:jc w:val="both"/>
      </w:pPr>
      <w:r>
        <w:rPr>
          <w:rFonts w:ascii="仿宋_GB2312" w:hAnsi="仿宋_GB2312" w:eastAsia="仿宋_GB2312"/>
          <w:b/>
          <w:sz w:val="32"/>
        </w:rPr>
        <w:t>本年支出799.20万元，</w:t>
      </w:r>
      <w:r>
        <w:rPr>
          <w:rFonts w:ascii="仿宋_GB2312" w:hAnsi="仿宋_GB2312" w:eastAsia="仿宋_GB2312"/>
          <w:b w:val="0"/>
          <w:sz w:val="32"/>
        </w:rPr>
        <w:t>其中：基本支出730.90万元，占91.45%；项目支出68.30万元，占8.55%；上缴上级支出0.00万元，占0.00%；经营支出0.00万元，占0.00%；对附属单位补助支出0.00万元，占0.00%。</w:t>
      </w:r>
    </w:p>
    <w:p w14:paraId="053ACED8">
      <w:pPr>
        <w:spacing w:line="640" w:lineRule="exact"/>
        <w:ind w:firstLine="640"/>
        <w:jc w:val="both"/>
        <w:outlineLvl w:val="2"/>
      </w:pPr>
      <w:r>
        <w:rPr>
          <w:rFonts w:ascii="黑体" w:hAnsi="黑体" w:eastAsia="黑体"/>
          <w:sz w:val="32"/>
        </w:rPr>
        <w:t>四、财政拨款收入支出决算总体情况说明</w:t>
      </w:r>
    </w:p>
    <w:p w14:paraId="7905E17E">
      <w:pPr>
        <w:spacing w:line="580" w:lineRule="exact"/>
        <w:ind w:firstLine="640"/>
        <w:jc w:val="both"/>
      </w:pPr>
      <w:r>
        <w:rPr>
          <w:rFonts w:ascii="仿宋_GB2312" w:hAnsi="仿宋_GB2312" w:eastAsia="仿宋_GB2312"/>
          <w:b/>
          <w:sz w:val="32"/>
        </w:rPr>
        <w:t>2024年度财政拨款收入总计733.12万元，</w:t>
      </w:r>
      <w:r>
        <w:rPr>
          <w:rFonts w:ascii="仿宋_GB2312" w:hAnsi="仿宋_GB2312" w:eastAsia="仿宋_GB2312"/>
          <w:b w:val="0"/>
          <w:sz w:val="32"/>
        </w:rPr>
        <w:t>其中：年初财政拨款结转和结余0.00万元，本年财政拨款收入733.12万元。</w:t>
      </w:r>
      <w:r>
        <w:rPr>
          <w:rFonts w:ascii="仿宋_GB2312" w:hAnsi="仿宋_GB2312" w:eastAsia="仿宋_GB2312"/>
          <w:b/>
          <w:sz w:val="32"/>
        </w:rPr>
        <w:t>财政拨款支出总计733.12万元，</w:t>
      </w:r>
      <w:r>
        <w:rPr>
          <w:rFonts w:ascii="仿宋_GB2312" w:hAnsi="仿宋_GB2312" w:eastAsia="仿宋_GB2312"/>
          <w:b w:val="0"/>
          <w:sz w:val="32"/>
        </w:rPr>
        <w:t>其中：年末财政拨款结转和结余0.00万元，本年财政拨款支出733.12万元。</w:t>
      </w:r>
    </w:p>
    <w:p w14:paraId="26DFE9A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增加51.66万元，增长7.58%，主要原因是：本年在职人员工资调增，社保、公积金基数调增，人员经费增加；退休死亡1人，死亡抚恤金增加；增加城镇妇女“两癌”疾病筛查项目。</w:t>
      </w:r>
      <w:r>
        <w:rPr>
          <w:rFonts w:ascii="仿宋_GB2312" w:hAnsi="仿宋_GB2312" w:eastAsia="仿宋_GB2312"/>
          <w:b/>
          <w:sz w:val="32"/>
        </w:rPr>
        <w:t>与年初预算相比，</w:t>
      </w:r>
      <w:r>
        <w:rPr>
          <w:rFonts w:ascii="仿宋_GB2312" w:hAnsi="仿宋_GB2312" w:eastAsia="仿宋_GB2312"/>
          <w:b w:val="0"/>
          <w:sz w:val="32"/>
        </w:rPr>
        <w:t>年初预算数669.29万元，决算数733.12万元，预决算差异率9.54%，主要原因是：年中追加中央、自治区基本公共卫生服务补助资金、中央重大传染病补助资金等，导致预决算存在差异。</w:t>
      </w:r>
    </w:p>
    <w:p w14:paraId="3B328D4F">
      <w:pPr>
        <w:spacing w:line="640" w:lineRule="exact"/>
        <w:ind w:firstLine="640"/>
        <w:jc w:val="both"/>
        <w:outlineLvl w:val="2"/>
      </w:pPr>
      <w:r>
        <w:rPr>
          <w:rFonts w:ascii="黑体" w:hAnsi="黑体" w:eastAsia="黑体"/>
          <w:sz w:val="32"/>
        </w:rPr>
        <w:t>五、一般公共预算财政拨款支出决算情况说明</w:t>
      </w:r>
    </w:p>
    <w:p w14:paraId="0B719C06">
      <w:pPr>
        <w:spacing w:line="640" w:lineRule="exact"/>
        <w:ind w:firstLine="640"/>
        <w:jc w:val="both"/>
        <w:outlineLvl w:val="3"/>
      </w:pPr>
      <w:r>
        <w:rPr>
          <w:rFonts w:ascii="楷体_GB2312" w:hAnsi="楷体_GB2312" w:eastAsia="楷体_GB2312"/>
          <w:b/>
          <w:sz w:val="32"/>
        </w:rPr>
        <w:t>（一）一般公共预算财政拨款支出决算总体情况</w:t>
      </w:r>
    </w:p>
    <w:p w14:paraId="002E962E">
      <w:pPr>
        <w:spacing w:line="580" w:lineRule="exact"/>
        <w:ind w:firstLine="640"/>
        <w:jc w:val="both"/>
      </w:pPr>
      <w:r>
        <w:rPr>
          <w:rFonts w:ascii="仿宋_GB2312" w:hAnsi="仿宋_GB2312" w:eastAsia="仿宋_GB2312"/>
          <w:b/>
          <w:sz w:val="32"/>
        </w:rPr>
        <w:t>2024年度一般公共预算财政拨款支出729.12万元，</w:t>
      </w:r>
      <w:r>
        <w:rPr>
          <w:rFonts w:ascii="仿宋_GB2312" w:hAnsi="仿宋_GB2312" w:eastAsia="仿宋_GB2312"/>
          <w:b w:val="0"/>
          <w:sz w:val="32"/>
        </w:rPr>
        <w:t>占本年支出合计的91.23%。</w:t>
      </w:r>
      <w:r>
        <w:rPr>
          <w:rFonts w:ascii="仿宋_GB2312" w:hAnsi="仿宋_GB2312" w:eastAsia="仿宋_GB2312"/>
          <w:b/>
          <w:sz w:val="32"/>
        </w:rPr>
        <w:t>与上年相比，</w:t>
      </w:r>
      <w:r>
        <w:rPr>
          <w:rFonts w:ascii="仿宋_GB2312" w:hAnsi="仿宋_GB2312" w:eastAsia="仿宋_GB2312"/>
          <w:b w:val="0"/>
          <w:sz w:val="32"/>
        </w:rPr>
        <w:t>增加47.66万元，增长6.99%，主要原因是：本年在职人员工资调增，社保、公积金基数调增，人员经费增加。退休死亡1人，死亡抚恤金增加。</w:t>
      </w:r>
      <w:r>
        <w:rPr>
          <w:rFonts w:ascii="仿宋_GB2312" w:hAnsi="仿宋_GB2312" w:eastAsia="仿宋_GB2312"/>
          <w:b/>
          <w:sz w:val="32"/>
        </w:rPr>
        <w:t>与年初预算相比,</w:t>
      </w:r>
      <w:r>
        <w:rPr>
          <w:rFonts w:ascii="仿宋_GB2312" w:hAnsi="仿宋_GB2312" w:eastAsia="仿宋_GB2312"/>
          <w:b w:val="0"/>
          <w:sz w:val="32"/>
        </w:rPr>
        <w:t>年初预算数665.29万元，决算数729.12万元，预决算差异率9.59%，主要原因是：年中追加中央、自治区基本公共卫生服务补助资金、中央重大传染病补助资金等，导致预决算存在差异。</w:t>
      </w:r>
    </w:p>
    <w:p w14:paraId="5A5DE0B7">
      <w:pPr>
        <w:spacing w:line="640" w:lineRule="exact"/>
        <w:ind w:firstLine="640"/>
        <w:jc w:val="both"/>
        <w:outlineLvl w:val="3"/>
      </w:pPr>
      <w:r>
        <w:rPr>
          <w:rFonts w:ascii="楷体_GB2312" w:hAnsi="楷体_GB2312" w:eastAsia="楷体_GB2312"/>
          <w:b/>
          <w:sz w:val="32"/>
        </w:rPr>
        <w:t>（二）一般公共预算财政拨款支出决算结构情况</w:t>
      </w:r>
    </w:p>
    <w:p w14:paraId="76E85BB3">
      <w:pPr>
        <w:spacing w:line="580" w:lineRule="exact"/>
        <w:ind w:firstLine="640"/>
        <w:jc w:val="both"/>
      </w:pPr>
      <w:r>
        <w:rPr>
          <w:rFonts w:ascii="仿宋_GB2312" w:hAnsi="仿宋_GB2312" w:eastAsia="仿宋_GB2312"/>
          <w:b w:val="0"/>
          <w:sz w:val="32"/>
        </w:rPr>
        <w:t>1.科学技术支出(类)0.83万元,占0.11%。</w:t>
      </w:r>
    </w:p>
    <w:p w14:paraId="50F6451A">
      <w:pPr>
        <w:spacing w:line="580" w:lineRule="exact"/>
        <w:ind w:firstLine="640"/>
        <w:jc w:val="both"/>
      </w:pPr>
      <w:r>
        <w:rPr>
          <w:rFonts w:ascii="仿宋_GB2312" w:hAnsi="仿宋_GB2312" w:eastAsia="仿宋_GB2312"/>
          <w:b w:val="0"/>
          <w:sz w:val="32"/>
        </w:rPr>
        <w:t>2.社会保障和就业支出(类)129.57万元,占17.77%。</w:t>
      </w:r>
    </w:p>
    <w:p w14:paraId="70C39408">
      <w:pPr>
        <w:spacing w:line="580" w:lineRule="exact"/>
        <w:ind w:firstLine="640"/>
        <w:jc w:val="both"/>
      </w:pPr>
      <w:r>
        <w:rPr>
          <w:rFonts w:ascii="仿宋_GB2312" w:hAnsi="仿宋_GB2312" w:eastAsia="仿宋_GB2312"/>
          <w:b w:val="0"/>
          <w:sz w:val="32"/>
        </w:rPr>
        <w:t>3.卫生健康支出(类)554.44万元,占76.04%。</w:t>
      </w:r>
    </w:p>
    <w:p w14:paraId="0ADB385E">
      <w:pPr>
        <w:spacing w:line="580" w:lineRule="exact"/>
        <w:ind w:firstLine="640"/>
        <w:jc w:val="both"/>
      </w:pPr>
      <w:r>
        <w:rPr>
          <w:rFonts w:ascii="仿宋_GB2312" w:hAnsi="仿宋_GB2312" w:eastAsia="仿宋_GB2312"/>
          <w:b w:val="0"/>
          <w:sz w:val="32"/>
        </w:rPr>
        <w:t>4.住房保障支出(类)44.27万元,占6.07%。</w:t>
      </w:r>
    </w:p>
    <w:p w14:paraId="5D510243">
      <w:pPr>
        <w:spacing w:line="640" w:lineRule="exact"/>
        <w:ind w:firstLine="640"/>
        <w:jc w:val="both"/>
        <w:outlineLvl w:val="3"/>
      </w:pPr>
      <w:r>
        <w:rPr>
          <w:rFonts w:ascii="楷体_GB2312" w:hAnsi="楷体_GB2312" w:eastAsia="楷体_GB2312"/>
          <w:b/>
          <w:sz w:val="32"/>
        </w:rPr>
        <w:t>（三）一般公共预算财政拨款支出决算具体情况</w:t>
      </w:r>
    </w:p>
    <w:p w14:paraId="3461A656">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1.科学技术支出(类)科技条件与服务(款)其他科技条件与服务支出(项):支出决算数为0.83万元，比上年决算增加0.83万元，增长100.00%,主要原因是：本年度新增“北庭星火”人才经费。</w:t>
      </w:r>
    </w:p>
    <w:p w14:paraId="38B2D960">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31.84万元，比上年决算增加22.23万元，增长231.32%,主要原因是：本年科目调整，部分退休费上年在主款项，本年调整至此科目；退休人员增加，发放退休人员基础绩效，退休费支出增加；退休1人去世，发放死亡抚恤经费。</w:t>
      </w:r>
    </w:p>
    <w:p w14:paraId="5179534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56.21万元，比上年决算增加6.83万元，增长13.83%,主要原因是：本年在职人员工资基数调增，养老缴费基数上涨，相应支出增加。</w:t>
      </w:r>
    </w:p>
    <w:p w14:paraId="02F47A5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4.社会保障和就业支出(类)行政事业单位养老支出(款)机关事业单位职业年金缴费支出(项):支出决算数为41.53万元，比上年决算增加3.80万元，增长10.07%,主要原因是：本年新增退休人员，职业年金缴费支出增加。</w:t>
      </w:r>
    </w:p>
    <w:p w14:paraId="1DC94DA1">
      <w:pPr>
        <w:spacing w:line="580" w:lineRule="exact"/>
        <w:ind w:firstLine="640"/>
        <w:jc w:val="both"/>
      </w:pPr>
      <w:r>
        <w:rPr>
          <w:rFonts w:ascii="仿宋_GB2312" w:hAnsi="仿宋_GB2312" w:eastAsia="仿宋_GB2312"/>
          <w:b w:val="0"/>
          <w:sz w:val="32"/>
        </w:rPr>
        <w:t>5.卫生健康支出(类)公共卫生(款)妇幼保健机构(项):支出决算数为460.05万元，比上年决算增加11.01万元，增长2.45%,主要原因是：本年在职人员工资调增，相关人员经费增加。</w:t>
      </w:r>
    </w:p>
    <w:p w14:paraId="11432A13">
      <w:pPr>
        <w:spacing w:line="580" w:lineRule="exact"/>
        <w:ind w:firstLine="640"/>
        <w:jc w:val="both"/>
      </w:pPr>
      <w:r>
        <w:rPr>
          <w:rFonts w:ascii="仿宋_GB2312" w:hAnsi="仿宋_GB2312" w:eastAsia="仿宋_GB2312"/>
          <w:b w:val="0"/>
          <w:sz w:val="32"/>
        </w:rPr>
        <w:t>6.卫生健康支出(类)公共卫生(款)基本公共卫生服务(项):支出决算数为36.00万元，比上年决算增加2.00万元，增长5.88%,主要原因是：本年增加中央、自治区基本公共卫生服务补助资金。</w:t>
      </w:r>
    </w:p>
    <w:p w14:paraId="6AE592AF">
      <w:pPr>
        <w:spacing w:line="580" w:lineRule="exact"/>
        <w:ind w:firstLine="640"/>
        <w:jc w:val="both"/>
      </w:pPr>
      <w:r>
        <w:rPr>
          <w:rFonts w:ascii="仿宋_GB2312" w:hAnsi="仿宋_GB2312" w:eastAsia="仿宋_GB2312"/>
          <w:b w:val="0"/>
          <w:sz w:val="32"/>
        </w:rPr>
        <w:t>7.卫生健康支出(类)公共卫生(款)重大公共卫生服务(项):支出决算数为10.00万元，比上年决算增加0.80万元，增长8.70%,主要原因是：本年增加中央重大传染病补助资金。</w:t>
      </w:r>
    </w:p>
    <w:p w14:paraId="365913AB">
      <w:pPr>
        <w:spacing w:line="580" w:lineRule="exact"/>
        <w:ind w:firstLine="640"/>
        <w:jc w:val="both"/>
      </w:pPr>
      <w:r>
        <w:rPr>
          <w:rFonts w:ascii="仿宋_GB2312" w:hAnsi="仿宋_GB2312" w:eastAsia="仿宋_GB2312"/>
          <w:b w:val="0"/>
          <w:sz w:val="32"/>
        </w:rPr>
        <w:t>8.卫生健康支出(类)计划生育事务(款)计划生育服务(项):支出决算数为18.30万元，比上年决算减少6.10万元，下降25.00%,主要原因是：本年减少计生免费技术服务补助资金。</w:t>
      </w:r>
    </w:p>
    <w:p w14:paraId="27C801F1">
      <w:pPr>
        <w:spacing w:line="580" w:lineRule="exact"/>
        <w:ind w:firstLine="640"/>
        <w:jc w:val="both"/>
      </w:pPr>
      <w:r>
        <w:rPr>
          <w:rFonts w:ascii="仿宋_GB2312" w:hAnsi="仿宋_GB2312" w:eastAsia="仿宋_GB2312"/>
          <w:b w:val="0"/>
          <w:sz w:val="32"/>
        </w:rPr>
        <w:t>9.卫生健康支出(类)行政事业单位医疗(款)事业单位医疗(项):支出决算数为28.32万元，比上年决算增加2.08万元，增长7.93%,主要原因是：本年在职人员工资基数调增，医疗缴费基数上涨，相应支出增加。</w:t>
      </w:r>
    </w:p>
    <w:p w14:paraId="191EFE79">
      <w:pPr>
        <w:spacing w:line="580" w:lineRule="exact"/>
        <w:ind w:firstLine="640"/>
        <w:jc w:val="both"/>
      </w:pPr>
      <w:r>
        <w:rPr>
          <w:rFonts w:ascii="仿宋_GB2312" w:hAnsi="仿宋_GB2312" w:eastAsia="仿宋_GB2312"/>
          <w:b w:val="0"/>
          <w:sz w:val="32"/>
        </w:rPr>
        <w:t>10.卫生健康支出(类)行政事业单位医疗(款)公务员医疗补助(项):支出决算数为1.77万元，比上年决算增加0.09万元，增长5.36%,主要原因是：本年在职人员工资基数调增，医疗缴费基数上涨，公务员医疗补助较上年增加。</w:t>
      </w:r>
    </w:p>
    <w:p w14:paraId="1651826C">
      <w:pPr>
        <w:spacing w:line="580" w:lineRule="exact"/>
        <w:ind w:firstLine="640"/>
        <w:jc w:val="both"/>
      </w:pPr>
      <w:r>
        <w:rPr>
          <w:rFonts w:ascii="仿宋_GB2312" w:hAnsi="仿宋_GB2312" w:eastAsia="仿宋_GB2312"/>
          <w:b w:val="0"/>
          <w:sz w:val="32"/>
        </w:rPr>
        <w:t>11.住房保障支出(类)住房改革支出(款)住房公积金(项):支出决算数为44.27万元，比上年决算增加4.07万元，增长10.12%,主要原因是：本年在职人员工资基数调增，公积金缴费基数上涨，相应支出增加。</w:t>
      </w:r>
    </w:p>
    <w:p w14:paraId="6164DB4A">
      <w:pPr>
        <w:spacing w:line="640" w:lineRule="exact"/>
        <w:ind w:firstLine="640"/>
        <w:jc w:val="both"/>
        <w:outlineLvl w:val="2"/>
      </w:pPr>
      <w:r>
        <w:rPr>
          <w:rFonts w:ascii="黑体" w:hAnsi="黑体" w:eastAsia="黑体"/>
          <w:sz w:val="32"/>
        </w:rPr>
        <w:t>六、一般公共预算财政拨款基本支出决算情况说明</w:t>
      </w:r>
    </w:p>
    <w:p w14:paraId="606277EE">
      <w:pPr>
        <w:spacing w:line="580" w:lineRule="exact"/>
        <w:ind w:firstLine="640"/>
        <w:jc w:val="both"/>
      </w:pPr>
      <w:r>
        <w:rPr>
          <w:rFonts w:ascii="仿宋_GB2312" w:hAnsi="仿宋_GB2312" w:eastAsia="仿宋_GB2312"/>
          <w:b w:val="0"/>
          <w:sz w:val="32"/>
        </w:rPr>
        <w:t>2024年度一般公共预算财政拨款基本支出664.82万元，其中：</w:t>
      </w:r>
      <w:r>
        <w:rPr>
          <w:rFonts w:ascii="仿宋_GB2312" w:hAnsi="仿宋_GB2312" w:eastAsia="仿宋_GB2312"/>
          <w:b/>
          <w:sz w:val="32"/>
        </w:rPr>
        <w:t>人员经费615.86万元，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其他对个人和家庭的补助。</w:t>
      </w:r>
    </w:p>
    <w:p w14:paraId="2ABFB05F">
      <w:pPr>
        <w:spacing w:line="580" w:lineRule="exact"/>
        <w:ind w:firstLine="640"/>
        <w:jc w:val="both"/>
      </w:pPr>
      <w:r>
        <w:rPr>
          <w:rFonts w:ascii="仿宋_GB2312" w:hAnsi="仿宋_GB2312" w:eastAsia="仿宋_GB2312"/>
          <w:b/>
          <w:sz w:val="32"/>
        </w:rPr>
        <w:t>公用经费48.95万元，</w:t>
      </w:r>
      <w:r>
        <w:rPr>
          <w:rFonts w:ascii="仿宋_GB2312" w:hAnsi="仿宋_GB2312" w:eastAsia="仿宋_GB2312"/>
          <w:b w:val="0"/>
          <w:sz w:val="32"/>
        </w:rPr>
        <w:t>包括：办公费、印刷费、水费、电费、邮电费、取暖费、差旅费、培训费、专用材料费、工会经费、公务用车运行维护费、其他商品和服务支出、办公设备购置。</w:t>
      </w:r>
    </w:p>
    <w:p w14:paraId="76A1A3E4">
      <w:pPr>
        <w:spacing w:line="640" w:lineRule="exact"/>
        <w:ind w:firstLine="640"/>
        <w:jc w:val="both"/>
        <w:outlineLvl w:val="2"/>
      </w:pPr>
      <w:r>
        <w:rPr>
          <w:rFonts w:ascii="黑体" w:hAnsi="黑体" w:eastAsia="黑体"/>
          <w:sz w:val="32"/>
        </w:rPr>
        <w:t>七、政府性基金预算财政拨款收入支出决算情况说明</w:t>
      </w:r>
    </w:p>
    <w:p w14:paraId="5AF979DB">
      <w:pPr>
        <w:spacing w:line="580" w:lineRule="exact"/>
        <w:ind w:firstLine="640"/>
        <w:jc w:val="both"/>
      </w:pPr>
      <w:r>
        <w:rPr>
          <w:rFonts w:ascii="仿宋_GB2312" w:hAnsi="仿宋_GB2312" w:eastAsia="仿宋_GB2312"/>
          <w:b/>
          <w:sz w:val="32"/>
        </w:rPr>
        <w:t>2024年度政府性基金预算财政拨款收入总计4.00万元，</w:t>
      </w:r>
      <w:r>
        <w:rPr>
          <w:rFonts w:ascii="仿宋_GB2312" w:hAnsi="仿宋_GB2312" w:eastAsia="仿宋_GB2312"/>
          <w:b w:val="0"/>
          <w:sz w:val="32"/>
        </w:rPr>
        <w:t>其中：年初结转和结余0.00万元，本年收入4.00万元。</w:t>
      </w:r>
      <w:r>
        <w:rPr>
          <w:rFonts w:ascii="仿宋_GB2312" w:hAnsi="仿宋_GB2312" w:eastAsia="仿宋_GB2312"/>
          <w:b/>
          <w:sz w:val="32"/>
        </w:rPr>
        <w:t>政府性基金预算财政拨款支出总计4.00万元，</w:t>
      </w:r>
      <w:r>
        <w:rPr>
          <w:rFonts w:ascii="仿宋_GB2312" w:hAnsi="仿宋_GB2312" w:eastAsia="仿宋_GB2312"/>
          <w:b w:val="0"/>
          <w:sz w:val="32"/>
        </w:rPr>
        <w:t>其中：年末结转和结余0.00万元，本年支出4.00万元。</w:t>
      </w:r>
    </w:p>
    <w:p w14:paraId="3A798FF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增加4.00万元，增长100.00%，主要原因是：本年新增城镇妇女“两癌”疾病筛查项目。</w:t>
      </w:r>
      <w:r>
        <w:rPr>
          <w:rFonts w:ascii="仿宋_GB2312" w:hAnsi="仿宋_GB2312" w:eastAsia="仿宋_GB2312"/>
          <w:b/>
          <w:sz w:val="32"/>
        </w:rPr>
        <w:t>与年初预算相比，</w:t>
      </w:r>
      <w:r>
        <w:rPr>
          <w:rFonts w:ascii="仿宋_GB2312" w:hAnsi="仿宋_GB2312" w:eastAsia="仿宋_GB2312"/>
          <w:b w:val="0"/>
          <w:sz w:val="32"/>
        </w:rPr>
        <w:t>年初预算数4.00万元，决算数4.00万元，预决算差异率0.00%，主要原因是：严格按照预算执行，预决算无差异。</w:t>
      </w:r>
    </w:p>
    <w:p w14:paraId="3FF2F99B">
      <w:pPr>
        <w:spacing w:line="580" w:lineRule="exact"/>
        <w:ind w:firstLine="640"/>
        <w:jc w:val="both"/>
      </w:pPr>
      <w:r>
        <w:rPr>
          <w:rFonts w:ascii="仿宋_GB2312" w:hAnsi="仿宋_GB2312" w:eastAsia="仿宋_GB2312"/>
          <w:b w:val="0"/>
          <w:sz w:val="32"/>
        </w:rPr>
        <w:t>政府性基金预算财政拨款支出4.00万元。</w:t>
      </w:r>
    </w:p>
    <w:p w14:paraId="7A846343">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1.其他支出(类)彩票公益金安排的支出(款)用于城乡医疗救助的彩票公益金支出(项):支出决算数为4.00万元，比上年决算增加4.00万元，增长100.00%,主要原因是：本年新增城镇妇女“两癌”疾病筛查项目。</w:t>
      </w:r>
    </w:p>
    <w:p w14:paraId="6D0F5B5E">
      <w:pPr>
        <w:spacing w:line="640" w:lineRule="exact"/>
        <w:ind w:firstLine="640"/>
        <w:jc w:val="both"/>
        <w:outlineLvl w:val="2"/>
      </w:pPr>
      <w:r>
        <w:rPr>
          <w:rFonts w:ascii="黑体" w:hAnsi="黑体" w:eastAsia="黑体"/>
          <w:sz w:val="32"/>
        </w:rPr>
        <w:t>八、国有资本经营预算财政拨款收入支出决算情况说明</w:t>
      </w:r>
    </w:p>
    <w:p w14:paraId="12BDEE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AC96FF">
      <w:pPr>
        <w:spacing w:line="640" w:lineRule="exact"/>
        <w:ind w:firstLine="640"/>
        <w:jc w:val="both"/>
        <w:outlineLvl w:val="2"/>
      </w:pPr>
      <w:r>
        <w:rPr>
          <w:rFonts w:ascii="黑体" w:hAnsi="黑体" w:eastAsia="黑体"/>
          <w:sz w:val="32"/>
        </w:rPr>
        <w:t>九、财政拨款“三公”经费支出决算情况说明</w:t>
      </w:r>
    </w:p>
    <w:p w14:paraId="63E92948">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C7DB968">
      <w:pPr>
        <w:spacing w:line="580" w:lineRule="exact"/>
        <w:ind w:firstLine="640"/>
        <w:jc w:val="both"/>
      </w:pPr>
      <w:r>
        <w:rPr>
          <w:rFonts w:ascii="仿宋_GB2312" w:hAnsi="仿宋_GB2312" w:eastAsia="仿宋_GB2312"/>
          <w:b/>
          <w:sz w:val="32"/>
        </w:rPr>
        <w:t>具体情况如下：</w:t>
      </w:r>
    </w:p>
    <w:p w14:paraId="2BC5EBC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B577EA">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公务用车购置数0辆，公务用车保有量3辆。国有资产占用情况中固定资产车辆3辆，与公务用车保有量差异原因是：本单位固定资产车辆与公务用车保有量一致无差异。</w:t>
      </w:r>
    </w:p>
    <w:p w14:paraId="02F79E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DADE7D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28A8CFAA">
      <w:pPr>
        <w:spacing w:line="640" w:lineRule="exact"/>
        <w:ind w:firstLine="640"/>
        <w:jc w:val="both"/>
        <w:outlineLvl w:val="2"/>
      </w:pPr>
      <w:r>
        <w:rPr>
          <w:rFonts w:ascii="黑体" w:hAnsi="黑体" w:eastAsia="黑体"/>
          <w:sz w:val="32"/>
        </w:rPr>
        <w:t>十、其他重要事项的情况说明</w:t>
      </w:r>
    </w:p>
    <w:p w14:paraId="51A2CD0D">
      <w:pPr>
        <w:spacing w:line="640" w:lineRule="exact"/>
        <w:ind w:firstLine="640"/>
        <w:jc w:val="both"/>
        <w:outlineLvl w:val="3"/>
      </w:pPr>
      <w:r>
        <w:rPr>
          <w:rFonts w:ascii="楷体_GB2312" w:hAnsi="楷体_GB2312" w:eastAsia="楷体_GB2312"/>
          <w:b/>
          <w:sz w:val="32"/>
        </w:rPr>
        <w:t>（一）机关运行经费及公用经费支出情况</w:t>
      </w:r>
    </w:p>
    <w:p w14:paraId="27847E00">
      <w:pPr>
        <w:spacing w:line="580" w:lineRule="exact"/>
        <w:ind w:firstLine="640"/>
        <w:jc w:val="both"/>
      </w:pPr>
      <w:r>
        <w:rPr>
          <w:rFonts w:ascii="仿宋_GB2312" w:hAnsi="仿宋_GB2312" w:eastAsia="仿宋_GB2312"/>
          <w:b w:val="0"/>
          <w:sz w:val="32"/>
        </w:rPr>
        <w:t>2024年度吉木萨尔县妇幼保健院（事业单位）公用经费支出48.95万元，比上年增加6.81万元，增长16.16%，主要原因是：本年更新、维护补充办公用品，导致公用经费较上年增加。</w:t>
      </w:r>
    </w:p>
    <w:p w14:paraId="60EA40E2">
      <w:pPr>
        <w:spacing w:line="640" w:lineRule="exact"/>
        <w:ind w:firstLine="640"/>
        <w:jc w:val="both"/>
        <w:outlineLvl w:val="3"/>
      </w:pPr>
      <w:r>
        <w:rPr>
          <w:rFonts w:ascii="楷体_GB2312" w:hAnsi="楷体_GB2312" w:eastAsia="楷体_GB2312"/>
          <w:b/>
          <w:sz w:val="32"/>
        </w:rPr>
        <w:t>（二）政府采购情况</w:t>
      </w:r>
      <w:bookmarkStart w:id="0" w:name="_GoBack"/>
      <w:bookmarkEnd w:id="0"/>
    </w:p>
    <w:p w14:paraId="3795DF87">
      <w:pPr>
        <w:spacing w:line="580" w:lineRule="exact"/>
        <w:ind w:firstLine="640"/>
        <w:jc w:val="both"/>
      </w:pPr>
      <w:r>
        <w:rPr>
          <w:rFonts w:ascii="仿宋_GB2312" w:hAnsi="仿宋_GB2312" w:eastAsia="仿宋_GB2312"/>
          <w:b w:val="0"/>
          <w:sz w:val="32"/>
        </w:rPr>
        <w:t>2024年度政府采购支出总额6.29万元，其中：政府采购货物支出3.79万元、政府采购工程支出0.00万元、政府采购服务支出2.50万元。</w:t>
      </w:r>
    </w:p>
    <w:p w14:paraId="6FD9DA20">
      <w:pPr>
        <w:spacing w:line="580" w:lineRule="exact"/>
        <w:ind w:firstLine="640"/>
        <w:jc w:val="both"/>
      </w:pPr>
      <w:r>
        <w:rPr>
          <w:rFonts w:ascii="仿宋_GB2312" w:hAnsi="仿宋_GB2312" w:eastAsia="仿宋_GB2312"/>
          <w:b w:val="0"/>
          <w:sz w:val="32"/>
        </w:rPr>
        <w:t>授予中小企业合同金额4.94万元，占政府采购支出总额的78.54%，其中：授予小微企业合同金额4.94万元，占政府采购支出总额的78.54%。</w:t>
      </w:r>
    </w:p>
    <w:p w14:paraId="77E6DD2E">
      <w:pPr>
        <w:spacing w:line="640" w:lineRule="exact"/>
        <w:ind w:firstLine="640"/>
        <w:jc w:val="both"/>
        <w:outlineLvl w:val="3"/>
      </w:pPr>
      <w:r>
        <w:rPr>
          <w:rFonts w:ascii="楷体_GB2312" w:hAnsi="楷体_GB2312" w:eastAsia="楷体_GB2312"/>
          <w:b/>
          <w:sz w:val="32"/>
        </w:rPr>
        <w:t>（三）国有资产占用情况说明</w:t>
      </w:r>
    </w:p>
    <w:p w14:paraId="09550F82">
      <w:pPr>
        <w:spacing w:line="580" w:lineRule="exact"/>
        <w:ind w:firstLine="640"/>
        <w:jc w:val="both"/>
      </w:pPr>
      <w:r>
        <w:rPr>
          <w:rFonts w:ascii="仿宋_GB2312" w:hAnsi="仿宋_GB2312" w:eastAsia="仿宋_GB2312"/>
          <w:b w:val="0"/>
          <w:sz w:val="32"/>
        </w:rPr>
        <w:t>截至2024年12月31日，房屋1,878.00平方米，价值303.35万元。车辆3辆，价值58.38万元，其中：副部（省）级及以上领导用车0辆、主要负责人用车0辆、机要通信用车0辆、应急保障用车0辆、执法执勤用车0辆、特种专业技术用车0辆、离退休干部服务用车0辆、其他用车3辆，其他用车主要是：免费技术下乡服务、业务指导考核、“两癌”筛查的业务用车。单价100万元（含）以上设备（不含车辆）0台（套）。</w:t>
      </w:r>
    </w:p>
    <w:p w14:paraId="4D96DB02">
      <w:pPr>
        <w:spacing w:line="640" w:lineRule="exact"/>
        <w:ind w:firstLine="640"/>
        <w:jc w:val="both"/>
        <w:outlineLvl w:val="2"/>
      </w:pPr>
      <w:r>
        <w:rPr>
          <w:rFonts w:ascii="黑体" w:hAnsi="黑体" w:eastAsia="黑体"/>
          <w:sz w:val="32"/>
        </w:rPr>
        <w:t>十一、预算绩效的情况说明</w:t>
      </w:r>
    </w:p>
    <w:p w14:paraId="06DE5A8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807.94万元，实际执行总额799.20万元；预算绩效评价项目3个，全年预算数49.20万元，全年执行数49.20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对照二级妇幼保健院设置标准，妇幼卫生专业技术人员匮乏，特别是高级专科医生数量有限，制约了妇幼卫生事业服务深度和广度的拓展。人才培养和引进工作不到位，专科建设培养周期较长。二是医院名医名科室严重缺乏，现有保健科室已不能满足就医群体需求，致使高效保健服务</w:t>
      </w:r>
      <w:r>
        <w:rPr>
          <w:rFonts w:hint="eastAsia" w:ascii="仿宋_GB2312" w:hAnsi="仿宋_GB2312" w:eastAsia="仿宋_GB2312"/>
          <w:b w:val="0"/>
          <w:sz w:val="32"/>
          <w:lang w:eastAsia="zh-CN"/>
        </w:rPr>
        <w:t>跟不上</w:t>
      </w:r>
      <w:r>
        <w:rPr>
          <w:rFonts w:ascii="仿宋_GB2312" w:hAnsi="仿宋_GB2312" w:eastAsia="仿宋_GB2312"/>
          <w:b w:val="0"/>
          <w:sz w:val="32"/>
        </w:rPr>
        <w:t>。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w:t>
      </w:r>
    </w:p>
    <w:p w14:paraId="0C1AFF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227E6D">
        <w:tblPrEx>
          <w:tblCellMar>
            <w:top w:w="0" w:type="dxa"/>
            <w:left w:w="108" w:type="dxa"/>
            <w:bottom w:w="0" w:type="dxa"/>
            <w:right w:w="108" w:type="dxa"/>
          </w:tblCellMar>
        </w:tblPrEx>
        <w:tc>
          <w:tcPr>
            <w:tcW w:w="8847" w:type="dxa"/>
            <w:gridSpan w:val="9"/>
            <w:vAlign w:val="center"/>
          </w:tcPr>
          <w:p w14:paraId="7F9AA023">
            <w:pPr>
              <w:jc w:val="center"/>
            </w:pPr>
            <w:r>
              <w:rPr>
                <w:rFonts w:ascii="宋体" w:hAnsi="宋体" w:eastAsia="宋体"/>
                <w:sz w:val="24"/>
              </w:rPr>
              <w:t>单位整体支出绩效自评表</w:t>
            </w:r>
          </w:p>
        </w:tc>
      </w:tr>
      <w:tr w14:paraId="6C949CAA">
        <w:tblPrEx>
          <w:tblCellMar>
            <w:top w:w="0" w:type="dxa"/>
            <w:left w:w="108" w:type="dxa"/>
            <w:bottom w:w="0" w:type="dxa"/>
            <w:right w:w="108" w:type="dxa"/>
          </w:tblCellMar>
        </w:tblPrEx>
        <w:tc>
          <w:tcPr>
            <w:tcW w:w="8847" w:type="dxa"/>
            <w:gridSpan w:val="9"/>
            <w:vAlign w:val="center"/>
          </w:tcPr>
          <w:p w14:paraId="26CD95D8">
            <w:pPr>
              <w:jc w:val="center"/>
            </w:pPr>
            <w:r>
              <w:rPr>
                <w:rFonts w:ascii="宋体" w:hAnsi="宋体" w:eastAsia="宋体"/>
                <w:sz w:val="24"/>
              </w:rPr>
              <w:t>（2024年度）</w:t>
            </w:r>
          </w:p>
        </w:tc>
      </w:tr>
      <w:tr w14:paraId="477BF8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B7C0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F32624">
            <w:pPr>
              <w:jc w:val="center"/>
            </w:pPr>
            <w:r>
              <w:rPr>
                <w:rFonts w:ascii="宋体" w:hAnsi="宋体" w:eastAsia="宋体"/>
                <w:sz w:val="16"/>
              </w:rPr>
              <w:t>吉木萨尔县妇幼保健院</w:t>
            </w:r>
          </w:p>
        </w:tc>
      </w:tr>
      <w:tr w14:paraId="029263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C8FB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D987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C58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81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5F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3F1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2D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AB41">
            <w:pPr>
              <w:jc w:val="center"/>
            </w:pPr>
            <w:r>
              <w:rPr>
                <w:rFonts w:ascii="宋体" w:hAnsi="宋体" w:eastAsia="宋体"/>
                <w:sz w:val="16"/>
              </w:rPr>
              <w:t>得分</w:t>
            </w:r>
          </w:p>
        </w:tc>
      </w:tr>
      <w:tr w14:paraId="212A5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683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AA6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681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A80B">
            <w:pPr>
              <w:jc w:val="center"/>
            </w:pPr>
            <w:r>
              <w:rPr>
                <w:rFonts w:ascii="宋体" w:hAnsi="宋体" w:eastAsia="宋体"/>
                <w:sz w:val="16"/>
              </w:rPr>
              <w:t>64.30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DE67">
            <w:pPr>
              <w:jc w:val="center"/>
            </w:pPr>
            <w:r>
              <w:rPr>
                <w:rFonts w:ascii="宋体" w:hAnsi="宋体" w:eastAsia="宋体"/>
                <w:sz w:val="16"/>
              </w:rPr>
              <w:t>64.30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064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668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3741">
            <w:pPr>
              <w:jc w:val="center"/>
            </w:pPr>
            <w:r>
              <w:rPr>
                <w:rFonts w:ascii="宋体" w:hAnsi="宋体" w:eastAsia="宋体"/>
                <w:sz w:val="16"/>
              </w:rPr>
              <w:t>-</w:t>
            </w:r>
          </w:p>
        </w:tc>
      </w:tr>
      <w:tr w14:paraId="13627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F61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653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2E81">
            <w:pPr>
              <w:jc w:val="center"/>
            </w:pPr>
            <w:r>
              <w:rPr>
                <w:rFonts w:ascii="宋体" w:hAnsi="宋体" w:eastAsia="宋体"/>
                <w:sz w:val="16"/>
              </w:rPr>
              <w:t>669.29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A4B96">
            <w:pPr>
              <w:jc w:val="center"/>
            </w:pPr>
            <w:r>
              <w:rPr>
                <w:rFonts w:ascii="宋体" w:hAnsi="宋体" w:eastAsia="宋体"/>
                <w:sz w:val="16"/>
              </w:rPr>
              <w:t>743.64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1E20">
            <w:pPr>
              <w:jc w:val="center"/>
            </w:pPr>
            <w:r>
              <w:rPr>
                <w:rFonts w:ascii="宋体" w:hAnsi="宋体" w:eastAsia="宋体"/>
                <w:sz w:val="16"/>
              </w:rPr>
              <w:t>734.90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E79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5C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3B86C">
            <w:pPr>
              <w:jc w:val="center"/>
            </w:pPr>
            <w:r>
              <w:rPr>
                <w:rFonts w:ascii="宋体" w:hAnsi="宋体" w:eastAsia="宋体"/>
                <w:sz w:val="16"/>
              </w:rPr>
              <w:t>-</w:t>
            </w:r>
          </w:p>
        </w:tc>
      </w:tr>
      <w:tr w14:paraId="15DD5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A8D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12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30227">
            <w:pPr>
              <w:jc w:val="center"/>
            </w:pPr>
            <w:r>
              <w:rPr>
                <w:rFonts w:ascii="宋体" w:hAnsi="宋体" w:eastAsia="宋体"/>
                <w:sz w:val="16"/>
              </w:rPr>
              <w:t>41.09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194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318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12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C1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0EC11">
            <w:pPr>
              <w:jc w:val="center"/>
            </w:pPr>
            <w:r>
              <w:rPr>
                <w:rFonts w:ascii="宋体" w:hAnsi="宋体" w:eastAsia="宋体"/>
                <w:sz w:val="16"/>
              </w:rPr>
              <w:t>-</w:t>
            </w:r>
          </w:p>
        </w:tc>
      </w:tr>
      <w:tr w14:paraId="77737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392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D4D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D021">
            <w:pPr>
              <w:jc w:val="center"/>
            </w:pPr>
            <w:r>
              <w:rPr>
                <w:rFonts w:ascii="宋体" w:hAnsi="宋体" w:eastAsia="宋体"/>
                <w:sz w:val="16"/>
              </w:rPr>
              <w:t>710.38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004CE">
            <w:pPr>
              <w:jc w:val="center"/>
            </w:pPr>
            <w:r>
              <w:rPr>
                <w:rFonts w:ascii="宋体" w:hAnsi="宋体" w:eastAsia="宋体"/>
                <w:sz w:val="16"/>
              </w:rPr>
              <w:t>807.94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5F2E">
            <w:pPr>
              <w:jc w:val="center"/>
            </w:pPr>
            <w:r>
              <w:rPr>
                <w:rFonts w:ascii="宋体" w:hAnsi="宋体" w:eastAsia="宋体"/>
                <w:sz w:val="16"/>
              </w:rPr>
              <w:t>799.20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3C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5E796">
            <w:pPr>
              <w:jc w:val="center"/>
            </w:pPr>
            <w:r>
              <w:rPr>
                <w:rFonts w:ascii="宋体" w:hAnsi="宋体" w:eastAsia="宋体"/>
                <w:sz w:val="16"/>
              </w:rPr>
              <w:t>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F25A">
            <w:pPr>
              <w:jc w:val="center"/>
            </w:pPr>
            <w:r>
              <w:rPr>
                <w:rFonts w:ascii="宋体" w:hAnsi="宋体" w:eastAsia="宋体"/>
                <w:sz w:val="16"/>
              </w:rPr>
              <w:t>9.89</w:t>
            </w:r>
          </w:p>
        </w:tc>
      </w:tr>
      <w:tr w14:paraId="12C778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28BD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836E4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B6CBA1">
            <w:pPr>
              <w:jc w:val="center"/>
            </w:pPr>
            <w:r>
              <w:rPr>
                <w:rFonts w:ascii="宋体" w:hAnsi="宋体" w:eastAsia="宋体"/>
                <w:sz w:val="16"/>
              </w:rPr>
              <w:t>实际完成情况</w:t>
            </w:r>
          </w:p>
        </w:tc>
      </w:tr>
      <w:tr w14:paraId="57C56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29E1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90C100">
            <w:pPr>
              <w:jc w:val="both"/>
            </w:pPr>
            <w:r>
              <w:rPr>
                <w:rFonts w:ascii="宋体" w:hAnsi="宋体" w:eastAsia="宋体"/>
                <w:sz w:val="16"/>
              </w:rPr>
              <w:t>贯彻落实《</w:t>
            </w:r>
            <w:r>
              <w:rPr>
                <w:rFonts w:hint="eastAsia" w:ascii="宋体" w:hAnsi="宋体"/>
                <w:sz w:val="16"/>
                <w:lang w:eastAsia="zh-CN"/>
              </w:rPr>
              <w:t>中华人民共和国母婴保健法</w:t>
            </w:r>
            <w:r>
              <w:rPr>
                <w:rFonts w:ascii="宋体" w:hAnsi="宋体" w:eastAsia="宋体"/>
                <w:sz w:val="16"/>
              </w:rPr>
              <w:t>》，为本辖区妇女儿童提供围产保健、妇女保健、儿童保健等妇幼保健指导与服务、婚检和妇女儿童常见病预防、助产技术服务等；承担计划宣传教育、技术服务、优生指导、避孕药具</w:t>
            </w:r>
            <w:r>
              <w:rPr>
                <w:rFonts w:hint="eastAsia" w:ascii="宋体" w:hAnsi="宋体"/>
                <w:sz w:val="16"/>
                <w:lang w:eastAsia="zh-CN"/>
              </w:rPr>
              <w:t>管理</w:t>
            </w:r>
            <w:r>
              <w:rPr>
                <w:rFonts w:ascii="宋体" w:hAnsi="宋体" w:eastAsia="宋体"/>
                <w:sz w:val="16"/>
              </w:rPr>
              <w:t>服务、再生育咨询服务等。本年度绩效目标为一.保障单位在职人员和退休人员、编外人员的工资、奖金、绩效、社会保险缴费、住房公积金正常发放和缴纳。二.确保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2C730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全年预算数为807.94万元，全年执行数为799.20万元,预算执行率为98.92%，主要完成以下内容：</w:t>
            </w:r>
            <w:r>
              <w:rPr>
                <w:rFonts w:hint="eastAsia" w:ascii="宋体" w:hAnsi="宋体"/>
                <w:sz w:val="16"/>
                <w:lang w:eastAsia="zh-CN"/>
              </w:rPr>
              <w:t>本单位</w:t>
            </w:r>
            <w:r>
              <w:rPr>
                <w:rFonts w:ascii="宋体" w:hAnsi="宋体" w:eastAsia="宋体"/>
                <w:sz w:val="16"/>
              </w:rPr>
              <w:t>2024年贯彻落实《</w:t>
            </w:r>
            <w:r>
              <w:rPr>
                <w:rFonts w:hint="eastAsia" w:ascii="宋体" w:hAnsi="宋体"/>
                <w:sz w:val="16"/>
                <w:lang w:eastAsia="zh-CN"/>
              </w:rPr>
              <w:t>中华人民共和国母婴保健法</w:t>
            </w:r>
            <w:r>
              <w:rPr>
                <w:rFonts w:ascii="宋体" w:hAnsi="宋体" w:eastAsia="宋体"/>
                <w:sz w:val="16"/>
              </w:rPr>
              <w:t>》，完成为本辖区妇女儿童提供围产保健、妇女保健、儿童保健等妇幼保健指导与服务、婚检和妇女儿童常见病预防、助产技术服务等；完成计划宣传教育、技术服务、优生指导、避孕药具</w:t>
            </w:r>
            <w:r>
              <w:rPr>
                <w:rFonts w:hint="eastAsia" w:ascii="宋体" w:hAnsi="宋体"/>
                <w:sz w:val="16"/>
                <w:lang w:eastAsia="zh-CN"/>
              </w:rPr>
              <w:t>管理</w:t>
            </w:r>
            <w:r>
              <w:rPr>
                <w:rFonts w:ascii="宋体" w:hAnsi="宋体" w:eastAsia="宋体"/>
                <w:sz w:val="16"/>
              </w:rPr>
              <w:t>服务、再生育咨询服务等。完成单位在职人员和退休人员、编外人员的工资、奖金、绩效、社会保险缴费、住房公积金正常发放和缴纳。确保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w:t>
            </w:r>
          </w:p>
        </w:tc>
      </w:tr>
      <w:tr w14:paraId="4624C9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34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81A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BD4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EDE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53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66D4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F92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EC14">
            <w:pPr>
              <w:jc w:val="center"/>
            </w:pPr>
            <w:r>
              <w:rPr>
                <w:rFonts w:ascii="宋体" w:hAnsi="宋体" w:eastAsia="宋体"/>
                <w:sz w:val="16"/>
              </w:rPr>
              <w:t>得分</w:t>
            </w:r>
          </w:p>
        </w:tc>
      </w:tr>
      <w:tr w14:paraId="4CADB1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222A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DB48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8E3E5">
            <w:pPr>
              <w:jc w:val="center"/>
            </w:pPr>
            <w:r>
              <w:rPr>
                <w:rFonts w:ascii="宋体" w:hAnsi="宋体" w:eastAsia="宋体"/>
                <w:sz w:val="16"/>
              </w:rPr>
              <w:t>开展健康知识讲座、免费体检次数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0343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11772">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550A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D10D0">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CCE4F">
            <w:pPr>
              <w:jc w:val="center"/>
            </w:pPr>
            <w:r>
              <w:rPr>
                <w:rFonts w:ascii="宋体" w:hAnsi="宋体" w:eastAsia="宋体"/>
                <w:sz w:val="16"/>
              </w:rPr>
              <w:t>12</w:t>
            </w:r>
          </w:p>
        </w:tc>
      </w:tr>
      <w:tr w14:paraId="159E22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1F4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C6B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DB266">
            <w:pPr>
              <w:jc w:val="center"/>
            </w:pPr>
            <w:r>
              <w:rPr>
                <w:rFonts w:ascii="宋体" w:hAnsi="宋体" w:eastAsia="宋体"/>
                <w:sz w:val="16"/>
              </w:rPr>
              <w:t>降低新生儿死亡率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9241A">
            <w:pPr>
              <w:jc w:val="center"/>
            </w:pPr>
            <w:r>
              <w:rPr>
                <w:rFonts w:ascii="宋体" w:hAnsi="宋体" w:eastAsia="宋体"/>
                <w:sz w:val="16"/>
              </w:rPr>
              <w:t>&lt;=5‰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3367">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2180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DEC4D">
            <w:pPr>
              <w:jc w:val="center"/>
            </w:pPr>
            <w:r>
              <w:rPr>
                <w:rFonts w:ascii="宋体" w:hAnsi="宋体" w:eastAsia="宋体"/>
                <w:sz w:val="16"/>
              </w:rPr>
              <w:t>=2.57‰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2399E">
            <w:pPr>
              <w:jc w:val="center"/>
            </w:pPr>
            <w:r>
              <w:rPr>
                <w:rFonts w:ascii="宋体" w:hAnsi="宋体" w:eastAsia="宋体"/>
                <w:sz w:val="16"/>
              </w:rPr>
              <w:t>12</w:t>
            </w:r>
          </w:p>
        </w:tc>
      </w:tr>
      <w:tr w14:paraId="64F2A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EB9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EBA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7EED4">
            <w:pPr>
              <w:jc w:val="center"/>
            </w:pPr>
            <w:r>
              <w:rPr>
                <w:rFonts w:ascii="宋体" w:hAnsi="宋体" w:eastAsia="宋体"/>
                <w:sz w:val="16"/>
              </w:rPr>
              <w:t>控制婴儿死亡率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44E7C">
            <w:pPr>
              <w:jc w:val="center"/>
            </w:pPr>
            <w:r>
              <w:rPr>
                <w:rFonts w:ascii="宋体" w:hAnsi="宋体" w:eastAsia="宋体"/>
                <w:sz w:val="16"/>
              </w:rPr>
              <w:t>&lt;=5‰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CD09">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76E2">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470E1">
            <w:pPr>
              <w:jc w:val="center"/>
            </w:pPr>
            <w:r>
              <w:rPr>
                <w:rFonts w:ascii="宋体" w:hAnsi="宋体" w:eastAsia="宋体"/>
                <w:sz w:val="16"/>
              </w:rPr>
              <w:t>=2.57‰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8700">
            <w:pPr>
              <w:jc w:val="center"/>
            </w:pPr>
            <w:r>
              <w:rPr>
                <w:rFonts w:ascii="宋体" w:hAnsi="宋体" w:eastAsia="宋体"/>
                <w:sz w:val="16"/>
              </w:rPr>
              <w:t>11</w:t>
            </w:r>
          </w:p>
        </w:tc>
      </w:tr>
      <w:tr w14:paraId="278BC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704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7B3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7F13">
            <w:pPr>
              <w:jc w:val="center"/>
            </w:pPr>
            <w:r>
              <w:rPr>
                <w:rFonts w:ascii="宋体" w:hAnsi="宋体" w:eastAsia="宋体"/>
                <w:sz w:val="16"/>
              </w:rPr>
              <w:t>两系管理率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C8BC">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2EE5">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FF71">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07D83">
            <w:pPr>
              <w:jc w:val="center"/>
            </w:pPr>
            <w:r>
              <w:rPr>
                <w:rFonts w:ascii="宋体" w:hAnsi="宋体" w:eastAsia="宋体"/>
                <w:sz w:val="16"/>
              </w:rPr>
              <w:t>=92.03%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EE8F7">
            <w:pPr>
              <w:jc w:val="center"/>
            </w:pPr>
            <w:r>
              <w:rPr>
                <w:rFonts w:ascii="宋体" w:hAnsi="宋体" w:eastAsia="宋体"/>
                <w:sz w:val="16"/>
              </w:rPr>
              <w:t>14</w:t>
            </w:r>
          </w:p>
        </w:tc>
      </w:tr>
      <w:tr w14:paraId="49093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9D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21F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AF2C">
            <w:pPr>
              <w:jc w:val="center"/>
            </w:pPr>
            <w:r>
              <w:rPr>
                <w:rFonts w:ascii="宋体" w:hAnsi="宋体" w:eastAsia="宋体"/>
                <w:sz w:val="16"/>
              </w:rPr>
              <w:t>控制5岁以下儿童死亡率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23C65">
            <w:pPr>
              <w:jc w:val="center"/>
            </w:pPr>
            <w:r>
              <w:rPr>
                <w:rFonts w:ascii="宋体" w:hAnsi="宋体" w:eastAsia="宋体"/>
                <w:sz w:val="16"/>
              </w:rPr>
              <w:t>&lt;=6‰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0FA3D">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6AB7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86FA8">
            <w:pPr>
              <w:jc w:val="center"/>
            </w:pPr>
            <w:r>
              <w:rPr>
                <w:rFonts w:ascii="宋体" w:hAnsi="宋体" w:eastAsia="宋体"/>
                <w:sz w:val="16"/>
              </w:rPr>
              <w:t>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4197">
            <w:pPr>
              <w:jc w:val="center"/>
            </w:pPr>
            <w:r>
              <w:rPr>
                <w:rFonts w:ascii="宋体" w:hAnsi="宋体" w:eastAsia="宋体"/>
                <w:sz w:val="16"/>
              </w:rPr>
              <w:t>15</w:t>
            </w:r>
          </w:p>
        </w:tc>
      </w:tr>
      <w:tr w14:paraId="596B75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F9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998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CBC2">
            <w:pPr>
              <w:jc w:val="center"/>
            </w:pPr>
            <w:r>
              <w:rPr>
                <w:rFonts w:ascii="宋体" w:hAnsi="宋体" w:eastAsia="宋体"/>
                <w:sz w:val="16"/>
              </w:rPr>
              <w:t>出生缺陷覆盖率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BEC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15A2F">
            <w:pPr>
              <w:jc w:val="center"/>
            </w:pPr>
            <w:r>
              <w:rPr>
                <w:rFonts w:ascii="宋体" w:hAnsi="宋体" w:eastAsia="宋体"/>
                <w:sz w:val="16"/>
              </w:rPr>
              <w:t>2023年工作总结及2034年工作计划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D687">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52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AF8C">
            <w:pPr>
              <w:jc w:val="center"/>
            </w:pPr>
            <w:r>
              <w:rPr>
                <w:rFonts w:ascii="宋体" w:hAnsi="宋体" w:eastAsia="宋体"/>
                <w:sz w:val="16"/>
              </w:rPr>
              <w:t>13</w:t>
            </w:r>
          </w:p>
        </w:tc>
      </w:tr>
      <w:tr w14:paraId="2D0A0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CE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9AA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0169">
            <w:pPr>
              <w:jc w:val="center"/>
            </w:pPr>
            <w:r>
              <w:rPr>
                <w:rFonts w:ascii="宋体" w:hAnsi="宋体" w:eastAsia="宋体"/>
                <w:sz w:val="16"/>
              </w:rPr>
              <w:t>开展青春期健康知识宣讲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07C7">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4BB97">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79991">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8666D">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C4B2">
            <w:pPr>
              <w:jc w:val="center"/>
            </w:pPr>
            <w:r>
              <w:rPr>
                <w:rFonts w:ascii="宋体" w:hAnsi="宋体" w:eastAsia="宋体"/>
                <w:sz w:val="16"/>
              </w:rPr>
              <w:t>13</w:t>
            </w:r>
          </w:p>
        </w:tc>
      </w:tr>
    </w:tbl>
    <w:p w14:paraId="072654E6">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19"/>
        <w:gridCol w:w="776"/>
        <w:gridCol w:w="856"/>
        <w:gridCol w:w="625"/>
        <w:gridCol w:w="631"/>
        <w:gridCol w:w="613"/>
        <w:gridCol w:w="613"/>
        <w:gridCol w:w="613"/>
        <w:gridCol w:w="619"/>
        <w:gridCol w:w="631"/>
      </w:tblGrid>
      <w:tr w14:paraId="1714E15D">
        <w:tblPrEx>
          <w:tblCellMar>
            <w:top w:w="0" w:type="dxa"/>
            <w:left w:w="108" w:type="dxa"/>
            <w:bottom w:w="0" w:type="dxa"/>
            <w:right w:w="108" w:type="dxa"/>
          </w:tblCellMar>
        </w:tblPrEx>
        <w:tc>
          <w:tcPr>
            <w:tcW w:w="8848" w:type="dxa"/>
            <w:gridSpan w:val="14"/>
            <w:vAlign w:val="center"/>
          </w:tcPr>
          <w:p w14:paraId="7B93DA8F">
            <w:pPr>
              <w:jc w:val="center"/>
            </w:pPr>
            <w:r>
              <w:rPr>
                <w:rFonts w:ascii="宋体" w:hAnsi="宋体" w:eastAsia="宋体"/>
                <w:sz w:val="24"/>
              </w:rPr>
              <w:t>项目支出绩效自评表</w:t>
            </w:r>
          </w:p>
        </w:tc>
      </w:tr>
      <w:tr w14:paraId="5F1FA183">
        <w:tblPrEx>
          <w:tblCellMar>
            <w:top w:w="0" w:type="dxa"/>
            <w:left w:w="108" w:type="dxa"/>
            <w:bottom w:w="0" w:type="dxa"/>
            <w:right w:w="108" w:type="dxa"/>
          </w:tblCellMar>
        </w:tblPrEx>
        <w:tc>
          <w:tcPr>
            <w:tcW w:w="8848" w:type="dxa"/>
            <w:gridSpan w:val="14"/>
            <w:vAlign w:val="center"/>
          </w:tcPr>
          <w:p w14:paraId="4AA6063F">
            <w:pPr>
              <w:jc w:val="center"/>
            </w:pPr>
            <w:r>
              <w:rPr>
                <w:rFonts w:ascii="宋体" w:hAnsi="宋体" w:eastAsia="宋体"/>
                <w:sz w:val="24"/>
              </w:rPr>
              <w:t>(2024年度)</w:t>
            </w:r>
          </w:p>
        </w:tc>
      </w:tr>
      <w:tr w14:paraId="27AB6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7C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38CF44">
            <w:pPr>
              <w:jc w:val="center"/>
            </w:pPr>
            <w:r>
              <w:rPr>
                <w:rFonts w:ascii="宋体" w:hAnsi="宋体" w:eastAsia="宋体"/>
                <w:sz w:val="16"/>
              </w:rPr>
              <w:t>2024年提前下达中央基本公共卫生服务补助资金</w:t>
            </w:r>
          </w:p>
        </w:tc>
      </w:tr>
      <w:tr w14:paraId="7715D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5F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83DBA">
            <w:pPr>
              <w:jc w:val="center"/>
            </w:pPr>
            <w:r>
              <w:rPr>
                <w:rFonts w:hint="eastAsia" w:ascii="宋体" w:hAnsi="宋体" w:eastAsia="宋体"/>
                <w:sz w:val="16"/>
              </w:rPr>
              <w:t>吉木萨尔县人民医院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1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9D23E1">
            <w:pPr>
              <w:jc w:val="center"/>
            </w:pPr>
            <w:r>
              <w:rPr>
                <w:rFonts w:ascii="宋体" w:hAnsi="宋体" w:eastAsia="宋体"/>
                <w:sz w:val="16"/>
              </w:rPr>
              <w:t>吉木萨尔县妇幼保健院</w:t>
            </w:r>
          </w:p>
        </w:tc>
      </w:tr>
      <w:tr w14:paraId="35F0EA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FBFC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40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CB4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16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93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CF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B2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2E61">
            <w:pPr>
              <w:jc w:val="center"/>
            </w:pPr>
            <w:r>
              <w:rPr>
                <w:rFonts w:ascii="宋体" w:hAnsi="宋体" w:eastAsia="宋体"/>
                <w:sz w:val="16"/>
              </w:rPr>
              <w:t>得分</w:t>
            </w:r>
          </w:p>
        </w:tc>
      </w:tr>
      <w:tr w14:paraId="1EABF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F91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F52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47427">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7B5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DF62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8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B41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EB33">
            <w:pPr>
              <w:jc w:val="center"/>
            </w:pPr>
            <w:r>
              <w:rPr>
                <w:rFonts w:ascii="宋体" w:hAnsi="宋体" w:eastAsia="宋体"/>
                <w:sz w:val="16"/>
              </w:rPr>
              <w:t>10.00</w:t>
            </w:r>
          </w:p>
        </w:tc>
      </w:tr>
      <w:tr w14:paraId="28883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F0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79C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AB0CD">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174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73A8A">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39A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DA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E8BE">
            <w:pPr>
              <w:jc w:val="center"/>
            </w:pPr>
            <w:r>
              <w:rPr>
                <w:rFonts w:ascii="宋体" w:hAnsi="宋体" w:eastAsia="宋体"/>
                <w:sz w:val="16"/>
              </w:rPr>
              <w:t>—</w:t>
            </w:r>
          </w:p>
        </w:tc>
      </w:tr>
      <w:tr w14:paraId="39EF9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4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8E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2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A89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5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C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05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4A06">
            <w:pPr>
              <w:jc w:val="center"/>
            </w:pPr>
            <w:r>
              <w:rPr>
                <w:rFonts w:ascii="宋体" w:hAnsi="宋体" w:eastAsia="宋体"/>
                <w:sz w:val="16"/>
              </w:rPr>
              <w:t>—</w:t>
            </w:r>
          </w:p>
        </w:tc>
      </w:tr>
      <w:tr w14:paraId="1D7AB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C22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EAE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DABC8">
            <w:pPr>
              <w:jc w:val="center"/>
            </w:pPr>
            <w:r>
              <w:rPr>
                <w:rFonts w:ascii="宋体" w:hAnsi="宋体" w:eastAsia="宋体"/>
                <w:sz w:val="16"/>
              </w:rPr>
              <w:t>实际完成情况</w:t>
            </w:r>
          </w:p>
        </w:tc>
      </w:tr>
      <w:tr w14:paraId="405D3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E71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5B1ECF">
            <w:pPr>
              <w:jc w:val="both"/>
            </w:pPr>
            <w:r>
              <w:rPr>
                <w:rFonts w:ascii="宋体" w:hAnsi="宋体" w:eastAsia="宋体"/>
                <w:sz w:val="16"/>
              </w:rPr>
              <w:t>本项目主要内容为辖区内35-64岁农村适龄妇</w:t>
            </w:r>
            <w:r>
              <w:rPr>
                <w:rFonts w:hint="eastAsia" w:ascii="宋体" w:hAnsi="宋体"/>
                <w:sz w:val="16"/>
                <w:lang w:eastAsia="zh-CN"/>
              </w:rPr>
              <w:t>女开</w:t>
            </w:r>
            <w:r>
              <w:rPr>
                <w:rFonts w:ascii="宋体" w:hAnsi="宋体" w:eastAsia="宋体"/>
                <w:sz w:val="16"/>
              </w:rPr>
              <w:t>展3000人宫颈癌筛查及1100人农村适龄妇女乳腺癌检查，项目总投资为36万元。通过本项目实施，开展免费孕前优生检查夫妇人数300对。新生儿遗传代谢病筛查率≥90%；新生儿听力筛查率大于等于90%；对全县所有准备怀孕和孕早期3个月育龄妇女免费提供增补叶酸服务；目标人群叶酸服用率达到90%以上</w:t>
            </w:r>
            <w:r>
              <w:rPr>
                <w:rFonts w:hint="eastAsia" w:ascii="宋体" w:hAnsi="宋体"/>
                <w:sz w:val="16"/>
                <w:lang w:eastAsia="zh-CN"/>
              </w:rPr>
              <w:t>；</w:t>
            </w:r>
            <w:r>
              <w:rPr>
                <w:rFonts w:ascii="宋体" w:hAnsi="宋体" w:eastAsia="宋体"/>
                <w:sz w:val="16"/>
              </w:rPr>
              <w:t>开展妇幼健康业务指导培训4次。待项目实施完成，争取使受益群众满意度不低于90%。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A11AC">
            <w:pPr>
              <w:jc w:val="both"/>
            </w:pPr>
            <w:r>
              <w:rPr>
                <w:rFonts w:hint="eastAsia" w:ascii="宋体" w:hAnsi="宋体"/>
                <w:sz w:val="16"/>
                <w:lang w:eastAsia="zh-CN"/>
              </w:rPr>
              <w:t>截至2024</w:t>
            </w:r>
            <w:r>
              <w:rPr>
                <w:rFonts w:ascii="宋体" w:hAnsi="宋体" w:eastAsia="宋体"/>
                <w:sz w:val="16"/>
              </w:rPr>
              <w:t>年12月31日，本项目实际支出资金36万元，预算执行率100.00%；全年实际完成延续性宫颈癌检查3000人，完成率100%，乳腺癌检查1100人，完成率100%，开展妇幼健康业务指导培训和健康教育知识讲座及咨询活动2次，孕前优生检查任务数302对；基本公共卫生服务补助经费支出25.5万元，基本公共服务补助资金农村妇女福彩支出10.45万元；新生儿开展遗传代谢病筛查率达到106.72%，新生儿听力筛查率达到106.72%。</w:t>
            </w:r>
          </w:p>
        </w:tc>
      </w:tr>
      <w:tr w14:paraId="4B587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F07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6A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55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D7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82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FFC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CA1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1A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EC7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3A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BD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CA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F0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21C8">
            <w:pPr>
              <w:jc w:val="center"/>
            </w:pPr>
            <w:r>
              <w:rPr>
                <w:rFonts w:ascii="宋体" w:hAnsi="宋体" w:eastAsia="宋体"/>
                <w:sz w:val="16"/>
              </w:rPr>
              <w:t>偏差原因分析及改进措施</w:t>
            </w:r>
          </w:p>
        </w:tc>
      </w:tr>
      <w:tr w14:paraId="13B9D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05A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FD4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22C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8DA6">
            <w:pPr>
              <w:jc w:val="center"/>
            </w:pPr>
            <w:r>
              <w:rPr>
                <w:rFonts w:ascii="宋体" w:hAnsi="宋体" w:eastAsia="宋体"/>
                <w:sz w:val="16"/>
              </w:rPr>
              <w:t>开展妇幼健康业务指导培训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01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B23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61F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3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0F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6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9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6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F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623F">
            <w:pPr>
              <w:jc w:val="center"/>
            </w:pPr>
          </w:p>
        </w:tc>
      </w:tr>
      <w:tr w14:paraId="55E17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2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72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7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7BBE">
            <w:pPr>
              <w:jc w:val="center"/>
            </w:pPr>
            <w:r>
              <w:rPr>
                <w:rFonts w:ascii="宋体" w:hAnsi="宋体" w:eastAsia="宋体"/>
                <w:sz w:val="16"/>
              </w:rPr>
              <w:t>健康教育知识讲座及咨询活动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16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56C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6B0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4C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20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9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7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8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E617">
            <w:pPr>
              <w:jc w:val="center"/>
            </w:pPr>
          </w:p>
        </w:tc>
      </w:tr>
      <w:tr w14:paraId="2828B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4C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73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3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4E0E">
            <w:pPr>
              <w:jc w:val="center"/>
            </w:pPr>
            <w:r>
              <w:rPr>
                <w:rFonts w:ascii="宋体" w:hAnsi="宋体" w:eastAsia="宋体"/>
                <w:sz w:val="16"/>
              </w:rPr>
              <w:t>项目管理人员和专业技术工作人员开展培训工作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24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58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459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2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4C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975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2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5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1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066C">
            <w:pPr>
              <w:jc w:val="center"/>
            </w:pPr>
          </w:p>
        </w:tc>
      </w:tr>
      <w:tr w14:paraId="7FDE2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61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E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61E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359F">
            <w:pPr>
              <w:jc w:val="center"/>
            </w:pPr>
            <w:r>
              <w:rPr>
                <w:rFonts w:ascii="宋体" w:hAnsi="宋体" w:eastAsia="宋体"/>
                <w:sz w:val="16"/>
              </w:rPr>
              <w:t>完成宫颈癌筛查任务数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4D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E0A7">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9F5D">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5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D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966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A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D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B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0AD5">
            <w:pPr>
              <w:jc w:val="center"/>
            </w:pPr>
          </w:p>
        </w:tc>
      </w:tr>
      <w:tr w14:paraId="308AE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8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6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5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558E">
            <w:pPr>
              <w:jc w:val="center"/>
            </w:pPr>
            <w:r>
              <w:rPr>
                <w:rFonts w:ascii="宋体" w:hAnsi="宋体" w:eastAsia="宋体"/>
                <w:sz w:val="16"/>
              </w:rPr>
              <w:t>完成乳腺癌筛查任务数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1C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DCE0">
            <w:pPr>
              <w:jc w:val="center"/>
            </w:pPr>
            <w:r>
              <w:rPr>
                <w:rFonts w:ascii="宋体" w:hAnsi="宋体" w:eastAsia="宋体"/>
                <w:sz w:val="16"/>
              </w:rPr>
              <w:t>=1100人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5A78">
            <w:pPr>
              <w:jc w:val="center"/>
            </w:pPr>
            <w:r>
              <w:rPr>
                <w:rFonts w:ascii="宋体" w:hAnsi="宋体" w:eastAsia="宋体"/>
                <w:sz w:val="16"/>
              </w:rPr>
              <w:t>=1100人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E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BE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D78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4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71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7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D103">
            <w:pPr>
              <w:jc w:val="center"/>
            </w:pPr>
          </w:p>
        </w:tc>
      </w:tr>
      <w:tr w14:paraId="3DE74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4F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DF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9F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0F66">
            <w:pPr>
              <w:jc w:val="center"/>
            </w:pPr>
            <w:r>
              <w:rPr>
                <w:rFonts w:ascii="宋体" w:hAnsi="宋体" w:eastAsia="宋体"/>
                <w:sz w:val="16"/>
              </w:rPr>
              <w:t>完成免费孕前优生检查任务数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E3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8659">
            <w:pPr>
              <w:jc w:val="center"/>
            </w:pPr>
            <w:r>
              <w:rPr>
                <w:rFonts w:ascii="宋体" w:hAnsi="宋体" w:eastAsia="宋体"/>
                <w:sz w:val="16"/>
              </w:rPr>
              <w:t>=300对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7337">
            <w:pPr>
              <w:jc w:val="center"/>
            </w:pPr>
            <w:r>
              <w:rPr>
                <w:rFonts w:ascii="宋体" w:hAnsi="宋体" w:eastAsia="宋体"/>
                <w:sz w:val="16"/>
              </w:rPr>
              <w:t>=302对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7C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765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B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3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F808">
            <w:pPr>
              <w:jc w:val="center"/>
            </w:pPr>
          </w:p>
        </w:tc>
      </w:tr>
      <w:tr w14:paraId="1FE90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A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C9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D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583F">
            <w:pPr>
              <w:jc w:val="center"/>
            </w:pPr>
            <w:r>
              <w:rPr>
                <w:rFonts w:ascii="宋体" w:hAnsi="宋体" w:eastAsia="宋体"/>
                <w:sz w:val="16"/>
              </w:rPr>
              <w:t>完成免费发放叶酸任务数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4D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069F">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33AC">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3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A5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EF1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5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D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0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3BBD">
            <w:pPr>
              <w:jc w:val="center"/>
            </w:pPr>
          </w:p>
        </w:tc>
      </w:tr>
      <w:tr w14:paraId="5B379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BD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44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0F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7213">
            <w:pPr>
              <w:jc w:val="center"/>
            </w:pPr>
            <w:r>
              <w:rPr>
                <w:rFonts w:ascii="宋体" w:hAnsi="宋体" w:eastAsia="宋体"/>
                <w:sz w:val="16"/>
              </w:rPr>
              <w:t>项目实施时长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63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3CF0">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5294">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7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68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5F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9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4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5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8652">
            <w:pPr>
              <w:jc w:val="center"/>
            </w:pPr>
          </w:p>
        </w:tc>
      </w:tr>
      <w:tr w14:paraId="3E430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37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6A0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6A7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C4C5">
            <w:pPr>
              <w:jc w:val="center"/>
            </w:pPr>
            <w:r>
              <w:rPr>
                <w:rFonts w:ascii="宋体" w:hAnsi="宋体" w:eastAsia="宋体"/>
                <w:sz w:val="16"/>
              </w:rPr>
              <w:t>基本公共卫生服务补助经费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DC4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495A">
            <w:pPr>
              <w:jc w:val="center"/>
            </w:pPr>
            <w:r>
              <w:rPr>
                <w:rFonts w:ascii="宋体" w:hAnsi="宋体" w:eastAsia="宋体"/>
                <w:sz w:val="16"/>
              </w:rPr>
              <w:t>&lt;=25.50万元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A770">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E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F63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3F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8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4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6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D1CE">
            <w:pPr>
              <w:jc w:val="center"/>
            </w:pPr>
          </w:p>
        </w:tc>
      </w:tr>
      <w:tr w14:paraId="467AC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0C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67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A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65AB">
            <w:pPr>
              <w:jc w:val="center"/>
            </w:pPr>
            <w:r>
              <w:rPr>
                <w:rFonts w:ascii="宋体" w:hAnsi="宋体" w:eastAsia="宋体"/>
                <w:sz w:val="16"/>
              </w:rPr>
              <w:t>基本公共卫生服务补助资金农村妇女两癌检查项目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94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73CD">
            <w:pPr>
              <w:jc w:val="center"/>
            </w:pPr>
            <w:r>
              <w:rPr>
                <w:rFonts w:ascii="宋体" w:hAnsi="宋体" w:eastAsia="宋体"/>
                <w:sz w:val="16"/>
              </w:rPr>
              <w:t>&lt;=10.50万元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C280">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6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73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065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7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5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7C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59DA">
            <w:pPr>
              <w:jc w:val="center"/>
            </w:pPr>
          </w:p>
        </w:tc>
      </w:tr>
      <w:tr w14:paraId="3E9D1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3D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6CE0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CAE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054C">
            <w:pPr>
              <w:jc w:val="center"/>
            </w:pPr>
            <w:r>
              <w:rPr>
                <w:rFonts w:ascii="宋体" w:hAnsi="宋体" w:eastAsia="宋体"/>
                <w:sz w:val="16"/>
              </w:rPr>
              <w:t>新生儿遗传代谢疾病筛查率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79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18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579B">
            <w:pPr>
              <w:jc w:val="center"/>
            </w:pPr>
            <w:r>
              <w:rPr>
                <w:rFonts w:ascii="宋体" w:hAnsi="宋体" w:eastAsia="宋体"/>
                <w:sz w:val="16"/>
              </w:rPr>
              <w:t>=106.72%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8AD0">
            <w:pPr>
              <w:jc w:val="center"/>
            </w:pPr>
            <w:r>
              <w:rPr>
                <w:rFonts w:ascii="宋体" w:hAnsi="宋体" w:eastAsia="宋体"/>
                <w:sz w:val="16"/>
              </w:rPr>
              <w:t>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A054">
            <w:pPr>
              <w:jc w:val="center"/>
            </w:pPr>
            <w:r>
              <w:rPr>
                <w:rFonts w:ascii="宋体" w:hAnsi="宋体" w:eastAsia="宋体"/>
                <w:sz w:val="16"/>
              </w:rPr>
              <w:t>5.67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1C8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4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7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F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7CFE">
            <w:pPr>
              <w:jc w:val="center"/>
            </w:pPr>
            <w:r>
              <w:rPr>
                <w:rFonts w:ascii="宋体" w:hAnsi="宋体" w:eastAsia="宋体"/>
                <w:sz w:val="16"/>
              </w:rPr>
              <w:t>绩效指标是结合上一年数值设置，2024年实际开展新生儿监测人数较上一年多。导致超额完成目标。</w:t>
            </w:r>
          </w:p>
        </w:tc>
      </w:tr>
      <w:tr w14:paraId="1EE25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B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85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9D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D587">
            <w:pPr>
              <w:jc w:val="center"/>
            </w:pPr>
            <w:r>
              <w:rPr>
                <w:rFonts w:ascii="宋体" w:hAnsi="宋体" w:eastAsia="宋体"/>
                <w:sz w:val="16"/>
              </w:rPr>
              <w:t>新生儿听力筛查率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7B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D4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2621">
            <w:pPr>
              <w:jc w:val="center"/>
            </w:pPr>
            <w:r>
              <w:rPr>
                <w:rFonts w:ascii="宋体" w:hAnsi="宋体" w:eastAsia="宋体"/>
                <w:sz w:val="16"/>
              </w:rPr>
              <w:t>=106.72%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82DA">
            <w:pPr>
              <w:jc w:val="center"/>
            </w:pPr>
            <w:r>
              <w:rPr>
                <w:rFonts w:ascii="宋体" w:hAnsi="宋体" w:eastAsia="宋体"/>
                <w:sz w:val="16"/>
              </w:rPr>
              <w:t>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D882">
            <w:pPr>
              <w:jc w:val="center"/>
            </w:pPr>
            <w:r>
              <w:rPr>
                <w:rFonts w:ascii="宋体" w:hAnsi="宋体" w:eastAsia="宋体"/>
                <w:sz w:val="16"/>
              </w:rPr>
              <w:t>5.67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DD8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D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9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1A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4E10">
            <w:pPr>
              <w:jc w:val="center"/>
            </w:pPr>
            <w:r>
              <w:rPr>
                <w:rFonts w:ascii="宋体" w:hAnsi="宋体" w:eastAsia="宋体"/>
                <w:sz w:val="16"/>
              </w:rPr>
              <w:t>绩效指标是结合上一年数值设置，2024年实际开展新生儿监测人数较上一年多。导致超额完成目标。</w:t>
            </w:r>
          </w:p>
        </w:tc>
      </w:tr>
      <w:tr w14:paraId="344C4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B5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0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1F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415A">
            <w:pPr>
              <w:jc w:val="center"/>
            </w:pPr>
            <w:r>
              <w:rPr>
                <w:rFonts w:ascii="宋体" w:hAnsi="宋体" w:eastAsia="宋体"/>
                <w:sz w:val="16"/>
              </w:rPr>
              <w:t>新生儿先天性心脏病筛查率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7C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B93E">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A071">
            <w:pPr>
              <w:jc w:val="center"/>
            </w:pPr>
            <w:r>
              <w:rPr>
                <w:rFonts w:ascii="宋体" w:hAnsi="宋体" w:eastAsia="宋体"/>
                <w:sz w:val="16"/>
              </w:rPr>
              <w:t>=103.79%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CAE3">
            <w:pPr>
              <w:jc w:val="center"/>
            </w:pPr>
            <w:r>
              <w:rPr>
                <w:rFonts w:ascii="宋体" w:hAnsi="宋体" w:eastAsia="宋体"/>
                <w:sz w:val="16"/>
              </w:rPr>
              <w:t>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3C98">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42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5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1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E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E227">
            <w:pPr>
              <w:jc w:val="center"/>
            </w:pPr>
            <w:r>
              <w:rPr>
                <w:rFonts w:ascii="宋体" w:hAnsi="宋体" w:eastAsia="宋体"/>
                <w:sz w:val="16"/>
              </w:rPr>
              <w:t>绩效指标是结合上一年数值设置，2024年实际开展新生儿监测人数较上一年多。导致超额完成目标。</w:t>
            </w:r>
          </w:p>
        </w:tc>
      </w:tr>
      <w:tr w14:paraId="32F47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C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3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B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DB2B">
            <w:pPr>
              <w:jc w:val="center"/>
            </w:pPr>
            <w:r>
              <w:rPr>
                <w:rFonts w:ascii="宋体" w:hAnsi="宋体" w:eastAsia="宋体"/>
                <w:sz w:val="16"/>
              </w:rPr>
              <w:t>对检查异常/可疑病例的随访管理率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F6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82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BB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A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72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13D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1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2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5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8E8A">
            <w:pPr>
              <w:jc w:val="center"/>
            </w:pPr>
          </w:p>
        </w:tc>
      </w:tr>
      <w:tr w14:paraId="191AE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EC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F7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F8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579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6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A9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CC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8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7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33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0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2C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7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8164">
            <w:pPr>
              <w:jc w:val="center"/>
            </w:pPr>
          </w:p>
        </w:tc>
      </w:tr>
      <w:tr w14:paraId="05C307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B7E6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C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068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E6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4B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3B5A">
            <w:pPr>
              <w:jc w:val="center"/>
            </w:pPr>
            <w:r>
              <w:rPr>
                <w:rFonts w:ascii="宋体" w:hAnsi="宋体" w:eastAsia="宋体"/>
                <w:sz w:val="16"/>
              </w:rPr>
              <w:t>95.57分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65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7BD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B2F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8D5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368BB"/>
        </w:tc>
      </w:tr>
    </w:tbl>
    <w:p w14:paraId="0DE70C7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32"/>
        <w:gridCol w:w="632"/>
        <w:gridCol w:w="525"/>
        <w:gridCol w:w="803"/>
        <w:gridCol w:w="632"/>
        <w:gridCol w:w="632"/>
        <w:gridCol w:w="632"/>
        <w:gridCol w:w="632"/>
      </w:tblGrid>
      <w:tr w14:paraId="0735028B">
        <w:tblPrEx>
          <w:tblCellMar>
            <w:top w:w="0" w:type="dxa"/>
            <w:left w:w="108" w:type="dxa"/>
            <w:bottom w:w="0" w:type="dxa"/>
            <w:right w:w="108" w:type="dxa"/>
          </w:tblCellMar>
        </w:tblPrEx>
        <w:tc>
          <w:tcPr>
            <w:tcW w:w="8976" w:type="dxa"/>
            <w:gridSpan w:val="14"/>
            <w:vAlign w:val="center"/>
          </w:tcPr>
          <w:p w14:paraId="32E1DA13">
            <w:pPr>
              <w:jc w:val="center"/>
            </w:pPr>
            <w:r>
              <w:rPr>
                <w:rFonts w:ascii="宋体" w:hAnsi="宋体" w:eastAsia="宋体"/>
                <w:sz w:val="24"/>
              </w:rPr>
              <w:t>项目支出绩效自评表</w:t>
            </w:r>
          </w:p>
        </w:tc>
      </w:tr>
      <w:tr w14:paraId="4844124C">
        <w:tblPrEx>
          <w:tblCellMar>
            <w:top w:w="0" w:type="dxa"/>
            <w:left w:w="108" w:type="dxa"/>
            <w:bottom w:w="0" w:type="dxa"/>
            <w:right w:w="108" w:type="dxa"/>
          </w:tblCellMar>
        </w:tblPrEx>
        <w:tc>
          <w:tcPr>
            <w:tcW w:w="8976" w:type="dxa"/>
            <w:gridSpan w:val="14"/>
            <w:vAlign w:val="center"/>
          </w:tcPr>
          <w:p w14:paraId="18CD5D9F">
            <w:pPr>
              <w:jc w:val="center"/>
            </w:pPr>
            <w:r>
              <w:rPr>
                <w:rFonts w:ascii="宋体" w:hAnsi="宋体" w:eastAsia="宋体"/>
                <w:sz w:val="24"/>
              </w:rPr>
              <w:t>(2024年度)</w:t>
            </w:r>
          </w:p>
        </w:tc>
      </w:tr>
      <w:tr w14:paraId="7B4F9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1CFE">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41DF08">
            <w:pPr>
              <w:jc w:val="center"/>
            </w:pPr>
            <w:r>
              <w:rPr>
                <w:rFonts w:ascii="宋体" w:hAnsi="宋体" w:eastAsia="宋体"/>
                <w:sz w:val="16"/>
              </w:rPr>
              <w:t>2024年提前下达中央重大传</w:t>
            </w:r>
            <w:r>
              <w:rPr>
                <w:rFonts w:hint="eastAsia" w:ascii="宋体" w:hAnsi="宋体"/>
                <w:sz w:val="16"/>
                <w:lang w:eastAsia="zh-CN"/>
              </w:rPr>
              <w:t>染病</w:t>
            </w:r>
            <w:r>
              <w:rPr>
                <w:rFonts w:ascii="宋体" w:hAnsi="宋体" w:eastAsia="宋体"/>
                <w:sz w:val="16"/>
              </w:rPr>
              <w:t>补助资金</w:t>
            </w:r>
          </w:p>
        </w:tc>
      </w:tr>
      <w:tr w14:paraId="05685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F1F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1642F">
            <w:pPr>
              <w:jc w:val="center"/>
            </w:pPr>
            <w:r>
              <w:rPr>
                <w:rFonts w:hint="eastAsia" w:ascii="宋体" w:hAnsi="宋体" w:eastAsia="宋体"/>
                <w:sz w:val="16"/>
              </w:rPr>
              <w:t>吉木萨尔县人民医院</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BAF8368">
            <w:pPr>
              <w:jc w:val="center"/>
            </w:pPr>
            <w:r>
              <w:rPr>
                <w:rFonts w:ascii="宋体" w:hAnsi="宋体" w:eastAsia="宋体"/>
                <w:sz w:val="16"/>
              </w:rPr>
              <w:t>实施单位</w:t>
            </w:r>
          </w:p>
        </w:tc>
        <w:tc>
          <w:tcPr>
            <w:tcW w:w="33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2FC23">
            <w:pPr>
              <w:jc w:val="center"/>
            </w:pPr>
            <w:r>
              <w:rPr>
                <w:rFonts w:ascii="宋体" w:hAnsi="宋体" w:eastAsia="宋体"/>
                <w:sz w:val="16"/>
              </w:rPr>
              <w:t>吉木萨尔县妇幼保健院</w:t>
            </w:r>
          </w:p>
        </w:tc>
      </w:tr>
      <w:tr w14:paraId="4BD26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3A2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39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C981">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826A">
            <w:pPr>
              <w:jc w:val="center"/>
            </w:pPr>
            <w:r>
              <w:rPr>
                <w:rFonts w:ascii="宋体" w:hAnsi="宋体" w:eastAsia="宋体"/>
                <w:sz w:val="16"/>
              </w:rPr>
              <w:t>全年预算数</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24DB">
            <w:pPr>
              <w:jc w:val="center"/>
            </w:pPr>
            <w:r>
              <w:rPr>
                <w:rFonts w:ascii="宋体" w:hAnsi="宋体" w:eastAsia="宋体"/>
                <w:sz w:val="16"/>
              </w:rPr>
              <w:t>全年执行数</w:t>
            </w:r>
          </w:p>
        </w:tc>
        <w:tc>
          <w:tcPr>
            <w:tcW w:w="14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75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78C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EF7E">
            <w:pPr>
              <w:jc w:val="center"/>
            </w:pPr>
            <w:r>
              <w:rPr>
                <w:rFonts w:ascii="宋体" w:hAnsi="宋体" w:eastAsia="宋体"/>
                <w:sz w:val="16"/>
              </w:rPr>
              <w:t>得分</w:t>
            </w:r>
          </w:p>
        </w:tc>
      </w:tr>
      <w:tr w14:paraId="2E966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FA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33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A0C4">
            <w:pPr>
              <w:jc w:val="center"/>
            </w:pPr>
            <w:r>
              <w:rPr>
                <w:rFonts w:ascii="宋体" w:hAnsi="宋体" w:eastAsia="宋体"/>
                <w:sz w:val="16"/>
              </w:rPr>
              <w:t>9.20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CEEE">
            <w:pPr>
              <w:jc w:val="center"/>
            </w:pPr>
            <w:r>
              <w:rPr>
                <w:rFonts w:ascii="宋体" w:hAnsi="宋体" w:eastAsia="宋体"/>
                <w:sz w:val="16"/>
              </w:rPr>
              <w:t>9.20</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C779">
            <w:pPr>
              <w:jc w:val="center"/>
            </w:pPr>
            <w:r>
              <w:rPr>
                <w:rFonts w:ascii="宋体" w:hAnsi="宋体" w:eastAsia="宋体"/>
                <w:sz w:val="16"/>
              </w:rPr>
              <w:t>9.20</w:t>
            </w:r>
          </w:p>
        </w:tc>
        <w:tc>
          <w:tcPr>
            <w:tcW w:w="14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8BA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FC2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0248">
            <w:pPr>
              <w:jc w:val="center"/>
            </w:pPr>
            <w:r>
              <w:rPr>
                <w:rFonts w:ascii="宋体" w:hAnsi="宋体" w:eastAsia="宋体"/>
                <w:sz w:val="16"/>
              </w:rPr>
              <w:t>10.00</w:t>
            </w:r>
          </w:p>
        </w:tc>
      </w:tr>
      <w:tr w14:paraId="13373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508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08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24002">
            <w:pPr>
              <w:jc w:val="center"/>
            </w:pPr>
            <w:r>
              <w:rPr>
                <w:rFonts w:ascii="宋体" w:hAnsi="宋体" w:eastAsia="宋体"/>
                <w:sz w:val="16"/>
              </w:rPr>
              <w:t>9.20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9305F">
            <w:pPr>
              <w:jc w:val="center"/>
            </w:pPr>
            <w:r>
              <w:rPr>
                <w:rFonts w:ascii="宋体" w:hAnsi="宋体" w:eastAsia="宋体"/>
                <w:sz w:val="16"/>
              </w:rPr>
              <w:t>9.20</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E19E">
            <w:pPr>
              <w:jc w:val="center"/>
            </w:pPr>
            <w:r>
              <w:rPr>
                <w:rFonts w:ascii="宋体" w:hAnsi="宋体" w:eastAsia="宋体"/>
                <w:sz w:val="16"/>
              </w:rPr>
              <w:t>9.20</w:t>
            </w:r>
          </w:p>
        </w:tc>
        <w:tc>
          <w:tcPr>
            <w:tcW w:w="14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F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F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EECB">
            <w:pPr>
              <w:jc w:val="center"/>
            </w:pPr>
            <w:r>
              <w:rPr>
                <w:rFonts w:ascii="宋体" w:hAnsi="宋体" w:eastAsia="宋体"/>
                <w:sz w:val="16"/>
              </w:rPr>
              <w:t>—</w:t>
            </w:r>
          </w:p>
        </w:tc>
      </w:tr>
      <w:tr w14:paraId="3F43C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76D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9A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C5C1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95A1B">
            <w:pPr>
              <w:jc w:val="center"/>
            </w:pPr>
            <w:r>
              <w:rPr>
                <w:rFonts w:ascii="宋体" w:hAnsi="宋体" w:eastAsia="宋体"/>
                <w:sz w:val="16"/>
              </w:rPr>
              <w:t>0.00</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6A5E">
            <w:pPr>
              <w:jc w:val="center"/>
            </w:pPr>
            <w:r>
              <w:rPr>
                <w:rFonts w:ascii="宋体" w:hAnsi="宋体" w:eastAsia="宋体"/>
                <w:sz w:val="16"/>
              </w:rPr>
              <w:t>0.00</w:t>
            </w:r>
          </w:p>
        </w:tc>
        <w:tc>
          <w:tcPr>
            <w:tcW w:w="14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B1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7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88CB">
            <w:pPr>
              <w:jc w:val="center"/>
            </w:pPr>
            <w:r>
              <w:rPr>
                <w:rFonts w:ascii="宋体" w:hAnsi="宋体" w:eastAsia="宋体"/>
                <w:sz w:val="16"/>
              </w:rPr>
              <w:t>—</w:t>
            </w:r>
          </w:p>
        </w:tc>
      </w:tr>
      <w:tr w14:paraId="5371D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781A9">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57BE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4278E">
            <w:pPr>
              <w:jc w:val="center"/>
            </w:pPr>
            <w:r>
              <w:rPr>
                <w:rFonts w:ascii="宋体" w:hAnsi="宋体" w:eastAsia="宋体"/>
                <w:sz w:val="16"/>
              </w:rPr>
              <w:t>实际完成情况</w:t>
            </w:r>
          </w:p>
        </w:tc>
      </w:tr>
      <w:tr w14:paraId="21E1E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3B4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59593">
            <w:pPr>
              <w:jc w:val="both"/>
            </w:pPr>
            <w:r>
              <w:rPr>
                <w:rFonts w:ascii="宋体" w:hAnsi="宋体" w:eastAsia="宋体"/>
                <w:sz w:val="16"/>
              </w:rPr>
              <w:t>本项目主要实施内容为：1.对所有接受婚前保健服务的人群免费提供梅毒和乙肝检测100% 2.孕产妇梅毒和乙肝检测率≧95% 3.病毒感染孕产妇抗病毒药物服用率≧90% 4.病毒感染孕产妇所生儿童抗病毒药物服用率≧90%。 5.梅毒感染孕产妇接受诊疗≧90% 6.梅毒感染孕产妇所生儿童接受诊疗≧90% 7.乙肝表面抗原阳性产妇所生新生儿乙肝免疫球蛋白注射率≧95% 8.对基层医疗机构开展梅毒和乙肝母婴传播工作培训、技术指导4次。待项目实施完成，争取使受益群众满意度不低于70%。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8AFD4B">
            <w:pPr>
              <w:jc w:val="both"/>
            </w:pPr>
            <w:r>
              <w:rPr>
                <w:rFonts w:hint="eastAsia" w:ascii="宋体" w:hAnsi="宋体"/>
                <w:sz w:val="16"/>
                <w:lang w:eastAsia="zh-CN"/>
              </w:rPr>
              <w:t>截至</w:t>
            </w:r>
            <w:r>
              <w:rPr>
                <w:rFonts w:ascii="宋体" w:hAnsi="宋体" w:eastAsia="宋体"/>
                <w:sz w:val="16"/>
              </w:rPr>
              <w:t>2024年12月31日，项目实际支出 9.2万元，预算执行率为100%。对所有接受婚前保健服务的人群免费提供梅毒和乙肝检测100%；孕产妇梅毒和乙肝检测率达到95%；病毒感染孕产妇抗病毒药物服用率达到90%；病毒感染孕产妇所生儿童抗病毒药物服用率达到90%；梅毒感染孕产妇接受诊疗达到90%；梅毒感染孕产妇所生儿童接受诊疗达到90%；乙肝表面抗原阳性产妇所生新生儿乙肝免疫球蛋白注射达到95%；对基层医疗机构开展梅毒和乙肝母婴传播工作培训、技术指导4次。使受益群众满意度达到70%。</w:t>
            </w:r>
          </w:p>
        </w:tc>
      </w:tr>
      <w:tr w14:paraId="06C87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8C2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EA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2A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FE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5599">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2128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F70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7749">
            <w:pPr>
              <w:jc w:val="center"/>
            </w:pPr>
            <w:r>
              <w:rPr>
                <w:rFonts w:ascii="宋体" w:hAnsi="宋体" w:eastAsia="宋体"/>
                <w:sz w:val="16"/>
              </w:rPr>
              <w:t>完成率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CADC672">
            <w:pPr>
              <w:jc w:val="center"/>
            </w:pPr>
            <w:r>
              <w:rPr>
                <w:rFonts w:ascii="宋体" w:hAnsi="宋体" w:eastAsia="宋体"/>
                <w:sz w:val="16"/>
              </w:rPr>
              <w:t>得分</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0776CE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97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23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66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C4D1">
            <w:pPr>
              <w:jc w:val="center"/>
            </w:pPr>
            <w:r>
              <w:rPr>
                <w:rFonts w:ascii="宋体" w:hAnsi="宋体" w:eastAsia="宋体"/>
                <w:sz w:val="16"/>
              </w:rPr>
              <w:t>偏差原因分析及改进措施</w:t>
            </w:r>
          </w:p>
        </w:tc>
      </w:tr>
      <w:tr w14:paraId="7EE93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FCD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1A0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4D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7A4B">
            <w:pPr>
              <w:jc w:val="center"/>
            </w:pPr>
            <w:r>
              <w:rPr>
                <w:rFonts w:ascii="宋体" w:hAnsi="宋体" w:eastAsia="宋体"/>
                <w:sz w:val="16"/>
              </w:rPr>
              <w:t>对基层医疗机构开展梅毒和乙肝母婴传播工作培训、技术指导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F7AC">
            <w:pPr>
              <w:jc w:val="center"/>
            </w:pPr>
            <w:r>
              <w:rPr>
                <w:rFonts w:ascii="宋体" w:hAnsi="宋体" w:eastAsia="宋体"/>
                <w:sz w:val="16"/>
              </w:rPr>
              <w:t>21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4D020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FBB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A680">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E33EB58">
            <w:pPr>
              <w:jc w:val="center"/>
            </w:pPr>
            <w:r>
              <w:rPr>
                <w:rFonts w:ascii="宋体" w:hAnsi="宋体" w:eastAsia="宋体"/>
                <w:sz w:val="16"/>
              </w:rPr>
              <w:t>21</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05587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C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B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2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A5F6">
            <w:pPr>
              <w:jc w:val="center"/>
            </w:pPr>
          </w:p>
        </w:tc>
      </w:tr>
      <w:tr w14:paraId="1561C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A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10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E3A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1591">
            <w:pPr>
              <w:jc w:val="center"/>
            </w:pPr>
            <w:r>
              <w:rPr>
                <w:rFonts w:ascii="宋体" w:hAnsi="宋体" w:eastAsia="宋体"/>
                <w:sz w:val="16"/>
              </w:rPr>
              <w:t>对所有接受婚前保健服务的人群免费提供梅毒和乙肝检测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94A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0BB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6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7DC5">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6112D95">
            <w:pPr>
              <w:jc w:val="center"/>
            </w:pPr>
            <w:r>
              <w:rPr>
                <w:rFonts w:ascii="宋体" w:hAnsi="宋体" w:eastAsia="宋体"/>
                <w:sz w:val="16"/>
              </w:rPr>
              <w:t>10</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7C5DE8F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0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5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D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393C">
            <w:pPr>
              <w:jc w:val="center"/>
            </w:pPr>
          </w:p>
        </w:tc>
      </w:tr>
      <w:tr w14:paraId="42ADF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1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59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53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ACBF">
            <w:pPr>
              <w:jc w:val="center"/>
            </w:pPr>
            <w:r>
              <w:rPr>
                <w:rFonts w:ascii="宋体" w:hAnsi="宋体" w:eastAsia="宋体"/>
                <w:sz w:val="16"/>
              </w:rPr>
              <w:t>孕产妇梅毒和乙肝检测率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1CB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9989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369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B736">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371B362">
            <w:pPr>
              <w:jc w:val="center"/>
            </w:pPr>
            <w:r>
              <w:rPr>
                <w:rFonts w:ascii="宋体" w:hAnsi="宋体" w:eastAsia="宋体"/>
                <w:sz w:val="16"/>
              </w:rPr>
              <w:t>5</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4028DAA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E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A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F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C8CB">
            <w:pPr>
              <w:jc w:val="center"/>
            </w:pPr>
          </w:p>
        </w:tc>
      </w:tr>
      <w:tr w14:paraId="1EDEF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C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D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76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71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D142">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17F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A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86BA">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15FA06A">
            <w:pPr>
              <w:jc w:val="center"/>
            </w:pPr>
            <w:r>
              <w:rPr>
                <w:rFonts w:ascii="宋体" w:hAnsi="宋体" w:eastAsia="宋体"/>
                <w:sz w:val="16"/>
              </w:rPr>
              <w:t>4</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1C12D2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5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5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3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F6D1">
            <w:pPr>
              <w:jc w:val="center"/>
            </w:pPr>
          </w:p>
        </w:tc>
      </w:tr>
      <w:tr w14:paraId="639CD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AE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77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D8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C715">
            <w:pPr>
              <w:jc w:val="center"/>
            </w:pPr>
            <w:r>
              <w:rPr>
                <w:rFonts w:ascii="宋体" w:hAnsi="宋体" w:eastAsia="宋体"/>
                <w:sz w:val="16"/>
              </w:rPr>
              <w:t>梅毒和乙肝阻断补助经费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57F3">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613BA6">
            <w:pPr>
              <w:jc w:val="center"/>
            </w:pPr>
            <w:r>
              <w:rPr>
                <w:rFonts w:ascii="宋体" w:hAnsi="宋体" w:eastAsia="宋体"/>
                <w:sz w:val="16"/>
              </w:rPr>
              <w:t>&lt;=9.20万元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5970">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81E8">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9F9BBB2">
            <w:pPr>
              <w:jc w:val="center"/>
            </w:pPr>
            <w:r>
              <w:rPr>
                <w:rFonts w:ascii="宋体" w:hAnsi="宋体" w:eastAsia="宋体"/>
                <w:sz w:val="16"/>
              </w:rPr>
              <w:t>20</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17C12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2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F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018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3567">
            <w:pPr>
              <w:jc w:val="center"/>
            </w:pPr>
          </w:p>
        </w:tc>
      </w:tr>
      <w:tr w14:paraId="18EB1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CB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48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95A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99BB">
            <w:pPr>
              <w:jc w:val="center"/>
            </w:pPr>
            <w:r>
              <w:rPr>
                <w:rFonts w:ascii="宋体" w:hAnsi="宋体" w:eastAsia="宋体"/>
                <w:sz w:val="16"/>
              </w:rPr>
              <w:t>乙肝表面抗原阳性产妇所生新生儿乙肝免疫球蛋白注射率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01EC">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75D7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7F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D676">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607239DA">
            <w:pPr>
              <w:jc w:val="center"/>
            </w:pPr>
            <w:r>
              <w:rPr>
                <w:rFonts w:ascii="宋体" w:hAnsi="宋体" w:eastAsia="宋体"/>
                <w:sz w:val="16"/>
              </w:rPr>
              <w:t>5</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7B3154F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9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5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5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3D82">
            <w:pPr>
              <w:jc w:val="center"/>
            </w:pPr>
          </w:p>
        </w:tc>
      </w:tr>
      <w:tr w14:paraId="35410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37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E8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19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0164">
            <w:pPr>
              <w:jc w:val="center"/>
            </w:pPr>
            <w:r>
              <w:rPr>
                <w:rFonts w:ascii="宋体" w:hAnsi="宋体" w:eastAsia="宋体"/>
                <w:sz w:val="16"/>
              </w:rPr>
              <w:t>梅毒感染孕产妇所生儿童接受诊疗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6C4E">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3166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E9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B1C8">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522FA5E">
            <w:pPr>
              <w:jc w:val="center"/>
            </w:pPr>
            <w:r>
              <w:rPr>
                <w:rFonts w:ascii="宋体" w:hAnsi="宋体" w:eastAsia="宋体"/>
                <w:sz w:val="16"/>
              </w:rPr>
              <w:t>6</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5574962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F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0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B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E4BD">
            <w:pPr>
              <w:jc w:val="center"/>
            </w:pPr>
          </w:p>
        </w:tc>
      </w:tr>
      <w:tr w14:paraId="24447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F6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47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A5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7F8B">
            <w:pPr>
              <w:jc w:val="center"/>
            </w:pPr>
            <w:r>
              <w:rPr>
                <w:rFonts w:ascii="宋体" w:hAnsi="宋体" w:eastAsia="宋体"/>
                <w:sz w:val="16"/>
              </w:rPr>
              <w:t>梅毒感染孕产妇接受诊疗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92FE">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8E37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49B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945">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24B162E">
            <w:pPr>
              <w:jc w:val="center"/>
            </w:pPr>
            <w:r>
              <w:rPr>
                <w:rFonts w:ascii="宋体" w:hAnsi="宋体" w:eastAsia="宋体"/>
                <w:sz w:val="16"/>
              </w:rPr>
              <w:t>3</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5BB9EE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5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1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C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B069">
            <w:pPr>
              <w:jc w:val="center"/>
            </w:pPr>
          </w:p>
        </w:tc>
      </w:tr>
      <w:tr w14:paraId="107E6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0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17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0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773C">
            <w:pPr>
              <w:jc w:val="center"/>
            </w:pPr>
            <w:r>
              <w:rPr>
                <w:rFonts w:ascii="宋体" w:hAnsi="宋体" w:eastAsia="宋体"/>
                <w:sz w:val="16"/>
              </w:rPr>
              <w:t>病毒感染孕产妇所生儿童抗病毒药物服用率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135B">
            <w:pPr>
              <w:jc w:val="center"/>
            </w:pPr>
            <w:r>
              <w:rPr>
                <w:rFonts w:ascii="宋体" w:hAnsi="宋体" w:eastAsia="宋体"/>
                <w:sz w:val="16"/>
              </w:rPr>
              <w:t>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0AC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87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2D8F">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BA33618">
            <w:pPr>
              <w:jc w:val="center"/>
            </w:pPr>
            <w:r>
              <w:rPr>
                <w:rFonts w:ascii="宋体" w:hAnsi="宋体" w:eastAsia="宋体"/>
                <w:sz w:val="16"/>
              </w:rPr>
              <w:t>2</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3AFCC25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C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F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4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D2D5">
            <w:pPr>
              <w:jc w:val="center"/>
            </w:pPr>
          </w:p>
        </w:tc>
      </w:tr>
      <w:tr w14:paraId="5A5B9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3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0C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9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E63C">
            <w:pPr>
              <w:jc w:val="center"/>
            </w:pPr>
            <w:r>
              <w:rPr>
                <w:rFonts w:ascii="宋体" w:hAnsi="宋体" w:eastAsia="宋体"/>
                <w:sz w:val="16"/>
              </w:rPr>
              <w:t>病毒感染孕产妇抗病毒药物服用率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2236">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1908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EA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C7CA">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1EFDC1A">
            <w:pPr>
              <w:jc w:val="center"/>
            </w:pPr>
            <w:r>
              <w:rPr>
                <w:rFonts w:ascii="宋体" w:hAnsi="宋体" w:eastAsia="宋体"/>
                <w:sz w:val="16"/>
              </w:rPr>
              <w:t>4</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2F0FF7C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CD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6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58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EB31">
            <w:pPr>
              <w:jc w:val="center"/>
            </w:pPr>
          </w:p>
        </w:tc>
      </w:tr>
      <w:tr w14:paraId="5A039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F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16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6E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290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E8E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0B9422">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4ED0">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4880">
            <w:pPr>
              <w:jc w:val="center"/>
            </w:pPr>
            <w:r>
              <w:rPr>
                <w:rFonts w:ascii="宋体" w:hAnsi="宋体" w:eastAsia="宋体"/>
                <w:sz w:val="16"/>
              </w:rPr>
              <w:t>100%</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4E474C6">
            <w:pPr>
              <w:jc w:val="center"/>
            </w:pPr>
            <w:r>
              <w:rPr>
                <w:rFonts w:ascii="宋体" w:hAnsi="宋体" w:eastAsia="宋体"/>
                <w:sz w:val="16"/>
              </w:rPr>
              <w:t>10</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4F76F2C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6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5B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1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E914">
            <w:pPr>
              <w:jc w:val="center"/>
            </w:pPr>
          </w:p>
        </w:tc>
      </w:tr>
      <w:tr w14:paraId="4D42BE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C449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6A6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1DABD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E42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DD2C9"/>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8E95D46">
            <w:pPr>
              <w:jc w:val="center"/>
            </w:pPr>
            <w:r>
              <w:rPr>
                <w:rFonts w:ascii="宋体" w:hAnsi="宋体" w:eastAsia="宋体"/>
                <w:sz w:val="16"/>
              </w:rPr>
              <w:t>100.00分</w:t>
            </w:r>
          </w:p>
        </w:tc>
        <w:tc>
          <w:tcPr>
            <w:tcW w:w="803" w:type="dxa"/>
            <w:tcBorders>
              <w:top w:val="single" w:color="auto" w:sz="10" w:space="0"/>
              <w:left w:val="single" w:color="auto" w:sz="10" w:space="0"/>
              <w:bottom w:val="single" w:color="auto" w:sz="10" w:space="0"/>
              <w:right w:val="single" w:color="auto" w:sz="10" w:space="0"/>
              <w:insideV w:val="single" w:sz="10" w:space="0"/>
            </w:tcBorders>
          </w:tcPr>
          <w:p w14:paraId="306F2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AD9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6D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00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FEE65"/>
        </w:tc>
      </w:tr>
    </w:tbl>
    <w:p w14:paraId="1F216E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1152E77">
        <w:tblPrEx>
          <w:tblCellMar>
            <w:top w:w="0" w:type="dxa"/>
            <w:left w:w="108" w:type="dxa"/>
            <w:bottom w:w="0" w:type="dxa"/>
            <w:right w:w="108" w:type="dxa"/>
          </w:tblCellMar>
        </w:tblPrEx>
        <w:tc>
          <w:tcPr>
            <w:tcW w:w="8848" w:type="dxa"/>
            <w:gridSpan w:val="14"/>
            <w:vAlign w:val="center"/>
          </w:tcPr>
          <w:p w14:paraId="40794D0F">
            <w:pPr>
              <w:jc w:val="center"/>
            </w:pPr>
            <w:r>
              <w:rPr>
                <w:rFonts w:ascii="宋体" w:hAnsi="宋体" w:eastAsia="宋体"/>
                <w:sz w:val="24"/>
              </w:rPr>
              <w:t>项目支出绩效自评表</w:t>
            </w:r>
          </w:p>
        </w:tc>
      </w:tr>
      <w:tr w14:paraId="211E545E">
        <w:tblPrEx>
          <w:tblCellMar>
            <w:top w:w="0" w:type="dxa"/>
            <w:left w:w="108" w:type="dxa"/>
            <w:bottom w:w="0" w:type="dxa"/>
            <w:right w:w="108" w:type="dxa"/>
          </w:tblCellMar>
        </w:tblPrEx>
        <w:tc>
          <w:tcPr>
            <w:tcW w:w="8848" w:type="dxa"/>
            <w:gridSpan w:val="14"/>
            <w:vAlign w:val="center"/>
          </w:tcPr>
          <w:p w14:paraId="66E99009">
            <w:pPr>
              <w:jc w:val="center"/>
            </w:pPr>
            <w:r>
              <w:rPr>
                <w:rFonts w:ascii="宋体" w:hAnsi="宋体" w:eastAsia="宋体"/>
                <w:sz w:val="24"/>
              </w:rPr>
              <w:t>(2024年度)</w:t>
            </w:r>
          </w:p>
        </w:tc>
      </w:tr>
      <w:tr w14:paraId="6266FA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74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EDB09C">
            <w:pPr>
              <w:jc w:val="center"/>
            </w:pPr>
            <w:r>
              <w:rPr>
                <w:rFonts w:ascii="宋体" w:hAnsi="宋体" w:eastAsia="宋体"/>
                <w:sz w:val="16"/>
              </w:rPr>
              <w:t>妇计中心昌州财综</w:t>
            </w:r>
            <w:r>
              <w:rPr>
                <w:rFonts w:hint="eastAsia" w:ascii="宋体" w:hAnsi="宋体"/>
                <w:sz w:val="16"/>
                <w:lang w:eastAsia="zh-CN"/>
              </w:rPr>
              <w:t>〔2023〕16号</w:t>
            </w:r>
            <w:r>
              <w:rPr>
                <w:rFonts w:ascii="宋体" w:hAnsi="宋体" w:eastAsia="宋体"/>
                <w:sz w:val="16"/>
              </w:rPr>
              <w:t>《关于提前下达2024年中央专项彩票公益金支持地方社会公益事业发展【医疗救助】资金预算的通知》</w:t>
            </w:r>
          </w:p>
        </w:tc>
      </w:tr>
      <w:tr w14:paraId="6705B6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C8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A4905">
            <w:pPr>
              <w:jc w:val="center"/>
            </w:pPr>
            <w:r>
              <w:rPr>
                <w:rFonts w:hint="eastAsia" w:ascii="宋体" w:hAnsi="宋体" w:eastAsia="宋体"/>
                <w:sz w:val="16"/>
              </w:rPr>
              <w:t>吉木萨尔县人民医院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C2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3A720">
            <w:pPr>
              <w:jc w:val="center"/>
            </w:pPr>
            <w:r>
              <w:rPr>
                <w:rFonts w:ascii="宋体" w:hAnsi="宋体" w:eastAsia="宋体"/>
                <w:sz w:val="16"/>
              </w:rPr>
              <w:t>吉木萨尔县妇幼保健院</w:t>
            </w:r>
          </w:p>
        </w:tc>
      </w:tr>
      <w:tr w14:paraId="4F086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B3E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1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BC6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3E4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20E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DB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92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2C94">
            <w:pPr>
              <w:jc w:val="center"/>
            </w:pPr>
            <w:r>
              <w:rPr>
                <w:rFonts w:ascii="宋体" w:hAnsi="宋体" w:eastAsia="宋体"/>
                <w:sz w:val="16"/>
              </w:rPr>
              <w:t>得分</w:t>
            </w:r>
          </w:p>
        </w:tc>
      </w:tr>
      <w:tr w14:paraId="60DA4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5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FEF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5BA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8B7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4BB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6F3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43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D435">
            <w:pPr>
              <w:jc w:val="center"/>
            </w:pPr>
            <w:r>
              <w:rPr>
                <w:rFonts w:ascii="宋体" w:hAnsi="宋体" w:eastAsia="宋体"/>
                <w:sz w:val="16"/>
              </w:rPr>
              <w:t>10.00</w:t>
            </w:r>
          </w:p>
        </w:tc>
      </w:tr>
      <w:tr w14:paraId="0404A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A7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B8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9EC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4273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D99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9E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A1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CE99">
            <w:pPr>
              <w:jc w:val="center"/>
            </w:pPr>
            <w:r>
              <w:rPr>
                <w:rFonts w:ascii="宋体" w:hAnsi="宋体" w:eastAsia="宋体"/>
                <w:sz w:val="16"/>
              </w:rPr>
              <w:t>—</w:t>
            </w:r>
          </w:p>
        </w:tc>
      </w:tr>
      <w:tr w14:paraId="6B327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6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3B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8A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4A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0C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68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E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FFFF">
            <w:pPr>
              <w:jc w:val="center"/>
            </w:pPr>
            <w:r>
              <w:rPr>
                <w:rFonts w:ascii="宋体" w:hAnsi="宋体" w:eastAsia="宋体"/>
                <w:sz w:val="16"/>
              </w:rPr>
              <w:t>—</w:t>
            </w:r>
          </w:p>
        </w:tc>
      </w:tr>
      <w:tr w14:paraId="5CB179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C93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B4E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58A86">
            <w:pPr>
              <w:jc w:val="center"/>
            </w:pPr>
            <w:r>
              <w:rPr>
                <w:rFonts w:ascii="宋体" w:hAnsi="宋体" w:eastAsia="宋体"/>
                <w:sz w:val="16"/>
              </w:rPr>
              <w:t>实际完成情况</w:t>
            </w:r>
          </w:p>
        </w:tc>
      </w:tr>
      <w:tr w14:paraId="48746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E89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FB853">
            <w:pPr>
              <w:jc w:val="both"/>
            </w:pPr>
            <w:r>
              <w:rPr>
                <w:rFonts w:ascii="宋体" w:hAnsi="宋体" w:eastAsia="宋体"/>
                <w:sz w:val="16"/>
              </w:rPr>
              <w:t>1.免费对辖区1000人适龄妇女开展宫颈癌检查。 2.对检查异常/可疑病例的随访管理率达到 90%以上。  3.为保证项目质量，对该项目管理人员和专业技术工作人员开展不少于2次培训工作。 4.结合实际，深入社区、乡村开展健康教育、健康知识普及活动不少于2次。 5.使妇幼服务工作得到受益者的满意。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974E3">
            <w:pPr>
              <w:jc w:val="both"/>
            </w:pPr>
            <w:r>
              <w:rPr>
                <w:rFonts w:hint="eastAsia" w:ascii="宋体" w:hAnsi="宋体"/>
                <w:sz w:val="16"/>
                <w:lang w:eastAsia="zh-CN"/>
              </w:rPr>
              <w:t>截至</w:t>
            </w:r>
            <w:r>
              <w:rPr>
                <w:rFonts w:ascii="宋体" w:hAnsi="宋体" w:eastAsia="宋体"/>
                <w:sz w:val="16"/>
              </w:rPr>
              <w:t>2024年12月31日，本项目实际支出资金4万元，预算执行率为100.00%，通过实施本项目2024年根据项目资金方案要求免费对辖区1000人适龄妇女开展宫颈癌检查。 对检查异常/可疑病例的随访管理率达到90%。</w:t>
            </w:r>
          </w:p>
        </w:tc>
      </w:tr>
      <w:tr w14:paraId="57332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DEB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00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6E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8A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81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E8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EF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88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8D4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4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1B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76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28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814A">
            <w:pPr>
              <w:jc w:val="center"/>
            </w:pPr>
            <w:r>
              <w:rPr>
                <w:rFonts w:ascii="宋体" w:hAnsi="宋体" w:eastAsia="宋体"/>
                <w:sz w:val="16"/>
              </w:rPr>
              <w:t>偏差原因分析及改进措施</w:t>
            </w:r>
          </w:p>
        </w:tc>
      </w:tr>
      <w:tr w14:paraId="4272DB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A0F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F9B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917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3690">
            <w:pPr>
              <w:jc w:val="center"/>
            </w:pPr>
            <w:r>
              <w:rPr>
                <w:rFonts w:ascii="宋体" w:hAnsi="宋体" w:eastAsia="宋体"/>
                <w:sz w:val="16"/>
              </w:rPr>
              <w:t>项目管理人员和专业技术工作人员开展培训工作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484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484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110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3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A0D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CD2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0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8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A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3BBC">
            <w:pPr>
              <w:jc w:val="center"/>
            </w:pPr>
          </w:p>
        </w:tc>
      </w:tr>
      <w:tr w14:paraId="13128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78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17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18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CEBD">
            <w:pPr>
              <w:jc w:val="center"/>
            </w:pPr>
            <w:r>
              <w:rPr>
                <w:rFonts w:ascii="宋体" w:hAnsi="宋体" w:eastAsia="宋体"/>
                <w:sz w:val="16"/>
              </w:rPr>
              <w:t>开展健康教育、健康知识普及活动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934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B3D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CA9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9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438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C4A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E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2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3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7783">
            <w:pPr>
              <w:jc w:val="center"/>
            </w:pPr>
          </w:p>
        </w:tc>
      </w:tr>
      <w:tr w14:paraId="2F299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DB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A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D3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FDFC">
            <w:pPr>
              <w:jc w:val="center"/>
            </w:pPr>
            <w:r>
              <w:rPr>
                <w:rFonts w:ascii="宋体" w:hAnsi="宋体" w:eastAsia="宋体"/>
                <w:sz w:val="16"/>
              </w:rPr>
              <w:t>对检查异常/可疑病例的随访管理率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B9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14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24E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5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96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BDB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9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F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26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78FC">
            <w:pPr>
              <w:jc w:val="center"/>
            </w:pPr>
          </w:p>
        </w:tc>
      </w:tr>
      <w:tr w14:paraId="7D1C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58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A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E6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A3F8">
            <w:pPr>
              <w:jc w:val="center"/>
            </w:pPr>
            <w:r>
              <w:rPr>
                <w:rFonts w:ascii="宋体" w:hAnsi="宋体" w:eastAsia="宋体"/>
                <w:sz w:val="16"/>
              </w:rPr>
              <w:t>项目实施时长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8E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B1B7">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456A">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8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51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74F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8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E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F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5848">
            <w:pPr>
              <w:jc w:val="center"/>
            </w:pPr>
          </w:p>
        </w:tc>
      </w:tr>
      <w:tr w14:paraId="288D2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FC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D8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61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A6A8">
            <w:pPr>
              <w:jc w:val="center"/>
            </w:pPr>
            <w:r>
              <w:rPr>
                <w:rFonts w:ascii="宋体" w:hAnsi="宋体" w:eastAsia="宋体"/>
                <w:sz w:val="16"/>
              </w:rPr>
              <w:t>免费宫颈癌检查项目（中央专项彩票公益金项目）补助经费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E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996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E92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4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26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122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5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1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40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29F7">
            <w:pPr>
              <w:jc w:val="center"/>
            </w:pPr>
          </w:p>
        </w:tc>
      </w:tr>
      <w:tr w14:paraId="798BD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BD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B6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77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2AB0">
            <w:pPr>
              <w:jc w:val="center"/>
            </w:pPr>
            <w:r>
              <w:rPr>
                <w:rFonts w:ascii="宋体" w:hAnsi="宋体" w:eastAsia="宋体"/>
                <w:sz w:val="16"/>
              </w:rPr>
              <w:t>免费对辖区1000人适龄妇女开展宫颈癌检查。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55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BA04">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71D0">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E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0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1C7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5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3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0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E2FB">
            <w:pPr>
              <w:jc w:val="center"/>
            </w:pPr>
          </w:p>
        </w:tc>
      </w:tr>
      <w:tr w14:paraId="678ED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A0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0A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55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0DC4">
            <w:pPr>
              <w:jc w:val="center"/>
            </w:pPr>
            <w:r>
              <w:rPr>
                <w:rFonts w:ascii="宋体" w:hAnsi="宋体" w:eastAsia="宋体"/>
                <w:sz w:val="16"/>
              </w:rPr>
              <w:t>受益体检人员满意度（%）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C6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E1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1C6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F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D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4B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1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6E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1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6B03">
            <w:pPr>
              <w:jc w:val="center"/>
            </w:pPr>
          </w:p>
        </w:tc>
      </w:tr>
      <w:tr w14:paraId="22A7EB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6C97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A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1D2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D81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89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32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C9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617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A62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F0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9FE33"/>
        </w:tc>
      </w:tr>
    </w:tbl>
    <w:p w14:paraId="4F028898">
      <w:r>
        <w:br w:type="page"/>
      </w:r>
    </w:p>
    <w:p w14:paraId="51B677F0">
      <w:pPr>
        <w:spacing w:line="640" w:lineRule="exact"/>
        <w:ind w:firstLine="640"/>
        <w:jc w:val="both"/>
        <w:outlineLvl w:val="2"/>
      </w:pPr>
      <w:r>
        <w:rPr>
          <w:rFonts w:ascii="黑体" w:hAnsi="黑体" w:eastAsia="黑体"/>
          <w:sz w:val="32"/>
        </w:rPr>
        <w:t>十二、其他需说明的事项</w:t>
      </w:r>
    </w:p>
    <w:p w14:paraId="19AA4F1D">
      <w:pPr>
        <w:spacing w:line="580" w:lineRule="exact"/>
        <w:ind w:firstLine="640"/>
        <w:jc w:val="both"/>
      </w:pPr>
      <w:r>
        <w:rPr>
          <w:rFonts w:ascii="仿宋_GB2312" w:hAnsi="仿宋_GB2312" w:eastAsia="仿宋_GB2312"/>
          <w:b w:val="0"/>
          <w:sz w:val="32"/>
        </w:rPr>
        <w:t>本单位无其他需说明的事项。</w:t>
      </w:r>
    </w:p>
    <w:p w14:paraId="6670C633">
      <w:r>
        <w:br w:type="page"/>
      </w:r>
    </w:p>
    <w:p w14:paraId="0E473DB2">
      <w:pPr>
        <w:spacing w:line="240" w:lineRule="auto"/>
        <w:jc w:val="center"/>
        <w:outlineLvl w:val="1"/>
      </w:pPr>
      <w:r>
        <w:rPr>
          <w:rFonts w:ascii="黑体" w:hAnsi="黑体" w:eastAsia="黑体"/>
          <w:sz w:val="32"/>
        </w:rPr>
        <w:t>第三部分 专业名词解释</w:t>
      </w:r>
    </w:p>
    <w:p w14:paraId="3CFBA8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64E5D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A15D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4271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E85CE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0F3F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921E7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88D22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172D7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432BA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0FE40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00B3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BB6C7C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346B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CE4F9F">
      <w:r>
        <w:br w:type="page"/>
      </w:r>
    </w:p>
    <w:p w14:paraId="1CA8BCDA">
      <w:pPr>
        <w:spacing w:line="240" w:lineRule="auto"/>
        <w:jc w:val="center"/>
        <w:outlineLvl w:val="1"/>
      </w:pPr>
      <w:r>
        <w:rPr>
          <w:rFonts w:ascii="黑体" w:hAnsi="黑体" w:eastAsia="黑体"/>
          <w:sz w:val="32"/>
        </w:rPr>
        <w:t>第四部分 部门决算报表（见附表）</w:t>
      </w:r>
    </w:p>
    <w:p w14:paraId="0D7613B9">
      <w:pPr>
        <w:spacing w:line="240" w:lineRule="auto"/>
        <w:ind w:firstLine="640"/>
        <w:jc w:val="both"/>
      </w:pPr>
      <w:r>
        <w:rPr>
          <w:rFonts w:ascii="仿宋_GB2312" w:hAnsi="仿宋_GB2312" w:eastAsia="仿宋_GB2312"/>
          <w:b w:val="0"/>
          <w:sz w:val="32"/>
        </w:rPr>
        <w:t>一、《收入支出决算总表》</w:t>
      </w:r>
    </w:p>
    <w:p w14:paraId="63C86F8B">
      <w:pPr>
        <w:spacing w:line="240" w:lineRule="auto"/>
        <w:ind w:firstLine="640"/>
        <w:jc w:val="both"/>
      </w:pPr>
      <w:r>
        <w:rPr>
          <w:rFonts w:ascii="仿宋_GB2312" w:hAnsi="仿宋_GB2312" w:eastAsia="仿宋_GB2312"/>
          <w:b w:val="0"/>
          <w:sz w:val="32"/>
        </w:rPr>
        <w:t>二、《收入决算表》</w:t>
      </w:r>
    </w:p>
    <w:p w14:paraId="12D39648">
      <w:pPr>
        <w:spacing w:line="240" w:lineRule="auto"/>
        <w:ind w:firstLine="640"/>
        <w:jc w:val="both"/>
      </w:pPr>
      <w:r>
        <w:rPr>
          <w:rFonts w:ascii="仿宋_GB2312" w:hAnsi="仿宋_GB2312" w:eastAsia="仿宋_GB2312"/>
          <w:b w:val="0"/>
          <w:sz w:val="32"/>
        </w:rPr>
        <w:t>三、《支出决算表》</w:t>
      </w:r>
    </w:p>
    <w:p w14:paraId="1600C92A">
      <w:pPr>
        <w:spacing w:line="240" w:lineRule="auto"/>
        <w:ind w:firstLine="640"/>
        <w:jc w:val="both"/>
      </w:pPr>
      <w:r>
        <w:rPr>
          <w:rFonts w:ascii="仿宋_GB2312" w:hAnsi="仿宋_GB2312" w:eastAsia="仿宋_GB2312"/>
          <w:b w:val="0"/>
          <w:sz w:val="32"/>
        </w:rPr>
        <w:t>四、《财政拨款收入支出决算总表》</w:t>
      </w:r>
    </w:p>
    <w:p w14:paraId="585CA0E9">
      <w:pPr>
        <w:spacing w:line="240" w:lineRule="auto"/>
        <w:ind w:firstLine="640"/>
        <w:jc w:val="both"/>
      </w:pPr>
      <w:r>
        <w:rPr>
          <w:rFonts w:ascii="仿宋_GB2312" w:hAnsi="仿宋_GB2312" w:eastAsia="仿宋_GB2312"/>
          <w:b w:val="0"/>
          <w:sz w:val="32"/>
        </w:rPr>
        <w:t>五、《一般公共预算财政拨款支出决算表》</w:t>
      </w:r>
    </w:p>
    <w:p w14:paraId="2A310220">
      <w:pPr>
        <w:spacing w:line="240" w:lineRule="auto"/>
        <w:ind w:firstLine="640"/>
        <w:jc w:val="both"/>
      </w:pPr>
      <w:r>
        <w:rPr>
          <w:rFonts w:ascii="仿宋_GB2312" w:hAnsi="仿宋_GB2312" w:eastAsia="仿宋_GB2312"/>
          <w:b w:val="0"/>
          <w:sz w:val="32"/>
        </w:rPr>
        <w:t>六、《一般公共预算财政拨款基本支出决算表》</w:t>
      </w:r>
    </w:p>
    <w:p w14:paraId="61A8E5E8">
      <w:pPr>
        <w:spacing w:line="240" w:lineRule="auto"/>
        <w:ind w:firstLine="640"/>
        <w:jc w:val="both"/>
      </w:pPr>
      <w:r>
        <w:rPr>
          <w:rFonts w:ascii="仿宋_GB2312" w:hAnsi="仿宋_GB2312" w:eastAsia="仿宋_GB2312"/>
          <w:b w:val="0"/>
          <w:sz w:val="32"/>
        </w:rPr>
        <w:t>七、《政府性基金预算财政拨款收入支出决算表》</w:t>
      </w:r>
    </w:p>
    <w:p w14:paraId="3AF61299">
      <w:pPr>
        <w:spacing w:line="240" w:lineRule="auto"/>
        <w:ind w:firstLine="640"/>
        <w:jc w:val="both"/>
      </w:pPr>
      <w:r>
        <w:rPr>
          <w:rFonts w:ascii="仿宋_GB2312" w:hAnsi="仿宋_GB2312" w:eastAsia="仿宋_GB2312"/>
          <w:b w:val="0"/>
          <w:sz w:val="32"/>
        </w:rPr>
        <w:t>八、《国有资本经营预算财政拨款收入支出决算表》</w:t>
      </w:r>
    </w:p>
    <w:p w14:paraId="1F4814DD">
      <w:pPr>
        <w:spacing w:line="240" w:lineRule="auto"/>
        <w:ind w:firstLine="640"/>
        <w:jc w:val="both"/>
      </w:pPr>
      <w:r>
        <w:rPr>
          <w:rFonts w:ascii="仿宋_GB2312" w:hAnsi="仿宋_GB2312" w:eastAsia="仿宋_GB2312"/>
          <w:b w:val="0"/>
          <w:sz w:val="32"/>
        </w:rPr>
        <w:t>九、《财政拨款“三公”经费支出决算表》</w:t>
      </w:r>
    </w:p>
    <w:p w14:paraId="25CF844F">
      <w:pPr>
        <w:spacing w:line="240" w:lineRule="auto"/>
        <w:ind w:firstLine="640"/>
        <w:jc w:val="both"/>
      </w:pPr>
    </w:p>
    <w:p w14:paraId="3F33C0C5">
      <w:pPr>
        <w:spacing w:line="240" w:lineRule="auto"/>
        <w:ind w:firstLine="640"/>
        <w:jc w:val="both"/>
      </w:pPr>
    </w:p>
    <w:p w14:paraId="1467A247">
      <w:pPr>
        <w:spacing w:line="240" w:lineRule="auto"/>
        <w:ind w:firstLine="640"/>
        <w:jc w:val="both"/>
      </w:pPr>
    </w:p>
    <w:p w14:paraId="382E1729">
      <w:pPr>
        <w:spacing w:line="240" w:lineRule="auto"/>
        <w:ind w:firstLine="640"/>
        <w:jc w:val="both"/>
      </w:pPr>
    </w:p>
    <w:p w14:paraId="63B1AE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3">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FF1B0F"/>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F85138"/>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6290</Words>
  <Characters>7223</Characters>
  <Lines>0</Lines>
  <Paragraphs>0</Paragraphs>
  <TotalTime>15</TotalTime>
  <ScaleCrop>false</ScaleCrop>
  <LinksUpToDate>false</LinksUpToDate>
  <CharactersWithSpaces>7231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2025-10-13T10:56:39Z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