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3E032">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55ABBF3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DD0941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8B2A8D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0592B1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214C9C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吉木萨尔县司法局2024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35A4FC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5D2902B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0EE807FA">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89EACB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D94193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7964071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79E0A05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16513E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7ACA3A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764032B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06F4BB9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503BA1F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2B86B94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463E5D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65A0ED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0ABA1D9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366D0E7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2D9524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7B11F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AC9CAE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6B5FE993">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328DCFA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41FF9D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BECD08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BEF112">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627CF4F3">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08C911D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5327144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5663720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5BE5BDB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D81A26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4757D3B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122B4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5238C3F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A2DDF5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CF1AF9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24B671">
      <w:r>
        <w:br w:type="page"/>
      </w:r>
    </w:p>
    <w:p w14:paraId="3B50176B">
      <w:pPr>
        <w:spacing w:line="640" w:lineRule="exact"/>
        <w:jc w:val="center"/>
        <w:outlineLvl w:val="1"/>
      </w:pPr>
      <w:r>
        <w:rPr>
          <w:rFonts w:ascii="黑体" w:hAnsi="黑体" w:eastAsia="黑体"/>
          <w:sz w:val="32"/>
        </w:rPr>
        <w:t>第一部分 单位概况</w:t>
      </w:r>
    </w:p>
    <w:p w14:paraId="2B8DE382">
      <w:pPr>
        <w:spacing w:line="640" w:lineRule="exact"/>
        <w:ind w:firstLine="640"/>
        <w:jc w:val="both"/>
        <w:outlineLvl w:val="2"/>
      </w:pPr>
      <w:r>
        <w:rPr>
          <w:rFonts w:ascii="黑体" w:hAnsi="黑体" w:eastAsia="黑体"/>
          <w:sz w:val="32"/>
        </w:rPr>
        <w:t>一、主要职能</w:t>
      </w:r>
    </w:p>
    <w:p w14:paraId="1C85BD9E">
      <w:pPr>
        <w:spacing w:line="580" w:lineRule="exact"/>
        <w:ind w:firstLine="640"/>
        <w:jc w:val="both"/>
      </w:pPr>
      <w:r>
        <w:rPr>
          <w:rFonts w:ascii="仿宋_GB2312" w:hAnsi="仿宋_GB2312" w:eastAsia="仿宋_GB2312"/>
          <w:sz w:val="32"/>
        </w:rPr>
        <w:t>负责普法、依法治理、法治宣传工作。制定全县法治宣传教育、普法和依法治县规划并组织实施，组织全县各单位争创普法依法治理先进单位活动的开展。监督和指导各乡镇司法所的全面工作，负责人民调解工作、乡镇法律服务工作。为有困难的公民、法人和其他组织提供法律援助服务。监督和指导并开展全县公证业务活动，依法办理有关公证事项。</w:t>
      </w:r>
    </w:p>
    <w:p w14:paraId="51A45BC0">
      <w:pPr>
        <w:spacing w:line="640" w:lineRule="exact"/>
        <w:ind w:firstLine="640"/>
        <w:jc w:val="both"/>
        <w:outlineLvl w:val="2"/>
      </w:pPr>
      <w:r>
        <w:rPr>
          <w:rFonts w:ascii="黑体" w:hAnsi="黑体" w:eastAsia="黑体"/>
          <w:sz w:val="32"/>
        </w:rPr>
        <w:t>二、机构设置及人员情况</w:t>
      </w:r>
    </w:p>
    <w:p w14:paraId="38700246">
      <w:pPr>
        <w:spacing w:line="580" w:lineRule="exact"/>
        <w:ind w:firstLine="640"/>
        <w:jc w:val="both"/>
      </w:pPr>
      <w:r>
        <w:rPr>
          <w:rFonts w:ascii="仿宋_GB2312" w:hAnsi="仿宋_GB2312" w:eastAsia="仿宋_GB2312"/>
          <w:sz w:val="32"/>
        </w:rPr>
        <w:t>吉木萨尔县司法局2024年度，实有人数52人，其中：在职人员30人，减少1人；离休人员0人，增加0人；退休人员22人,增加3人。</w:t>
      </w:r>
    </w:p>
    <w:p w14:paraId="04E4FC3E">
      <w:pPr>
        <w:spacing w:line="580" w:lineRule="exact"/>
        <w:ind w:firstLine="640"/>
        <w:jc w:val="both"/>
      </w:pPr>
      <w:r>
        <w:rPr>
          <w:rFonts w:ascii="仿宋_GB2312" w:hAnsi="仿宋_GB2312" w:eastAsia="仿宋_GB2312"/>
          <w:sz w:val="32"/>
        </w:rPr>
        <w:t>吉木萨尔县司法局无下属预算单位，下设5个科室，分别是：办公室、普法依法治理室、基层室、行政执法协调监督（行政复议与应诉）室、社区矫定室。</w:t>
      </w:r>
    </w:p>
    <w:p w14:paraId="6CDAD55D">
      <w:r>
        <w:br w:type="page"/>
      </w:r>
    </w:p>
    <w:p w14:paraId="3D7ECD74">
      <w:pPr>
        <w:spacing w:line="240" w:lineRule="auto"/>
        <w:jc w:val="center"/>
        <w:outlineLvl w:val="1"/>
      </w:pPr>
      <w:r>
        <w:rPr>
          <w:rFonts w:ascii="黑体" w:hAnsi="黑体" w:eastAsia="黑体"/>
          <w:sz w:val="32"/>
        </w:rPr>
        <w:t>第二部分 部门决算情况说明</w:t>
      </w:r>
    </w:p>
    <w:p w14:paraId="02EBB7AB">
      <w:pPr>
        <w:spacing w:line="640" w:lineRule="exact"/>
        <w:ind w:firstLine="640"/>
        <w:jc w:val="both"/>
        <w:outlineLvl w:val="2"/>
      </w:pPr>
      <w:r>
        <w:rPr>
          <w:rFonts w:ascii="黑体" w:hAnsi="黑体" w:eastAsia="黑体"/>
          <w:sz w:val="32"/>
        </w:rPr>
        <w:t>一、收入支出决算总体情况说明</w:t>
      </w:r>
    </w:p>
    <w:p w14:paraId="11A051DE">
      <w:pPr>
        <w:spacing w:line="580" w:lineRule="exact"/>
        <w:ind w:firstLine="640"/>
        <w:jc w:val="both"/>
      </w:pPr>
      <w:r>
        <w:rPr>
          <w:rFonts w:ascii="仿宋_GB2312" w:hAnsi="仿宋_GB2312" w:eastAsia="仿宋_GB2312"/>
          <w:b/>
          <w:sz w:val="32"/>
        </w:rPr>
        <w:t>2024年度收入总计1,032.14万元，</w:t>
      </w:r>
      <w:r>
        <w:rPr>
          <w:rFonts w:ascii="仿宋_GB2312" w:hAnsi="仿宋_GB2312" w:eastAsia="仿宋_GB2312"/>
          <w:b w:val="0"/>
          <w:sz w:val="32"/>
        </w:rPr>
        <w:t>其中：本年收入合计1,031.02万元，使用非财政拨款结余（含专用结余）0.00万元，年初结转和结余1.12万元。</w:t>
      </w:r>
    </w:p>
    <w:p w14:paraId="4EF0B074">
      <w:pPr>
        <w:spacing w:line="580" w:lineRule="exact"/>
        <w:ind w:firstLine="640"/>
        <w:jc w:val="both"/>
        <w:rPr>
          <w:spacing w:val="-6"/>
          <w:sz w:val="32"/>
        </w:rPr>
      </w:pPr>
      <w:r>
        <w:rPr>
          <w:rFonts w:ascii="仿宋_GB2312" w:hAnsi="仿宋_GB2312" w:eastAsia="仿宋_GB2312"/>
          <w:b/>
          <w:spacing w:val="-6"/>
          <w:sz w:val="32"/>
        </w:rPr>
        <w:t>2024年度支出总计1,032.14万元，</w:t>
      </w:r>
      <w:r>
        <w:rPr>
          <w:rFonts w:ascii="仿宋_GB2312" w:hAnsi="仿宋_GB2312" w:eastAsia="仿宋_GB2312"/>
          <w:b w:val="0"/>
          <w:spacing w:val="-6"/>
          <w:sz w:val="32"/>
        </w:rPr>
        <w:t>其中：本年支出合计1,031.18万元，结余分配0.00万元，年末结转和结余0.96万元。</w:t>
      </w:r>
    </w:p>
    <w:p w14:paraId="1E2B01C0">
      <w:pPr>
        <w:spacing w:line="580" w:lineRule="exact"/>
        <w:ind w:firstLine="640"/>
        <w:jc w:val="both"/>
      </w:pPr>
      <w:r>
        <w:rPr>
          <w:rFonts w:ascii="仿宋_GB2312" w:hAnsi="仿宋_GB2312" w:eastAsia="仿宋_GB2312"/>
          <w:b w:val="0"/>
          <w:sz w:val="32"/>
        </w:rPr>
        <w:t>收入支出总体与上年相比，增加36.58万元，增长3.67%，主要原因是：本年在职人员工资调增、社保、公积金基数调增，人员经费增加；本年退休人员增加，相应退休经费及职业年金支出较上年增加。</w:t>
      </w:r>
    </w:p>
    <w:p w14:paraId="48921A99">
      <w:pPr>
        <w:spacing w:line="640" w:lineRule="exact"/>
        <w:ind w:firstLine="640"/>
        <w:jc w:val="both"/>
        <w:outlineLvl w:val="2"/>
      </w:pPr>
      <w:r>
        <w:rPr>
          <w:rFonts w:ascii="黑体" w:hAnsi="黑体" w:eastAsia="黑体"/>
          <w:sz w:val="32"/>
        </w:rPr>
        <w:t>二、收入决算情况说明</w:t>
      </w:r>
    </w:p>
    <w:p w14:paraId="0AD17D7D">
      <w:pPr>
        <w:spacing w:line="580" w:lineRule="exact"/>
        <w:ind w:firstLine="640"/>
        <w:jc w:val="both"/>
      </w:pPr>
      <w:r>
        <w:rPr>
          <w:rFonts w:ascii="仿宋_GB2312" w:hAnsi="仿宋_GB2312" w:eastAsia="仿宋_GB2312"/>
          <w:b/>
          <w:sz w:val="32"/>
        </w:rPr>
        <w:t>本年收入1,031.02万元，</w:t>
      </w:r>
      <w:r>
        <w:rPr>
          <w:rFonts w:ascii="仿宋_GB2312" w:hAnsi="仿宋_GB2312" w:eastAsia="仿宋_GB2312"/>
          <w:b w:val="0"/>
          <w:sz w:val="32"/>
        </w:rPr>
        <w:t>其中：财政拨款收入1,030.67万元，占99.97%；上级补助收入0.00万元，占0.00%；事业收入0.00万元，占0.00%；经营收入0.00万元，占0.00%；附属单位上缴收入0.00万元，占0.00%；其他收入0.35万元，占0.03%。</w:t>
      </w:r>
    </w:p>
    <w:p w14:paraId="5631FBED">
      <w:pPr>
        <w:spacing w:line="640" w:lineRule="exact"/>
        <w:ind w:firstLine="640"/>
        <w:jc w:val="both"/>
        <w:outlineLvl w:val="2"/>
      </w:pPr>
      <w:r>
        <w:rPr>
          <w:rFonts w:ascii="黑体" w:hAnsi="黑体" w:eastAsia="黑体"/>
          <w:sz w:val="32"/>
        </w:rPr>
        <w:t>三、支出决算情况说明</w:t>
      </w:r>
    </w:p>
    <w:p w14:paraId="7A6C2DB8">
      <w:pPr>
        <w:spacing w:line="580" w:lineRule="exact"/>
        <w:ind w:firstLine="640"/>
        <w:jc w:val="both"/>
      </w:pPr>
      <w:r>
        <w:rPr>
          <w:rFonts w:ascii="仿宋_GB2312" w:hAnsi="仿宋_GB2312" w:eastAsia="仿宋_GB2312"/>
          <w:b/>
          <w:sz w:val="32"/>
        </w:rPr>
        <w:t>本年支出1,031.18万元，</w:t>
      </w:r>
      <w:r>
        <w:rPr>
          <w:rFonts w:ascii="仿宋_GB2312" w:hAnsi="仿宋_GB2312" w:eastAsia="仿宋_GB2312"/>
          <w:b w:val="0"/>
          <w:sz w:val="32"/>
        </w:rPr>
        <w:t>其中：基本支出856.45万元，占83.06%；项目支出174.73万元，占16.94%；上缴上级支出0.00万元，占0.00%；经营支出0.00万元，占0.00%；对附属单位补助支出0.00万元，占0.00%。</w:t>
      </w:r>
    </w:p>
    <w:p w14:paraId="18FF23DD">
      <w:pPr>
        <w:spacing w:line="640" w:lineRule="exact"/>
        <w:ind w:firstLine="640"/>
        <w:jc w:val="both"/>
        <w:outlineLvl w:val="2"/>
      </w:pPr>
      <w:r>
        <w:rPr>
          <w:rFonts w:ascii="黑体" w:hAnsi="黑体" w:eastAsia="黑体"/>
          <w:sz w:val="32"/>
        </w:rPr>
        <w:t>四、财政拨款收入支出决算总体情况说明</w:t>
      </w:r>
    </w:p>
    <w:p w14:paraId="26501A6F">
      <w:pPr>
        <w:spacing w:line="580" w:lineRule="exact"/>
        <w:ind w:firstLine="640"/>
        <w:jc w:val="both"/>
      </w:pPr>
      <w:r>
        <w:rPr>
          <w:rFonts w:ascii="仿宋_GB2312" w:hAnsi="仿宋_GB2312" w:eastAsia="仿宋_GB2312"/>
          <w:b/>
          <w:sz w:val="32"/>
        </w:rPr>
        <w:t>2024年度财政拨款收入总计1,030.67万元，</w:t>
      </w:r>
      <w:r>
        <w:rPr>
          <w:rFonts w:ascii="仿宋_GB2312" w:hAnsi="仿宋_GB2312" w:eastAsia="仿宋_GB2312"/>
          <w:b w:val="0"/>
          <w:sz w:val="32"/>
        </w:rPr>
        <w:t>其中：年初财政拨款结转和结余0.00万元，本年财政拨款收入1,030.67万元。</w:t>
      </w:r>
      <w:r>
        <w:rPr>
          <w:rFonts w:ascii="仿宋_GB2312" w:hAnsi="仿宋_GB2312" w:eastAsia="仿宋_GB2312"/>
          <w:b/>
          <w:sz w:val="32"/>
        </w:rPr>
        <w:t>财政拨款支出总计1,030.67万元，</w:t>
      </w:r>
      <w:r>
        <w:rPr>
          <w:rFonts w:ascii="仿宋_GB2312" w:hAnsi="仿宋_GB2312" w:eastAsia="仿宋_GB2312"/>
          <w:b w:val="0"/>
          <w:sz w:val="32"/>
        </w:rPr>
        <w:t>其中：年末财政拨款结转和结余0.00万元，本年财政拨款支出1,030.67万元。</w:t>
      </w:r>
    </w:p>
    <w:p w14:paraId="225E6E2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增加36.23万元，增长3.64%，主要原因是：在职人员工资调增、社保、公积金基数调增，人员经费增加；本年退休人员增加，相应退休经费及职业年金支出较上年增加。</w:t>
      </w:r>
      <w:r>
        <w:rPr>
          <w:rFonts w:ascii="仿宋_GB2312" w:hAnsi="仿宋_GB2312" w:eastAsia="仿宋_GB2312"/>
          <w:b/>
          <w:sz w:val="32"/>
        </w:rPr>
        <w:t>与年初预算相比，</w:t>
      </w:r>
      <w:r>
        <w:rPr>
          <w:rFonts w:ascii="仿宋_GB2312" w:hAnsi="仿宋_GB2312" w:eastAsia="仿宋_GB2312"/>
          <w:b w:val="0"/>
          <w:sz w:val="32"/>
        </w:rPr>
        <w:t>年初预算数1,047.38万元，决算数1,030.67万元，预决算差异率-1.60%，主要原因是：年中调减司法专项业务经费支出。</w:t>
      </w:r>
    </w:p>
    <w:p w14:paraId="4B6FA545">
      <w:pPr>
        <w:spacing w:line="640" w:lineRule="exact"/>
        <w:ind w:firstLine="640"/>
        <w:jc w:val="both"/>
        <w:outlineLvl w:val="2"/>
      </w:pPr>
      <w:r>
        <w:rPr>
          <w:rFonts w:ascii="黑体" w:hAnsi="黑体" w:eastAsia="黑体"/>
          <w:sz w:val="32"/>
        </w:rPr>
        <w:t>五、一般公共预算财政拨款支出决算情况说明</w:t>
      </w:r>
    </w:p>
    <w:p w14:paraId="46516EE2">
      <w:pPr>
        <w:spacing w:line="640" w:lineRule="exact"/>
        <w:ind w:firstLine="640"/>
        <w:jc w:val="both"/>
        <w:outlineLvl w:val="3"/>
      </w:pPr>
      <w:r>
        <w:rPr>
          <w:rFonts w:ascii="楷体_GB2312" w:hAnsi="楷体_GB2312" w:eastAsia="楷体_GB2312"/>
          <w:b/>
          <w:sz w:val="32"/>
        </w:rPr>
        <w:t>（一）一般公共预算财政拨款支出决算总体情况</w:t>
      </w:r>
    </w:p>
    <w:p w14:paraId="283E7F90">
      <w:pPr>
        <w:spacing w:line="580" w:lineRule="exact"/>
        <w:ind w:firstLine="640"/>
        <w:jc w:val="both"/>
      </w:pPr>
      <w:r>
        <w:rPr>
          <w:rFonts w:ascii="仿宋_GB2312" w:hAnsi="仿宋_GB2312" w:eastAsia="仿宋_GB2312"/>
          <w:b/>
          <w:sz w:val="32"/>
        </w:rPr>
        <w:t>2024年度一般公共预算财政拨款支出1,030.67万元，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增加36.23万元，增长3.64%，主要原因是：本年在职人员工资调增、社保、公积金基数调增，人员经费增加；本年退休人员增加，相应退休经费及职业年金支出较上年增加。</w:t>
      </w:r>
      <w:r>
        <w:rPr>
          <w:rFonts w:ascii="仿宋_GB2312" w:hAnsi="仿宋_GB2312" w:eastAsia="仿宋_GB2312"/>
          <w:b/>
          <w:sz w:val="32"/>
        </w:rPr>
        <w:t>与年初预算相比,</w:t>
      </w:r>
      <w:r>
        <w:rPr>
          <w:rFonts w:ascii="仿宋_GB2312" w:hAnsi="仿宋_GB2312" w:eastAsia="仿宋_GB2312"/>
          <w:b w:val="0"/>
          <w:sz w:val="32"/>
        </w:rPr>
        <w:t>年初预算数1,047.38万元，决算数1,030.67万元，预决算差异率-1.60%，主要原因是：年中调减司法专项业务经费支出。</w:t>
      </w:r>
    </w:p>
    <w:p w14:paraId="1D2A41D0">
      <w:pPr>
        <w:spacing w:line="640" w:lineRule="exact"/>
        <w:ind w:firstLine="640"/>
        <w:jc w:val="both"/>
        <w:outlineLvl w:val="3"/>
      </w:pPr>
      <w:r>
        <w:rPr>
          <w:rFonts w:ascii="楷体_GB2312" w:hAnsi="楷体_GB2312" w:eastAsia="楷体_GB2312"/>
          <w:b/>
          <w:sz w:val="32"/>
        </w:rPr>
        <w:t>（二）一般公共预算财政拨款支出决算结构情况</w:t>
      </w:r>
    </w:p>
    <w:p w14:paraId="736A299E">
      <w:pPr>
        <w:spacing w:line="580" w:lineRule="exact"/>
        <w:ind w:firstLine="640"/>
        <w:jc w:val="both"/>
      </w:pPr>
      <w:r>
        <w:rPr>
          <w:rFonts w:ascii="仿宋_GB2312" w:hAnsi="仿宋_GB2312" w:eastAsia="仿宋_GB2312"/>
          <w:b w:val="0"/>
          <w:sz w:val="32"/>
        </w:rPr>
        <w:t>1.一般公共服务支出(类)1.21万元,占0.12%。</w:t>
      </w:r>
    </w:p>
    <w:p w14:paraId="05213E9E">
      <w:pPr>
        <w:spacing w:line="580" w:lineRule="exact"/>
        <w:ind w:firstLine="640"/>
        <w:jc w:val="both"/>
      </w:pPr>
      <w:r>
        <w:rPr>
          <w:rFonts w:ascii="仿宋_GB2312" w:hAnsi="仿宋_GB2312" w:eastAsia="仿宋_GB2312"/>
          <w:b w:val="0"/>
          <w:sz w:val="32"/>
        </w:rPr>
        <w:t>2.公共安全支出(类)849.89万元,占82.46%。</w:t>
      </w:r>
    </w:p>
    <w:p w14:paraId="35EC62E9">
      <w:pPr>
        <w:spacing w:line="580" w:lineRule="exact"/>
        <w:ind w:firstLine="640"/>
        <w:jc w:val="both"/>
      </w:pPr>
      <w:r>
        <w:rPr>
          <w:rFonts w:ascii="仿宋_GB2312" w:hAnsi="仿宋_GB2312" w:eastAsia="仿宋_GB2312"/>
          <w:b w:val="0"/>
          <w:sz w:val="32"/>
        </w:rPr>
        <w:t>3.科学技术支出(类)4.78万元,占0.46%。</w:t>
      </w:r>
    </w:p>
    <w:p w14:paraId="4CD574A3">
      <w:pPr>
        <w:spacing w:line="580" w:lineRule="exact"/>
        <w:ind w:firstLine="640"/>
        <w:jc w:val="both"/>
      </w:pPr>
      <w:r>
        <w:rPr>
          <w:rFonts w:ascii="仿宋_GB2312" w:hAnsi="仿宋_GB2312" w:eastAsia="仿宋_GB2312"/>
          <w:b w:val="0"/>
          <w:sz w:val="32"/>
        </w:rPr>
        <w:t>4.社会保障和就业支出(类)103.69万元,占10.06%。</w:t>
      </w:r>
    </w:p>
    <w:p w14:paraId="797A4BC8">
      <w:pPr>
        <w:spacing w:line="580" w:lineRule="exact"/>
        <w:ind w:firstLine="640"/>
        <w:jc w:val="both"/>
      </w:pPr>
      <w:r>
        <w:rPr>
          <w:rFonts w:ascii="仿宋_GB2312" w:hAnsi="仿宋_GB2312" w:eastAsia="仿宋_GB2312"/>
          <w:b w:val="0"/>
          <w:sz w:val="32"/>
        </w:rPr>
        <w:t>5.卫生健康支出(类)29.27万元,占2.84%。</w:t>
      </w:r>
    </w:p>
    <w:p w14:paraId="352ACC01">
      <w:pPr>
        <w:spacing w:line="580" w:lineRule="exact"/>
        <w:ind w:firstLine="640"/>
        <w:jc w:val="both"/>
      </w:pPr>
      <w:r>
        <w:rPr>
          <w:rFonts w:ascii="仿宋_GB2312" w:hAnsi="仿宋_GB2312" w:eastAsia="仿宋_GB2312"/>
          <w:b w:val="0"/>
          <w:sz w:val="32"/>
        </w:rPr>
        <w:t>6.住房保障支出(类)41.83万元,占4.06%。</w:t>
      </w:r>
    </w:p>
    <w:p w14:paraId="7260B201">
      <w:pPr>
        <w:spacing w:line="640" w:lineRule="exact"/>
        <w:ind w:firstLine="640"/>
        <w:jc w:val="both"/>
        <w:outlineLvl w:val="3"/>
      </w:pPr>
      <w:r>
        <w:rPr>
          <w:rFonts w:ascii="楷体_GB2312" w:hAnsi="楷体_GB2312" w:eastAsia="楷体_GB2312"/>
          <w:b/>
          <w:sz w:val="32"/>
        </w:rPr>
        <w:t>（三）一般公共预算财政拨款支出决算具体情况</w:t>
      </w:r>
    </w:p>
    <w:p w14:paraId="043B0006">
      <w:pPr>
        <w:spacing w:line="580" w:lineRule="exact"/>
        <w:ind w:firstLine="640"/>
        <w:jc w:val="both"/>
      </w:pPr>
      <w:r>
        <w:rPr>
          <w:rFonts w:ascii="仿宋_GB2312" w:hAnsi="仿宋_GB2312" w:eastAsia="仿宋_GB2312"/>
          <w:b w:val="0"/>
          <w:sz w:val="32"/>
        </w:rPr>
        <w:t>1.一般公共服务支出(类)组织事务(款)其他组织事务支出(项):支出决算数为1.21万元，比上年决算增加1.21万元，增长100.00%,主要原因是：本年新增为民办实事工作人员生活补助费。</w:t>
      </w:r>
    </w:p>
    <w:p w14:paraId="406E5B9D">
      <w:pPr>
        <w:spacing w:line="580" w:lineRule="exact"/>
        <w:ind w:firstLine="640"/>
        <w:jc w:val="both"/>
      </w:pPr>
      <w:r>
        <w:rPr>
          <w:rFonts w:ascii="仿宋_GB2312" w:hAnsi="仿宋_GB2312" w:eastAsia="仿宋_GB2312"/>
          <w:b w:val="0"/>
          <w:sz w:val="32"/>
        </w:rPr>
        <w:t>2.公共安全支出(类)司法(款)行政运行(项):支出决算数为639.87万元，比上年决算增加1.07万元，增长0.17%,主要原因是：本年在职人员工资调增，导致相关人员经费较上年有所增加。</w:t>
      </w:r>
    </w:p>
    <w:p w14:paraId="303417D0">
      <w:pPr>
        <w:spacing w:line="580" w:lineRule="exact"/>
        <w:ind w:firstLine="640"/>
        <w:jc w:val="both"/>
        <w:rPr>
          <w:spacing w:val="-6"/>
          <w:sz w:val="32"/>
        </w:rPr>
      </w:pPr>
      <w:r>
        <w:rPr>
          <w:rFonts w:ascii="仿宋_GB2312" w:hAnsi="仿宋_GB2312" w:eastAsia="仿宋_GB2312"/>
          <w:b w:val="0"/>
          <w:spacing w:val="-6"/>
          <w:sz w:val="32"/>
        </w:rPr>
        <w:t>3.公共安全支出(类)司法(款)事业运行(项):支出决算数为35.28万元，比上年决算增加13.37万元，增长61.02%,主要原因是：本年在职人员工资调增，导致相关人员经费较上年有所增加。</w:t>
      </w:r>
    </w:p>
    <w:p w14:paraId="766EBD36">
      <w:pPr>
        <w:spacing w:line="580" w:lineRule="exact"/>
        <w:ind w:firstLine="640"/>
        <w:jc w:val="both"/>
      </w:pPr>
      <w:r>
        <w:rPr>
          <w:rFonts w:ascii="仿宋_GB2312" w:hAnsi="仿宋_GB2312" w:eastAsia="仿宋_GB2312"/>
          <w:b w:val="0"/>
          <w:sz w:val="32"/>
        </w:rPr>
        <w:t>4.公共安全支出(类)司法(款)其他司法支出(项):支出决算数为174.73万元，比上年决算减少0.27万元，下降0.15%,主要原因是：本年减少司法业务经费支出。</w:t>
      </w:r>
    </w:p>
    <w:p w14:paraId="31FC6D88">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5.科学技术支出(类)科技条件与服务(款)其他科技条件与服务支出(项):支出决算数为4.78万元，比上年决算增加4.78万元，增长100.00%,主要原因是：本年新增专项业务经费。</w:t>
      </w:r>
    </w:p>
    <w:p w14:paraId="556CB9DB">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14.08万元，比上年决算增加9.27万元，增长192.72%,主要原因是：本年新增退休人员，且发放退休人员基础绩效奖，行政单位离退休支出增加。</w:t>
      </w:r>
    </w:p>
    <w:p w14:paraId="0CBBB24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52.49万元，比上年决算增加4.57万元，增长9.54%,主要原因是：本年在职人员调薪，基本养老保险缴费基数增加，相应支出增加。</w:t>
      </w:r>
    </w:p>
    <w:p w14:paraId="40E98014">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37.11万元，比上年决算增加5.52万元，增长17.47%,主要原因是：本年新增退休人员较上年增加，职业年金缴费支出增加。</w:t>
      </w:r>
    </w:p>
    <w:p w14:paraId="75492269">
      <w:pPr>
        <w:spacing w:line="580" w:lineRule="exact"/>
        <w:ind w:firstLine="640"/>
        <w:jc w:val="both"/>
      </w:pPr>
      <w:r>
        <w:rPr>
          <w:rFonts w:ascii="仿宋_GB2312" w:hAnsi="仿宋_GB2312" w:eastAsia="仿宋_GB2312"/>
          <w:b w:val="0"/>
          <w:sz w:val="32"/>
        </w:rPr>
        <w:t>9.卫生健康支出(类)行政事业单位医疗(款)行政单位医疗(项):支出决算数为25.75万元，比上年决算减少7.24万元，下降21.95%,主要原因是：一是本年在职人员调入调出，人员职级不同，缴费基数不同，导致行政单位医疗较上年减少。二是本年事业单位医疗从本科目分离，单独列支，相应经费下降。</w:t>
      </w:r>
    </w:p>
    <w:p w14:paraId="1DC8E689">
      <w:pPr>
        <w:spacing w:line="580" w:lineRule="exact"/>
        <w:ind w:firstLine="640"/>
        <w:jc w:val="both"/>
      </w:pPr>
      <w:r>
        <w:rPr>
          <w:rFonts w:ascii="仿宋_GB2312" w:hAnsi="仿宋_GB2312" w:eastAsia="仿宋_GB2312"/>
          <w:b w:val="0"/>
          <w:sz w:val="32"/>
        </w:rPr>
        <w:t>10.卫生健康支出(类)行政事业单位医疗(款)事业单位医疗(项):支出决算数为1.80万元，比上年决算增加1.80万元，增长100.00%,主要原因是：本年事业单位医疗从行政单位医疗科目分离，单独列支，事业单位医疗支出较上年增加。</w:t>
      </w:r>
    </w:p>
    <w:p w14:paraId="3DA26A32">
      <w:pPr>
        <w:spacing w:line="580" w:lineRule="exact"/>
        <w:ind w:firstLine="640"/>
        <w:jc w:val="both"/>
      </w:pPr>
      <w:r>
        <w:rPr>
          <w:rFonts w:ascii="仿宋_GB2312" w:hAnsi="仿宋_GB2312" w:eastAsia="仿宋_GB2312"/>
          <w:b w:val="0"/>
          <w:sz w:val="32"/>
        </w:rPr>
        <w:t>11.卫生健康支出(类)行政事业单位医疗(款)公务员医疗补助(项):支出决算数为1.72万元，比上年决算减少0.95万元，下降35.58%,主要原因是：本年在职人员调入调出，人员职级不同，缴费基数不同，导致公务员医疗补助较上年减少。</w:t>
      </w:r>
    </w:p>
    <w:p w14:paraId="0ED337D7">
      <w:pPr>
        <w:spacing w:line="580" w:lineRule="exact"/>
        <w:ind w:firstLine="640"/>
        <w:jc w:val="both"/>
        <w:rPr>
          <w:spacing w:val="-6"/>
          <w:sz w:val="32"/>
        </w:rPr>
      </w:pPr>
      <w:r>
        <w:rPr>
          <w:rFonts w:ascii="仿宋_GB2312" w:hAnsi="仿宋_GB2312" w:eastAsia="仿宋_GB2312"/>
          <w:b w:val="0"/>
          <w:spacing w:val="-6"/>
          <w:sz w:val="32"/>
        </w:rPr>
        <w:t>12.住房保障支出(类)住房改革支出(款)住房公积金(项):支出决算数为41.83万元，比上年决算增加3.08万元，增长7.95%,主要原因是：本年在职人员调薪，公积金基数增加，相应支出增加。</w:t>
      </w:r>
    </w:p>
    <w:p w14:paraId="0E2390BC">
      <w:pPr>
        <w:spacing w:line="640" w:lineRule="exact"/>
        <w:ind w:firstLine="640"/>
        <w:jc w:val="both"/>
        <w:outlineLvl w:val="2"/>
      </w:pPr>
      <w:r>
        <w:rPr>
          <w:rFonts w:ascii="黑体" w:hAnsi="黑体" w:eastAsia="黑体"/>
          <w:sz w:val="32"/>
        </w:rPr>
        <w:t>六、一般公共预算财政拨款基本支出决算情况说明</w:t>
      </w:r>
    </w:p>
    <w:p w14:paraId="61A6FC3F">
      <w:pPr>
        <w:spacing w:line="580" w:lineRule="exact"/>
        <w:ind w:firstLine="640"/>
        <w:jc w:val="both"/>
      </w:pPr>
      <w:r>
        <w:rPr>
          <w:rFonts w:ascii="仿宋_GB2312" w:hAnsi="仿宋_GB2312" w:eastAsia="仿宋_GB2312"/>
          <w:b w:val="0"/>
          <w:sz w:val="32"/>
        </w:rPr>
        <w:t>2024年度一般公共预算财政拨款基本支出855.95万元，其中：</w:t>
      </w:r>
      <w:r>
        <w:rPr>
          <w:rFonts w:ascii="仿宋_GB2312" w:hAnsi="仿宋_GB2312" w:eastAsia="仿宋_GB2312"/>
          <w:b/>
          <w:sz w:val="32"/>
        </w:rPr>
        <w:t>人员经费744.51万元，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523C9808">
      <w:pPr>
        <w:spacing w:line="580" w:lineRule="exact"/>
        <w:ind w:firstLine="640"/>
        <w:jc w:val="both"/>
      </w:pPr>
      <w:r>
        <w:rPr>
          <w:rFonts w:ascii="仿宋_GB2312" w:hAnsi="仿宋_GB2312" w:eastAsia="仿宋_GB2312"/>
          <w:b/>
          <w:sz w:val="32"/>
        </w:rPr>
        <w:t>公用经费111.44万元，</w:t>
      </w:r>
      <w:r>
        <w:rPr>
          <w:rFonts w:ascii="仿宋_GB2312" w:hAnsi="仿宋_GB2312" w:eastAsia="仿宋_GB2312"/>
          <w:b w:val="0"/>
          <w:sz w:val="32"/>
        </w:rPr>
        <w:t>包括：办公费、水费、电费、邮电费、差旅费、维修（护）费、租赁费、培训费、公务接待费、劳务费、委托业务费、工会经费、公务用车运行维护费、其他商品和服务支出。</w:t>
      </w:r>
    </w:p>
    <w:p w14:paraId="126B66BD">
      <w:pPr>
        <w:spacing w:line="640" w:lineRule="exact"/>
        <w:ind w:firstLine="640"/>
        <w:jc w:val="both"/>
        <w:outlineLvl w:val="2"/>
      </w:pPr>
      <w:r>
        <w:rPr>
          <w:rFonts w:ascii="黑体" w:hAnsi="黑体" w:eastAsia="黑体"/>
          <w:sz w:val="32"/>
        </w:rPr>
        <w:t>七、政府性基金预算财政拨款收入支出决算情况说明</w:t>
      </w:r>
    </w:p>
    <w:p w14:paraId="1EC53E5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F17C4EC">
      <w:pPr>
        <w:spacing w:line="640" w:lineRule="exact"/>
        <w:ind w:firstLine="640"/>
        <w:jc w:val="both"/>
        <w:outlineLvl w:val="2"/>
      </w:pPr>
      <w:r>
        <w:rPr>
          <w:rFonts w:ascii="黑体" w:hAnsi="黑体" w:eastAsia="黑体"/>
          <w:sz w:val="32"/>
        </w:rPr>
        <w:t>八、国有资本经营预算财政拨款收入支出决算情况说明</w:t>
      </w:r>
    </w:p>
    <w:p w14:paraId="49D0F24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4DB88F">
      <w:pPr>
        <w:spacing w:line="640" w:lineRule="exact"/>
        <w:ind w:firstLine="640"/>
        <w:jc w:val="both"/>
        <w:outlineLvl w:val="2"/>
      </w:pPr>
      <w:r>
        <w:rPr>
          <w:rFonts w:ascii="黑体" w:hAnsi="黑体" w:eastAsia="黑体"/>
          <w:sz w:val="32"/>
        </w:rPr>
        <w:t>九、财政拨款“三公”经费支出决算情况说明</w:t>
      </w:r>
    </w:p>
    <w:p w14:paraId="77352B22">
      <w:pPr>
        <w:spacing w:line="580" w:lineRule="exact"/>
        <w:ind w:firstLine="640"/>
        <w:jc w:val="both"/>
      </w:pPr>
      <w:r>
        <w:rPr>
          <w:rFonts w:ascii="仿宋_GB2312" w:hAnsi="仿宋_GB2312" w:eastAsia="仿宋_GB2312"/>
          <w:b/>
          <w:sz w:val="32"/>
        </w:rPr>
        <w:t>2024年度财政拨款“三公”经费支出7.25万元，</w:t>
      </w:r>
      <w:r>
        <w:rPr>
          <w:rFonts w:ascii="仿宋_GB2312" w:hAnsi="仿宋_GB2312" w:eastAsia="仿宋_GB2312"/>
          <w:b w:val="0"/>
          <w:sz w:val="32"/>
        </w:rPr>
        <w:t>比上年增加7.15万元，增长7,150.00%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7.15万元，占98.62%，比上年增加7.15万元，增长100.00%，主要原因是：本年因业务需求，用车次数增加，燃油费增加，导致公务用车运行维护费较上年增加。公务接待费支出0.10万元，占1.38%，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公务接待费与上年一致无变化。</w:t>
      </w:r>
    </w:p>
    <w:p w14:paraId="3A68B164">
      <w:pPr>
        <w:spacing w:line="580" w:lineRule="exact"/>
        <w:ind w:firstLine="640"/>
        <w:jc w:val="both"/>
      </w:pPr>
      <w:r>
        <w:rPr>
          <w:rFonts w:ascii="仿宋_GB2312" w:hAnsi="仿宋_GB2312" w:eastAsia="仿宋_GB2312"/>
          <w:b/>
          <w:sz w:val="32"/>
        </w:rPr>
        <w:t>具体情况如下：</w:t>
      </w:r>
    </w:p>
    <w:p w14:paraId="4DD33F2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EFE4FA1">
      <w:pPr>
        <w:spacing w:line="580" w:lineRule="exact"/>
        <w:ind w:firstLine="640"/>
        <w:jc w:val="both"/>
      </w:pPr>
      <w:r>
        <w:rPr>
          <w:rFonts w:ascii="仿宋_GB2312" w:hAnsi="仿宋_GB2312" w:eastAsia="仿宋_GB2312"/>
          <w:b w:val="0"/>
          <w:sz w:val="32"/>
        </w:rPr>
        <w:t>公务用车购置及运行维护费7.15万元，其中：公务用车购置费0.00万元，公务用车运行维护费7.15万元。公务用车运行维护费开支内容包括车辆加油费、维修费、保险费、审车费、过路费等。公务用车购置数0辆，公务用车保有量14辆。国有资产占用情况中固定资产车辆14辆，与公务用车保有量差异原因是：本单位固定资产车辆与公务用车保有量一致无差异。</w:t>
      </w:r>
    </w:p>
    <w:p w14:paraId="3634CF1D">
      <w:pPr>
        <w:spacing w:line="580" w:lineRule="exact"/>
        <w:ind w:firstLine="640"/>
        <w:jc w:val="both"/>
      </w:pPr>
      <w:r>
        <w:rPr>
          <w:rFonts w:ascii="仿宋_GB2312" w:hAnsi="仿宋_GB2312" w:eastAsia="仿宋_GB2312"/>
          <w:b w:val="0"/>
          <w:sz w:val="32"/>
        </w:rPr>
        <w:t>公务接待费0.10万元，开支内容包括因接待上级领导检查产生的就餐费。单位全年安排的国内公务接待2批次，21人次。</w:t>
      </w:r>
    </w:p>
    <w:p w14:paraId="5467473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7.25万元，决算数7.25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7.15万元，决算数7.15万元，预决算差异率0.00%，主要原因是：严格按照预算执行，预决算无差异。公务接待费全年预算数0.10万元，决算数0.10万元，预决算差异率0.00%，主要原因是：严格按照预算执行，预决算无差异。</w:t>
      </w:r>
    </w:p>
    <w:p w14:paraId="71CFFC65">
      <w:pPr>
        <w:spacing w:line="640" w:lineRule="exact"/>
        <w:ind w:firstLine="640"/>
        <w:jc w:val="both"/>
        <w:outlineLvl w:val="2"/>
      </w:pPr>
      <w:r>
        <w:rPr>
          <w:rFonts w:ascii="黑体" w:hAnsi="黑体" w:eastAsia="黑体"/>
          <w:sz w:val="32"/>
        </w:rPr>
        <w:t>十、其他重要事项的情况说明</w:t>
      </w:r>
    </w:p>
    <w:p w14:paraId="69BF5C51">
      <w:pPr>
        <w:spacing w:line="640" w:lineRule="exact"/>
        <w:ind w:firstLine="640"/>
        <w:jc w:val="both"/>
        <w:outlineLvl w:val="3"/>
      </w:pPr>
      <w:r>
        <w:rPr>
          <w:rFonts w:ascii="楷体_GB2312" w:hAnsi="楷体_GB2312" w:eastAsia="楷体_GB2312"/>
          <w:b/>
          <w:sz w:val="32"/>
        </w:rPr>
        <w:t>（一）机关运行经费及公用经费支出情况</w:t>
      </w:r>
    </w:p>
    <w:p w14:paraId="7424F886">
      <w:pPr>
        <w:spacing w:line="580" w:lineRule="exact"/>
        <w:ind w:firstLine="640"/>
        <w:jc w:val="both"/>
      </w:pPr>
      <w:r>
        <w:rPr>
          <w:rFonts w:ascii="仿宋_GB2312" w:hAnsi="仿宋_GB2312" w:eastAsia="仿宋_GB2312"/>
          <w:b w:val="0"/>
          <w:sz w:val="32"/>
        </w:rPr>
        <w:t>2024年度吉木萨尔县司法局（行政单位和参照公务员法管理事业单位）机关运行经费支出111.44万元，比上年增加39.62万元，增长55.17%，主要原因是：本年业务需求增加，办公费用、电费、公务用车运行维护费增加。</w:t>
      </w:r>
    </w:p>
    <w:p w14:paraId="52555C27">
      <w:pPr>
        <w:spacing w:line="640" w:lineRule="exact"/>
        <w:ind w:firstLine="640"/>
        <w:jc w:val="both"/>
        <w:outlineLvl w:val="3"/>
      </w:pPr>
      <w:r>
        <w:rPr>
          <w:rFonts w:ascii="楷体_GB2312" w:hAnsi="楷体_GB2312" w:eastAsia="楷体_GB2312"/>
          <w:b/>
          <w:sz w:val="32"/>
        </w:rPr>
        <w:t>（二）政府采购情况</w:t>
      </w:r>
    </w:p>
    <w:p w14:paraId="1922A859">
      <w:pPr>
        <w:spacing w:line="580" w:lineRule="exact"/>
        <w:ind w:firstLine="640"/>
        <w:jc w:val="both"/>
      </w:pPr>
      <w:r>
        <w:rPr>
          <w:rFonts w:ascii="仿宋_GB2312" w:hAnsi="仿宋_GB2312" w:eastAsia="仿宋_GB2312"/>
          <w:b w:val="0"/>
          <w:sz w:val="32"/>
        </w:rPr>
        <w:t>2024年度政府采购支出总额51.19万元，其中：政府采购货物支出42.22万元、政府采购工程支出0.00万元、政府采购服务支出8.98万元。</w:t>
      </w:r>
    </w:p>
    <w:p w14:paraId="5E1BB3E2">
      <w:pPr>
        <w:spacing w:line="580" w:lineRule="exact"/>
        <w:ind w:firstLine="640"/>
        <w:jc w:val="both"/>
      </w:pPr>
      <w:r>
        <w:rPr>
          <w:rFonts w:ascii="仿宋_GB2312" w:hAnsi="仿宋_GB2312" w:eastAsia="仿宋_GB2312"/>
          <w:b w:val="0"/>
          <w:sz w:val="32"/>
        </w:rPr>
        <w:t>授予中小企业合同金额17.87万元，占政府采购支出总额的34.91%，其中：授予小微企业合同金额17.63万元，占政府采购支出总额的34.44%。</w:t>
      </w:r>
    </w:p>
    <w:p w14:paraId="32899DA7">
      <w:pPr>
        <w:spacing w:line="640" w:lineRule="exact"/>
        <w:ind w:firstLine="640"/>
        <w:jc w:val="both"/>
        <w:outlineLvl w:val="3"/>
      </w:pPr>
      <w:r>
        <w:rPr>
          <w:rFonts w:ascii="楷体_GB2312" w:hAnsi="楷体_GB2312" w:eastAsia="楷体_GB2312"/>
          <w:b/>
          <w:sz w:val="32"/>
        </w:rPr>
        <w:t>（三）国有资产占用情况说明</w:t>
      </w:r>
    </w:p>
    <w:p w14:paraId="15C2C70B">
      <w:pPr>
        <w:spacing w:line="580" w:lineRule="exact"/>
        <w:ind w:firstLine="640"/>
        <w:jc w:val="both"/>
      </w:pPr>
      <w:r>
        <w:rPr>
          <w:rFonts w:ascii="仿宋_GB2312" w:hAnsi="仿宋_GB2312" w:eastAsia="仿宋_GB2312"/>
          <w:b w:val="0"/>
          <w:sz w:val="32"/>
        </w:rPr>
        <w:t>截至2024年12月31日，房屋5,705.70平方米，价值672.00万元。车辆14辆，价值136.25万元，其中：副部（省）级及以上领导用车0辆、主要负责人用车0辆、机要通信用车0辆、应急保障用车0辆、执法执勤用车5辆、特种专业技术用车0辆、离退休干部服务用车0辆、其他用车9辆，其他用车主要是：一般公务用车。单价100万元（含）以上设备（不含车辆）0台（套）。</w:t>
      </w:r>
    </w:p>
    <w:p w14:paraId="69BC51B3">
      <w:pPr>
        <w:spacing w:line="640" w:lineRule="exact"/>
        <w:ind w:firstLine="640"/>
        <w:jc w:val="both"/>
        <w:outlineLvl w:val="2"/>
      </w:pPr>
      <w:r>
        <w:rPr>
          <w:rFonts w:ascii="黑体" w:hAnsi="黑体" w:eastAsia="黑体"/>
          <w:sz w:val="32"/>
        </w:rPr>
        <w:t>十一、预算绩效的情况说明</w:t>
      </w:r>
    </w:p>
    <w:p w14:paraId="3E0E122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1,055.17万元，实际执行总额1,047.38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无绩效自评表。具体附整体支出绩效自评表。</w:t>
      </w:r>
    </w:p>
    <w:p w14:paraId="6B6EC8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C14B04">
        <w:tblPrEx>
          <w:tblCellMar>
            <w:top w:w="0" w:type="dxa"/>
            <w:left w:w="108" w:type="dxa"/>
            <w:bottom w:w="0" w:type="dxa"/>
            <w:right w:w="108" w:type="dxa"/>
          </w:tblCellMar>
        </w:tblPrEx>
        <w:tc>
          <w:tcPr>
            <w:tcW w:w="8847" w:type="dxa"/>
            <w:gridSpan w:val="9"/>
            <w:vAlign w:val="center"/>
          </w:tcPr>
          <w:p w14:paraId="4647E9F1">
            <w:pPr>
              <w:jc w:val="center"/>
            </w:pPr>
            <w:r>
              <w:rPr>
                <w:rFonts w:ascii="宋体" w:hAnsi="宋体" w:eastAsia="宋体"/>
                <w:sz w:val="24"/>
              </w:rPr>
              <w:t>单位整体支出绩效自评表</w:t>
            </w:r>
          </w:p>
        </w:tc>
      </w:tr>
      <w:tr w14:paraId="7C512054">
        <w:tblPrEx>
          <w:tblCellMar>
            <w:top w:w="0" w:type="dxa"/>
            <w:left w:w="108" w:type="dxa"/>
            <w:bottom w:w="0" w:type="dxa"/>
            <w:right w:w="108" w:type="dxa"/>
          </w:tblCellMar>
        </w:tblPrEx>
        <w:tc>
          <w:tcPr>
            <w:tcW w:w="8847" w:type="dxa"/>
            <w:gridSpan w:val="9"/>
            <w:vAlign w:val="center"/>
          </w:tcPr>
          <w:p w14:paraId="79D164B1">
            <w:pPr>
              <w:jc w:val="center"/>
            </w:pPr>
            <w:r>
              <w:rPr>
                <w:rFonts w:ascii="宋体" w:hAnsi="宋体" w:eastAsia="宋体"/>
                <w:sz w:val="24"/>
              </w:rPr>
              <w:t>（2024年度）</w:t>
            </w:r>
          </w:p>
        </w:tc>
      </w:tr>
      <w:tr w14:paraId="626CC5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0E05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78E9DC">
            <w:pPr>
              <w:jc w:val="center"/>
            </w:pPr>
            <w:r>
              <w:rPr>
                <w:rFonts w:ascii="宋体" w:hAnsi="宋体" w:eastAsia="宋体"/>
                <w:sz w:val="16"/>
              </w:rPr>
              <w:t>吉木萨尔县司法局</w:t>
            </w:r>
          </w:p>
        </w:tc>
      </w:tr>
      <w:tr w14:paraId="57CC3D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8F92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8703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AB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1E1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A2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448C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9496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A4ACB">
            <w:pPr>
              <w:jc w:val="center"/>
            </w:pPr>
            <w:r>
              <w:rPr>
                <w:rFonts w:ascii="宋体" w:hAnsi="宋体" w:eastAsia="宋体"/>
                <w:sz w:val="16"/>
              </w:rPr>
              <w:t>得分</w:t>
            </w:r>
          </w:p>
        </w:tc>
      </w:tr>
      <w:tr w14:paraId="05B7B1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35D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113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5CB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DAC57">
            <w:pPr>
              <w:jc w:val="center"/>
            </w:pPr>
            <w:r>
              <w:rPr>
                <w:rFonts w:ascii="宋体" w:hAnsi="宋体" w:eastAsia="宋体"/>
                <w:sz w:val="16"/>
              </w:rPr>
              <w:t>103.00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A3FBD">
            <w:pPr>
              <w:jc w:val="center"/>
            </w:pPr>
            <w:r>
              <w:rPr>
                <w:rFonts w:ascii="宋体" w:hAnsi="宋体" w:eastAsia="宋体"/>
                <w:sz w:val="16"/>
              </w:rPr>
              <w:t>103.00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B88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8CC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3C53">
            <w:pPr>
              <w:jc w:val="center"/>
            </w:pPr>
            <w:r>
              <w:rPr>
                <w:rFonts w:ascii="宋体" w:hAnsi="宋体" w:eastAsia="宋体"/>
                <w:sz w:val="16"/>
              </w:rPr>
              <w:t>-</w:t>
            </w:r>
          </w:p>
        </w:tc>
      </w:tr>
      <w:tr w14:paraId="3EC13C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D89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69D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40423">
            <w:pPr>
              <w:jc w:val="center"/>
            </w:pPr>
            <w:r>
              <w:rPr>
                <w:rFonts w:ascii="宋体" w:hAnsi="宋体" w:eastAsia="宋体"/>
                <w:sz w:val="16"/>
              </w:rPr>
              <w:t>1,047.38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A01E3">
            <w:pPr>
              <w:jc w:val="center"/>
            </w:pPr>
            <w:r>
              <w:rPr>
                <w:rFonts w:ascii="宋体" w:hAnsi="宋体" w:eastAsia="宋体"/>
                <w:sz w:val="16"/>
              </w:rPr>
              <w:t>952.17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0A88E">
            <w:pPr>
              <w:jc w:val="center"/>
            </w:pPr>
            <w:r>
              <w:rPr>
                <w:rFonts w:ascii="宋体" w:hAnsi="宋体" w:eastAsia="宋体"/>
                <w:sz w:val="16"/>
              </w:rPr>
              <w:t>944.38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4E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DA5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56D63">
            <w:pPr>
              <w:jc w:val="center"/>
            </w:pPr>
            <w:r>
              <w:rPr>
                <w:rFonts w:ascii="宋体" w:hAnsi="宋体" w:eastAsia="宋体"/>
                <w:sz w:val="16"/>
              </w:rPr>
              <w:t>-</w:t>
            </w:r>
          </w:p>
        </w:tc>
      </w:tr>
      <w:tr w14:paraId="66AC5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224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4373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F8B33">
            <w:pPr>
              <w:jc w:val="center"/>
            </w:pPr>
            <w:r>
              <w:rPr>
                <w:rFonts w:ascii="宋体" w:hAnsi="宋体" w:eastAsia="宋体"/>
                <w:sz w:val="16"/>
              </w:rPr>
              <w:t>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15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21B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A12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6C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799DE">
            <w:pPr>
              <w:jc w:val="center"/>
            </w:pPr>
            <w:r>
              <w:rPr>
                <w:rFonts w:ascii="宋体" w:hAnsi="宋体" w:eastAsia="宋体"/>
                <w:sz w:val="16"/>
              </w:rPr>
              <w:t>-</w:t>
            </w:r>
          </w:p>
        </w:tc>
      </w:tr>
      <w:tr w14:paraId="30CE22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D8F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3DCC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69B40">
            <w:pPr>
              <w:jc w:val="center"/>
            </w:pPr>
            <w:r>
              <w:rPr>
                <w:rFonts w:ascii="宋体" w:hAnsi="宋体" w:eastAsia="宋体"/>
                <w:sz w:val="16"/>
              </w:rPr>
              <w:t>1,055.17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8702D">
            <w:pPr>
              <w:jc w:val="center"/>
            </w:pPr>
            <w:r>
              <w:rPr>
                <w:rFonts w:ascii="宋体" w:hAnsi="宋体" w:eastAsia="宋体"/>
                <w:sz w:val="16"/>
              </w:rPr>
              <w:t>1,055.17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1172">
            <w:pPr>
              <w:jc w:val="center"/>
            </w:pPr>
            <w:r>
              <w:rPr>
                <w:rFonts w:ascii="宋体" w:hAnsi="宋体" w:eastAsia="宋体"/>
                <w:sz w:val="16"/>
              </w:rPr>
              <w:t>1,047.38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C87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EE70F">
            <w:pPr>
              <w:jc w:val="center"/>
            </w:pPr>
            <w:r>
              <w:rPr>
                <w:rFonts w:ascii="宋体" w:hAnsi="宋体" w:eastAsia="宋体"/>
                <w:sz w:val="16"/>
              </w:rPr>
              <w:t>99.26%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D0E39">
            <w:pPr>
              <w:jc w:val="center"/>
            </w:pPr>
            <w:r>
              <w:rPr>
                <w:rFonts w:ascii="宋体" w:hAnsi="宋体" w:eastAsia="宋体"/>
                <w:sz w:val="16"/>
              </w:rPr>
              <w:t>9.93</w:t>
            </w:r>
          </w:p>
        </w:tc>
      </w:tr>
      <w:tr w14:paraId="67C606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E92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6BF8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E6130B">
            <w:pPr>
              <w:jc w:val="center"/>
            </w:pPr>
            <w:r>
              <w:rPr>
                <w:rFonts w:ascii="宋体" w:hAnsi="宋体" w:eastAsia="宋体"/>
                <w:sz w:val="16"/>
              </w:rPr>
              <w:t>实际完成情况</w:t>
            </w:r>
          </w:p>
        </w:tc>
      </w:tr>
      <w:tr w14:paraId="20D733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62E4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C01328">
            <w:pPr>
              <w:jc w:val="both"/>
            </w:pPr>
            <w:r>
              <w:rPr>
                <w:rFonts w:ascii="宋体" w:hAnsi="宋体" w:eastAsia="宋体"/>
                <w:sz w:val="16"/>
              </w:rPr>
              <w:t>提高司法行政机关执政为民形象，为困难群众提供正确的法律指导，减少上访事件的发生维护社会和谐稳定</w:t>
            </w:r>
            <w:r>
              <w:rPr>
                <w:rFonts w:hint="eastAsia" w:ascii="宋体" w:hAnsi="宋体"/>
                <w:sz w:val="16"/>
                <w:lang w:eastAsia="zh-CN"/>
              </w:rPr>
              <w:t>；</w:t>
            </w:r>
            <w:r>
              <w:rPr>
                <w:rFonts w:ascii="宋体" w:hAnsi="宋体" w:eastAsia="宋体"/>
                <w:sz w:val="16"/>
              </w:rPr>
              <w:t>对刑释解教人员安帮政策落实，促进刑释解教人员成为社会有用之人</w:t>
            </w:r>
            <w:r>
              <w:rPr>
                <w:rFonts w:hint="eastAsia" w:ascii="宋体" w:hAnsi="宋体"/>
                <w:sz w:val="16"/>
                <w:lang w:eastAsia="zh-CN"/>
              </w:rPr>
              <w:t>；</w:t>
            </w:r>
            <w:r>
              <w:rPr>
                <w:rFonts w:ascii="宋体" w:hAnsi="宋体" w:eastAsia="宋体"/>
                <w:sz w:val="16"/>
              </w:rPr>
              <w:t>全面完成全县普法规划确定的任务目标。财政供养人员年度目标值达到≥29人；党政机关、人民团体法律顾问覆盖率达到90%；一村一法律顾问配备率达到100%；矛盾纠纷调率年度目标值≥95%；受理公证案件年度目标值≥500件；受理法律援助案件年度目标值≥100件；推进行政复议体制改革工作，做到一级政府复议工作以“一个窗口”对外，完成法定办结率年度目标值达到100%；县委管理的领导干部提拔任用和职级晋升前均组织进行任前法律考试参考率年度目标值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89D55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全年预算数为1055.17万元，全年执行数为1047.38万元,预算执行率为99.26%，</w:t>
            </w:r>
            <w:r>
              <w:rPr>
                <w:rFonts w:hint="eastAsia" w:ascii="宋体" w:hAnsi="宋体"/>
                <w:sz w:val="16"/>
                <w:lang w:eastAsia="zh-CN"/>
              </w:rPr>
              <w:t>本单位</w:t>
            </w:r>
            <w:r>
              <w:rPr>
                <w:rFonts w:ascii="宋体" w:hAnsi="宋体" w:eastAsia="宋体"/>
                <w:sz w:val="16"/>
              </w:rPr>
              <w:t>主要完成以下内容：提高了司法行政机关执政为民形象，为困难群众提供正确的法律指导，减少上访事件的发生维护社会和谐稳定</w:t>
            </w:r>
            <w:r>
              <w:rPr>
                <w:rFonts w:hint="eastAsia" w:ascii="宋体" w:hAnsi="宋体"/>
                <w:sz w:val="16"/>
                <w:lang w:eastAsia="zh-CN"/>
              </w:rPr>
              <w:t>；</w:t>
            </w:r>
            <w:r>
              <w:rPr>
                <w:rFonts w:ascii="宋体" w:hAnsi="宋体" w:eastAsia="宋体"/>
                <w:sz w:val="16"/>
              </w:rPr>
              <w:t>对刑释解教人员安帮政策落实，促进刑释解教人员成为社会有用之人</w:t>
            </w:r>
            <w:r>
              <w:rPr>
                <w:rFonts w:hint="eastAsia" w:ascii="宋体" w:hAnsi="宋体"/>
                <w:sz w:val="16"/>
                <w:lang w:eastAsia="zh-CN"/>
              </w:rPr>
              <w:t>；</w:t>
            </w:r>
            <w:r>
              <w:rPr>
                <w:rFonts w:ascii="宋体" w:hAnsi="宋体" w:eastAsia="宋体"/>
                <w:sz w:val="16"/>
              </w:rPr>
              <w:t>全面完成全县普法规划确定的任务目标。财政供养人员年度目标值30人；党政机关、人民团体法律顾问覆盖率100%；一村一法律顾问配备率达到100%；矛盾纠纷调解率100%；受理公证案件820件；受理法律援助案件236件；推进行政复议体制改革工作，做到一级政府复议工作以“一个窗口”对外，完成法定办结率年度目标值达到100%；县委管理的领导干部提拔任用和职级晋升前均组织进行任前法律考试参考率年度目标值达到100%。</w:t>
            </w:r>
          </w:p>
        </w:tc>
      </w:tr>
      <w:tr w14:paraId="3C2953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3FA0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536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17C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629A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CF50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6F22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7F38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4E8F">
            <w:pPr>
              <w:jc w:val="center"/>
            </w:pPr>
            <w:r>
              <w:rPr>
                <w:rFonts w:ascii="宋体" w:hAnsi="宋体" w:eastAsia="宋体"/>
                <w:sz w:val="16"/>
              </w:rPr>
              <w:t>得分</w:t>
            </w:r>
          </w:p>
        </w:tc>
      </w:tr>
      <w:tr w14:paraId="05D563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96BE">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9070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125D">
            <w:pPr>
              <w:jc w:val="center"/>
            </w:pPr>
            <w:r>
              <w:rPr>
                <w:rFonts w:ascii="宋体" w:hAnsi="宋体" w:eastAsia="宋体"/>
                <w:sz w:val="16"/>
              </w:rPr>
              <w:t>财政供养人员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FEBAE">
            <w:pPr>
              <w:jc w:val="center"/>
            </w:pPr>
            <w:r>
              <w:rPr>
                <w:rFonts w:ascii="宋体" w:hAnsi="宋体" w:eastAsia="宋体"/>
                <w:sz w:val="16"/>
              </w:rPr>
              <w:t>&gt;=29人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A784E">
            <w:pPr>
              <w:jc w:val="center"/>
            </w:pPr>
            <w:r>
              <w:rPr>
                <w:rFonts w:ascii="宋体" w:hAnsi="宋体" w:eastAsia="宋体"/>
                <w:sz w:val="16"/>
              </w:rPr>
              <w:t>2024年度工资表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B86AE">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C4DF6">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2560">
            <w:pPr>
              <w:jc w:val="center"/>
            </w:pPr>
            <w:r>
              <w:rPr>
                <w:rFonts w:ascii="宋体" w:hAnsi="宋体" w:eastAsia="宋体"/>
                <w:sz w:val="16"/>
              </w:rPr>
              <w:t>11</w:t>
            </w:r>
          </w:p>
        </w:tc>
      </w:tr>
      <w:tr w14:paraId="35B646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82814">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D2B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B4DD">
            <w:pPr>
              <w:jc w:val="center"/>
            </w:pPr>
            <w:r>
              <w:rPr>
                <w:rFonts w:ascii="宋体" w:hAnsi="宋体" w:eastAsia="宋体"/>
                <w:sz w:val="16"/>
              </w:rPr>
              <w:t>党政机关、人民团体法律顾问覆盖率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91CB4">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07D2">
            <w:pPr>
              <w:jc w:val="center"/>
            </w:pPr>
            <w:r>
              <w:rPr>
                <w:rFonts w:ascii="宋体" w:hAnsi="宋体" w:eastAsia="宋体"/>
                <w:sz w:val="16"/>
              </w:rPr>
              <w:t>吉木萨尔县司法局2024年工作计划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E77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756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A26F9">
            <w:pPr>
              <w:jc w:val="center"/>
            </w:pPr>
            <w:r>
              <w:rPr>
                <w:rFonts w:ascii="宋体" w:hAnsi="宋体" w:eastAsia="宋体"/>
                <w:sz w:val="16"/>
              </w:rPr>
              <w:t>8</w:t>
            </w:r>
          </w:p>
        </w:tc>
      </w:tr>
      <w:tr w14:paraId="44675D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289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B5C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BC6FB">
            <w:pPr>
              <w:jc w:val="center"/>
            </w:pPr>
            <w:r>
              <w:rPr>
                <w:rFonts w:ascii="宋体" w:hAnsi="宋体" w:eastAsia="宋体"/>
                <w:sz w:val="16"/>
              </w:rPr>
              <w:t>一村一法律顾问配备率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C16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27662">
            <w:pPr>
              <w:jc w:val="center"/>
            </w:pPr>
            <w:r>
              <w:rPr>
                <w:rFonts w:ascii="宋体" w:hAnsi="宋体" w:eastAsia="宋体"/>
                <w:sz w:val="16"/>
              </w:rPr>
              <w:t>吉木萨尔县司法局2024年工作计划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8A6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DF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42492">
            <w:pPr>
              <w:jc w:val="center"/>
            </w:pPr>
            <w:r>
              <w:rPr>
                <w:rFonts w:ascii="宋体" w:hAnsi="宋体" w:eastAsia="宋体"/>
                <w:sz w:val="16"/>
              </w:rPr>
              <w:t>8</w:t>
            </w:r>
          </w:p>
        </w:tc>
      </w:tr>
      <w:tr w14:paraId="085E0D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E978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DCF27">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C61C">
            <w:pPr>
              <w:jc w:val="center"/>
            </w:pPr>
            <w:r>
              <w:rPr>
                <w:rFonts w:ascii="宋体" w:hAnsi="宋体" w:eastAsia="宋体"/>
                <w:sz w:val="16"/>
              </w:rPr>
              <w:t>矛盾纠纷调解率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AB88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BCFF">
            <w:pPr>
              <w:jc w:val="center"/>
            </w:pPr>
            <w:r>
              <w:rPr>
                <w:rFonts w:ascii="宋体" w:hAnsi="宋体" w:eastAsia="宋体"/>
                <w:sz w:val="16"/>
              </w:rPr>
              <w:t>吉木萨尔县司法局2024年工作计划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80B57">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536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24C9F">
            <w:pPr>
              <w:jc w:val="center"/>
            </w:pPr>
            <w:r>
              <w:rPr>
                <w:rFonts w:ascii="宋体" w:hAnsi="宋体" w:eastAsia="宋体"/>
                <w:sz w:val="16"/>
              </w:rPr>
              <w:t>11</w:t>
            </w:r>
          </w:p>
        </w:tc>
      </w:tr>
      <w:tr w14:paraId="3191F6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0BD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454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C37D0">
            <w:pPr>
              <w:jc w:val="center"/>
            </w:pPr>
            <w:r>
              <w:rPr>
                <w:rFonts w:ascii="宋体" w:hAnsi="宋体" w:eastAsia="宋体"/>
                <w:sz w:val="16"/>
              </w:rPr>
              <w:t>受理公证案件数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7A17C">
            <w:pPr>
              <w:jc w:val="center"/>
            </w:pPr>
            <w:r>
              <w:rPr>
                <w:rFonts w:ascii="宋体" w:hAnsi="宋体" w:eastAsia="宋体"/>
                <w:sz w:val="16"/>
              </w:rPr>
              <w:t>&gt;=500件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6B474">
            <w:pPr>
              <w:jc w:val="center"/>
            </w:pPr>
            <w:r>
              <w:rPr>
                <w:rFonts w:ascii="宋体" w:hAnsi="宋体" w:eastAsia="宋体"/>
                <w:sz w:val="16"/>
              </w:rPr>
              <w:t>吉木萨尔县司法局2024年工作计划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5170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DC66">
            <w:pPr>
              <w:jc w:val="center"/>
            </w:pPr>
            <w:r>
              <w:rPr>
                <w:rFonts w:ascii="宋体" w:hAnsi="宋体" w:eastAsia="宋体"/>
                <w:sz w:val="16"/>
              </w:rPr>
              <w:t>=820件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35F4">
            <w:pPr>
              <w:jc w:val="center"/>
            </w:pPr>
            <w:r>
              <w:rPr>
                <w:rFonts w:ascii="宋体" w:hAnsi="宋体" w:eastAsia="宋体"/>
                <w:sz w:val="16"/>
              </w:rPr>
              <w:t>12</w:t>
            </w:r>
          </w:p>
        </w:tc>
      </w:tr>
      <w:tr w14:paraId="5C0AC9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751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284BB">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6447">
            <w:pPr>
              <w:jc w:val="center"/>
            </w:pPr>
            <w:r>
              <w:rPr>
                <w:rFonts w:ascii="宋体" w:hAnsi="宋体" w:eastAsia="宋体"/>
                <w:sz w:val="16"/>
              </w:rPr>
              <w:t>受理法律援助案件数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7F688">
            <w:pPr>
              <w:jc w:val="center"/>
            </w:pPr>
            <w:r>
              <w:rPr>
                <w:rFonts w:ascii="宋体" w:hAnsi="宋体" w:eastAsia="宋体"/>
                <w:sz w:val="16"/>
              </w:rPr>
              <w:t>&gt;=100件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6213B">
            <w:pPr>
              <w:jc w:val="center"/>
            </w:pPr>
            <w:r>
              <w:rPr>
                <w:rFonts w:ascii="宋体" w:hAnsi="宋体" w:eastAsia="宋体"/>
                <w:sz w:val="16"/>
              </w:rPr>
              <w:t>吉木萨尔县司法局2024年工作计划）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4278A">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E601">
            <w:pPr>
              <w:jc w:val="center"/>
            </w:pPr>
            <w:r>
              <w:rPr>
                <w:rFonts w:ascii="宋体" w:hAnsi="宋体" w:eastAsia="宋体"/>
                <w:sz w:val="16"/>
              </w:rPr>
              <w:t>=236件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10A3">
            <w:pPr>
              <w:jc w:val="center"/>
            </w:pPr>
            <w:r>
              <w:rPr>
                <w:rFonts w:ascii="宋体" w:hAnsi="宋体" w:eastAsia="宋体"/>
                <w:sz w:val="16"/>
              </w:rPr>
              <w:t>13</w:t>
            </w:r>
          </w:p>
        </w:tc>
      </w:tr>
      <w:tr w14:paraId="24A008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32312">
            <w:pPr>
              <w:jc w:val="center"/>
            </w:pPr>
            <w:r>
              <w:rPr>
                <w:rFonts w:ascii="宋体" w:hAnsi="宋体" w:eastAsia="宋体"/>
                <w:sz w:val="16"/>
              </w:rPr>
              <w:t>社会效益</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653A9">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EF66C">
            <w:pPr>
              <w:jc w:val="center"/>
            </w:pPr>
            <w:r>
              <w:rPr>
                <w:rFonts w:ascii="宋体" w:hAnsi="宋体" w:eastAsia="宋体"/>
                <w:sz w:val="16"/>
              </w:rPr>
              <w:t>推进行政复议体制改革工作，做到一级政府复议工作以“一个窗口”对外，完成法定办结率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E1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3779A">
            <w:pPr>
              <w:jc w:val="center"/>
            </w:pPr>
            <w:r>
              <w:rPr>
                <w:rFonts w:ascii="宋体" w:hAnsi="宋体" w:eastAsia="宋体"/>
                <w:sz w:val="16"/>
              </w:rPr>
              <w:t>吉木萨尔县司法局2024年工作计划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61096">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5B5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44C2">
            <w:pPr>
              <w:jc w:val="center"/>
            </w:pPr>
            <w:r>
              <w:rPr>
                <w:rFonts w:ascii="宋体" w:hAnsi="宋体" w:eastAsia="宋体"/>
                <w:sz w:val="16"/>
              </w:rPr>
              <w:t>14</w:t>
            </w:r>
          </w:p>
        </w:tc>
      </w:tr>
      <w:tr w14:paraId="1AF7E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F50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693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9914A">
            <w:pPr>
              <w:jc w:val="center"/>
            </w:pPr>
            <w:r>
              <w:rPr>
                <w:rFonts w:ascii="宋体" w:hAnsi="宋体" w:eastAsia="宋体"/>
                <w:sz w:val="16"/>
              </w:rPr>
              <w:t>县委管理的领导干部提拔任用和职级晋升前均组织进行任前法律考试参考率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B12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CEEB7">
            <w:pPr>
              <w:jc w:val="center"/>
            </w:pPr>
            <w:r>
              <w:rPr>
                <w:rFonts w:ascii="宋体" w:hAnsi="宋体" w:eastAsia="宋体"/>
                <w:sz w:val="16"/>
              </w:rPr>
              <w:t>吉木萨尔县司法局2024年工作计划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04DF">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84E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D6D6E">
            <w:pPr>
              <w:jc w:val="center"/>
            </w:pPr>
            <w:r>
              <w:rPr>
                <w:rFonts w:ascii="宋体" w:hAnsi="宋体" w:eastAsia="宋体"/>
                <w:sz w:val="16"/>
              </w:rPr>
              <w:t>13</w:t>
            </w:r>
          </w:p>
        </w:tc>
      </w:tr>
    </w:tbl>
    <w:p w14:paraId="1024C2B4">
      <w:r>
        <w:br w:type="page"/>
      </w:r>
    </w:p>
    <w:p w14:paraId="49F806C5">
      <w:pPr>
        <w:spacing w:line="640" w:lineRule="exact"/>
        <w:ind w:firstLine="640"/>
        <w:jc w:val="both"/>
        <w:outlineLvl w:val="2"/>
      </w:pPr>
      <w:r>
        <w:rPr>
          <w:rFonts w:ascii="黑体" w:hAnsi="黑体" w:eastAsia="黑体"/>
          <w:sz w:val="32"/>
        </w:rPr>
        <w:t>十二、其他需说明的事项</w:t>
      </w:r>
    </w:p>
    <w:p w14:paraId="696CA198">
      <w:pPr>
        <w:spacing w:line="580" w:lineRule="exact"/>
        <w:ind w:firstLine="640"/>
        <w:jc w:val="both"/>
      </w:pPr>
      <w:r>
        <w:rPr>
          <w:rFonts w:ascii="仿宋_GB2312" w:hAnsi="仿宋_GB2312" w:eastAsia="仿宋_GB2312"/>
          <w:b w:val="0"/>
          <w:sz w:val="32"/>
        </w:rPr>
        <w:t>本单位无其他需说明的事项。</w:t>
      </w:r>
    </w:p>
    <w:p w14:paraId="106985B4">
      <w:r>
        <w:br w:type="page"/>
      </w:r>
    </w:p>
    <w:p w14:paraId="6325BEA2">
      <w:pPr>
        <w:spacing w:line="240" w:lineRule="auto"/>
        <w:jc w:val="center"/>
        <w:outlineLvl w:val="1"/>
      </w:pPr>
      <w:r>
        <w:rPr>
          <w:rFonts w:ascii="黑体" w:hAnsi="黑体" w:eastAsia="黑体"/>
          <w:sz w:val="32"/>
        </w:rPr>
        <w:t>第三部分 专业名词解释</w:t>
      </w:r>
    </w:p>
    <w:p w14:paraId="0051848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9F3848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421FD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8E13D9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72516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82318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14656F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8FE60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E82FE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889AB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D96C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B61147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FF429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D65A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D938253">
      <w:r>
        <w:br w:type="page"/>
      </w:r>
    </w:p>
    <w:p w14:paraId="3905A36B">
      <w:pPr>
        <w:spacing w:line="240" w:lineRule="auto"/>
        <w:jc w:val="center"/>
        <w:outlineLvl w:val="1"/>
      </w:pPr>
      <w:r>
        <w:rPr>
          <w:rFonts w:ascii="黑体" w:hAnsi="黑体" w:eastAsia="黑体"/>
          <w:sz w:val="32"/>
        </w:rPr>
        <w:t>第四部分 部门决算报表（见附表）</w:t>
      </w:r>
    </w:p>
    <w:p w14:paraId="01AED62C">
      <w:pPr>
        <w:spacing w:line="240" w:lineRule="auto"/>
        <w:ind w:firstLine="640"/>
        <w:jc w:val="both"/>
      </w:pPr>
      <w:r>
        <w:rPr>
          <w:rFonts w:ascii="仿宋_GB2312" w:hAnsi="仿宋_GB2312" w:eastAsia="仿宋_GB2312"/>
          <w:b w:val="0"/>
          <w:sz w:val="32"/>
        </w:rPr>
        <w:t>一、《收入支出决算总表》</w:t>
      </w:r>
    </w:p>
    <w:p w14:paraId="300F474C">
      <w:pPr>
        <w:spacing w:line="240" w:lineRule="auto"/>
        <w:ind w:firstLine="640"/>
        <w:jc w:val="both"/>
      </w:pPr>
      <w:r>
        <w:rPr>
          <w:rFonts w:ascii="仿宋_GB2312" w:hAnsi="仿宋_GB2312" w:eastAsia="仿宋_GB2312"/>
          <w:b w:val="0"/>
          <w:sz w:val="32"/>
        </w:rPr>
        <w:t>二、《收入决算表》</w:t>
      </w:r>
    </w:p>
    <w:p w14:paraId="090ECCEB">
      <w:pPr>
        <w:spacing w:line="240" w:lineRule="auto"/>
        <w:ind w:firstLine="640"/>
        <w:jc w:val="both"/>
      </w:pPr>
      <w:r>
        <w:rPr>
          <w:rFonts w:ascii="仿宋_GB2312" w:hAnsi="仿宋_GB2312" w:eastAsia="仿宋_GB2312"/>
          <w:b w:val="0"/>
          <w:sz w:val="32"/>
        </w:rPr>
        <w:t>三、《支出决算表》</w:t>
      </w:r>
    </w:p>
    <w:p w14:paraId="7ECA57D8">
      <w:pPr>
        <w:spacing w:line="240" w:lineRule="auto"/>
        <w:ind w:firstLine="640"/>
        <w:jc w:val="both"/>
      </w:pPr>
      <w:r>
        <w:rPr>
          <w:rFonts w:ascii="仿宋_GB2312" w:hAnsi="仿宋_GB2312" w:eastAsia="仿宋_GB2312"/>
          <w:b w:val="0"/>
          <w:sz w:val="32"/>
        </w:rPr>
        <w:t>四、《财政拨款收入支出决算总表》</w:t>
      </w:r>
    </w:p>
    <w:p w14:paraId="5F73FBC7">
      <w:pPr>
        <w:spacing w:line="240" w:lineRule="auto"/>
        <w:ind w:firstLine="640"/>
        <w:jc w:val="both"/>
      </w:pPr>
      <w:r>
        <w:rPr>
          <w:rFonts w:ascii="仿宋_GB2312" w:hAnsi="仿宋_GB2312" w:eastAsia="仿宋_GB2312"/>
          <w:b w:val="0"/>
          <w:sz w:val="32"/>
        </w:rPr>
        <w:t>五、《一般公共预算财政拨款支出决算表》</w:t>
      </w:r>
    </w:p>
    <w:p w14:paraId="71CF1951">
      <w:pPr>
        <w:spacing w:line="240" w:lineRule="auto"/>
        <w:ind w:firstLine="640"/>
        <w:jc w:val="both"/>
      </w:pPr>
      <w:r>
        <w:rPr>
          <w:rFonts w:ascii="仿宋_GB2312" w:hAnsi="仿宋_GB2312" w:eastAsia="仿宋_GB2312"/>
          <w:b w:val="0"/>
          <w:sz w:val="32"/>
        </w:rPr>
        <w:t>六、《一般公共预算财政拨款基本支出决算表》</w:t>
      </w:r>
    </w:p>
    <w:p w14:paraId="08500862">
      <w:pPr>
        <w:spacing w:line="240" w:lineRule="auto"/>
        <w:ind w:firstLine="640"/>
        <w:jc w:val="both"/>
      </w:pPr>
      <w:r>
        <w:rPr>
          <w:rFonts w:ascii="仿宋_GB2312" w:hAnsi="仿宋_GB2312" w:eastAsia="仿宋_GB2312"/>
          <w:b w:val="0"/>
          <w:sz w:val="32"/>
        </w:rPr>
        <w:t>七、《政府性基金预算财政拨款收入支出决算表》</w:t>
      </w:r>
    </w:p>
    <w:p w14:paraId="41097046">
      <w:pPr>
        <w:spacing w:line="240" w:lineRule="auto"/>
        <w:ind w:firstLine="640"/>
        <w:jc w:val="both"/>
      </w:pPr>
      <w:r>
        <w:rPr>
          <w:rFonts w:ascii="仿宋_GB2312" w:hAnsi="仿宋_GB2312" w:eastAsia="仿宋_GB2312"/>
          <w:b w:val="0"/>
          <w:sz w:val="32"/>
        </w:rPr>
        <w:t>八、《国有资本经营预算财政拨款收入支出决算表》</w:t>
      </w:r>
    </w:p>
    <w:p w14:paraId="49F2D5A1">
      <w:pPr>
        <w:spacing w:line="240" w:lineRule="auto"/>
        <w:ind w:firstLine="640"/>
        <w:jc w:val="both"/>
      </w:pPr>
      <w:r>
        <w:rPr>
          <w:rFonts w:ascii="仿宋_GB2312" w:hAnsi="仿宋_GB2312" w:eastAsia="仿宋_GB2312"/>
          <w:b w:val="0"/>
          <w:sz w:val="32"/>
        </w:rPr>
        <w:t>九、《财政拨款“三公”经费支出决算表》</w:t>
      </w:r>
    </w:p>
    <w:p w14:paraId="1A354DA6">
      <w:pPr>
        <w:spacing w:line="240" w:lineRule="auto"/>
        <w:ind w:firstLine="640"/>
        <w:jc w:val="both"/>
      </w:pPr>
    </w:p>
    <w:p w14:paraId="721AA4FF">
      <w:pPr>
        <w:spacing w:line="240" w:lineRule="auto"/>
        <w:ind w:firstLine="640"/>
        <w:jc w:val="both"/>
      </w:pPr>
    </w:p>
    <w:p w14:paraId="2442E32E">
      <w:pPr>
        <w:spacing w:line="240" w:lineRule="auto"/>
        <w:ind w:firstLine="640"/>
        <w:jc w:val="both"/>
      </w:pPr>
    </w:p>
    <w:p w14:paraId="38F8C5C3">
      <w:pPr>
        <w:spacing w:line="240" w:lineRule="auto"/>
        <w:ind w:firstLine="640"/>
        <w:jc w:val="both"/>
      </w:pPr>
    </w:p>
    <w:p w14:paraId="657CDFF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333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C4C89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9C4C89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NWYyMWE2NWU1OGNiMmIxMmZkYzA5MWEwNzJlZm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7E57C7"/>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8E5C8C"/>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6814</Words>
  <Characters>7809</Characters>
  <Lines>0</Lines>
  <Paragraphs>0</Paragraphs>
  <TotalTime>5</TotalTime>
  <ScaleCrop>false</ScaleCrop>
  <LinksUpToDate>false</LinksUpToDate>
  <CharactersWithSpaces>7819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2025-10-14T04:34:16Z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