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吉木萨尔县公共就业服务中心2024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A461292">
      <w:r>
        <w:br w:type="page"/>
      </w:r>
    </w:p>
    <w:p w14:paraId="5D943BEE">
      <w:pPr>
        <w:spacing w:line="640" w:lineRule="exact"/>
        <w:jc w:val="center"/>
        <w:outlineLvl w:val="1"/>
      </w:pPr>
      <w:r>
        <w:rPr>
          <w:rFonts w:ascii="黑体" w:hAnsi="黑体" w:eastAsia="黑体"/>
          <w:sz w:val="32"/>
        </w:rPr>
        <w:t>第一部分 单位概况</w:t>
      </w:r>
    </w:p>
    <w:p w14:paraId="524EAC77">
      <w:pPr>
        <w:spacing w:line="640" w:lineRule="exact"/>
        <w:ind w:firstLine="640"/>
        <w:jc w:val="both"/>
        <w:outlineLvl w:val="2"/>
      </w:pPr>
      <w:r>
        <w:rPr>
          <w:rFonts w:ascii="黑体" w:hAnsi="黑体" w:eastAsia="黑体"/>
          <w:sz w:val="32"/>
        </w:rPr>
        <w:t>一、主要职能</w:t>
      </w:r>
    </w:p>
    <w:p w14:paraId="53F5F5DB">
      <w:pPr>
        <w:spacing w:line="580" w:lineRule="exact"/>
        <w:ind w:firstLine="640"/>
        <w:jc w:val="both"/>
        <w:rPr>
          <w:rFonts w:ascii="仿宋_GB2312" w:hAnsi="仿宋_GB2312" w:eastAsia="仿宋_GB2312"/>
          <w:sz w:val="32"/>
        </w:rPr>
      </w:pPr>
      <w:r>
        <w:rPr>
          <w:rFonts w:ascii="仿宋_GB2312" w:hAnsi="仿宋_GB2312" w:eastAsia="仿宋_GB2312"/>
          <w:sz w:val="32"/>
        </w:rPr>
        <w:t>（1）贯彻执行劳动就业法律法规政策，负责推进公共就业服务体系建设，对全县公共就业服务机构日常工作指导，收集发布用工信息、组织实施各类就业招聘，做好就业、失业登记及实施公共就业服务活动；</w:t>
      </w:r>
    </w:p>
    <w:p w14:paraId="62FEAF86">
      <w:pPr>
        <w:spacing w:line="580" w:lineRule="exact"/>
        <w:ind w:firstLine="640"/>
        <w:jc w:val="both"/>
        <w:rPr>
          <w:rFonts w:ascii="仿宋_GB2312" w:hAnsi="仿宋_GB2312" w:eastAsia="仿宋_GB2312"/>
          <w:sz w:val="32"/>
        </w:rPr>
      </w:pPr>
      <w:r>
        <w:rPr>
          <w:rFonts w:ascii="仿宋_GB2312" w:hAnsi="仿宋_GB2312" w:eastAsia="仿宋_GB2312"/>
          <w:sz w:val="32"/>
        </w:rPr>
        <w:t>（2）负责全县农村劳动力转移、城镇新增就业及农村劳动力职业技能培训等工作；</w:t>
      </w:r>
    </w:p>
    <w:p w14:paraId="25C345B8">
      <w:pPr>
        <w:spacing w:line="580" w:lineRule="exact"/>
        <w:ind w:firstLine="640"/>
        <w:jc w:val="both"/>
        <w:rPr>
          <w:rFonts w:ascii="仿宋_GB2312" w:hAnsi="仿宋_GB2312" w:eastAsia="仿宋_GB2312"/>
          <w:sz w:val="32"/>
        </w:rPr>
      </w:pPr>
      <w:r>
        <w:rPr>
          <w:rFonts w:ascii="仿宋_GB2312" w:hAnsi="仿宋_GB2312" w:eastAsia="仿宋_GB2312"/>
          <w:sz w:val="32"/>
        </w:rPr>
        <w:t>（3）建立城乡统一的就业培训体系，加强职业技能培训，提升劳动者就业能力，积极开展职业技能竞赛；</w:t>
      </w:r>
    </w:p>
    <w:p w14:paraId="4FF3644E">
      <w:pPr>
        <w:spacing w:line="580" w:lineRule="exact"/>
        <w:ind w:firstLine="640"/>
        <w:jc w:val="both"/>
        <w:rPr>
          <w:rFonts w:ascii="仿宋_GB2312" w:hAnsi="仿宋_GB2312" w:eastAsia="仿宋_GB2312"/>
          <w:sz w:val="32"/>
        </w:rPr>
      </w:pPr>
      <w:r>
        <w:rPr>
          <w:rFonts w:ascii="仿宋_GB2312" w:hAnsi="仿宋_GB2312" w:eastAsia="仿宋_GB2312"/>
          <w:sz w:val="32"/>
        </w:rPr>
        <w:t>（4）加强大中专毕业生、农村富余劳动力、就业困难人员等重点群体的就业，指导大中专毕业生就业和就业见习工作；</w:t>
      </w:r>
    </w:p>
    <w:p w14:paraId="74F9A387">
      <w:pPr>
        <w:spacing w:line="580" w:lineRule="exact"/>
        <w:ind w:firstLine="640"/>
        <w:jc w:val="both"/>
      </w:pPr>
      <w:r>
        <w:rPr>
          <w:rFonts w:ascii="仿宋_GB2312" w:hAnsi="仿宋_GB2312" w:eastAsia="仿宋_GB2312"/>
          <w:sz w:val="32"/>
        </w:rPr>
        <w:t>（5）大中专毕业生档案托管，国有企业退休职工，县户籍流动人员档案（辞职、辞退、开除、死亡、离退休）管理工作。</w:t>
      </w:r>
    </w:p>
    <w:p w14:paraId="5191D1F0">
      <w:pPr>
        <w:spacing w:line="640" w:lineRule="exact"/>
        <w:ind w:firstLine="640"/>
        <w:jc w:val="both"/>
        <w:outlineLvl w:val="2"/>
      </w:pPr>
      <w:r>
        <w:rPr>
          <w:rFonts w:ascii="黑体" w:hAnsi="黑体" w:eastAsia="黑体"/>
          <w:sz w:val="32"/>
        </w:rPr>
        <w:t>二、机构设置及人员情况</w:t>
      </w:r>
    </w:p>
    <w:p w14:paraId="277F37A3">
      <w:pPr>
        <w:spacing w:line="580" w:lineRule="exact"/>
        <w:ind w:firstLine="640"/>
        <w:jc w:val="both"/>
      </w:pPr>
      <w:r>
        <w:rPr>
          <w:rFonts w:ascii="仿宋_GB2312" w:hAnsi="仿宋_GB2312" w:eastAsia="仿宋_GB2312"/>
          <w:sz w:val="32"/>
        </w:rPr>
        <w:t>吉木萨尔县公共就业服务中心2024年度，实有人数24人，其中：在职人员9人，增加1人；离休人员0人，增加0人；退休人员15人,减少1人。</w:t>
      </w:r>
    </w:p>
    <w:p w14:paraId="4D097CE2">
      <w:pPr>
        <w:spacing w:line="580" w:lineRule="exact"/>
        <w:ind w:firstLine="640"/>
        <w:jc w:val="both"/>
      </w:pPr>
      <w:r>
        <w:rPr>
          <w:rFonts w:ascii="仿宋_GB2312" w:hAnsi="仿宋_GB2312" w:eastAsia="仿宋_GB2312"/>
          <w:sz w:val="32"/>
        </w:rPr>
        <w:t>吉木萨尔县公共就业服务中心无下属预算单位，下设</w:t>
      </w:r>
      <w:r>
        <w:rPr>
          <w:rFonts w:hint="eastAsia" w:ascii="仿宋_GB2312" w:hAnsi="仿宋_GB2312" w:eastAsia="仿宋_GB2312"/>
          <w:sz w:val="32"/>
          <w:lang w:val="en-US" w:eastAsia="zh-CN"/>
        </w:rPr>
        <w:t>2</w:t>
      </w:r>
      <w:r>
        <w:rPr>
          <w:rFonts w:ascii="仿宋_GB2312" w:hAnsi="仿宋_GB2312" w:eastAsia="仿宋_GB2312"/>
          <w:sz w:val="32"/>
        </w:rPr>
        <w:t>个科室，分别是：农转就业培训科</w:t>
      </w:r>
      <w:r>
        <w:rPr>
          <w:rFonts w:hint="eastAsia" w:ascii="仿宋_GB2312" w:hAnsi="仿宋_GB2312" w:eastAsia="仿宋_GB2312"/>
          <w:sz w:val="32"/>
          <w:lang w:eastAsia="zh-CN"/>
        </w:rPr>
        <w:t>、</w:t>
      </w:r>
      <w:r>
        <w:rPr>
          <w:rFonts w:ascii="仿宋_GB2312" w:hAnsi="仿宋_GB2312" w:eastAsia="仿宋_GB2312"/>
          <w:sz w:val="32"/>
        </w:rPr>
        <w:t>综合办公室。</w:t>
      </w:r>
    </w:p>
    <w:p w14:paraId="45B97999">
      <w:r>
        <w:br w:type="page"/>
      </w:r>
    </w:p>
    <w:p w14:paraId="6A15FDAF">
      <w:pPr>
        <w:spacing w:line="240" w:lineRule="auto"/>
        <w:jc w:val="center"/>
        <w:outlineLvl w:val="1"/>
      </w:pPr>
      <w:r>
        <w:rPr>
          <w:rFonts w:ascii="黑体" w:hAnsi="黑体" w:eastAsia="黑体"/>
          <w:sz w:val="32"/>
        </w:rPr>
        <w:t>第二部分 部门决算情况说明</w:t>
      </w:r>
    </w:p>
    <w:p w14:paraId="31E8C2A8">
      <w:pPr>
        <w:spacing w:line="640" w:lineRule="exact"/>
        <w:ind w:firstLine="640"/>
        <w:jc w:val="both"/>
        <w:outlineLvl w:val="2"/>
      </w:pPr>
      <w:r>
        <w:rPr>
          <w:rFonts w:ascii="黑体" w:hAnsi="黑体" w:eastAsia="黑体"/>
          <w:sz w:val="32"/>
        </w:rPr>
        <w:t>一、收入支出决算总体情况说明</w:t>
      </w:r>
    </w:p>
    <w:p w14:paraId="13A2E3E3">
      <w:pPr>
        <w:spacing w:line="580" w:lineRule="exact"/>
        <w:ind w:firstLine="640"/>
        <w:jc w:val="both"/>
      </w:pPr>
      <w:r>
        <w:rPr>
          <w:rFonts w:ascii="仿宋_GB2312" w:hAnsi="仿宋_GB2312" w:eastAsia="仿宋_GB2312"/>
          <w:b/>
          <w:sz w:val="32"/>
        </w:rPr>
        <w:t>2024年度收入总计366.36万元，</w:t>
      </w:r>
      <w:r>
        <w:rPr>
          <w:rFonts w:ascii="仿宋_GB2312" w:hAnsi="仿宋_GB2312" w:eastAsia="仿宋_GB2312"/>
          <w:b w:val="0"/>
          <w:sz w:val="32"/>
        </w:rPr>
        <w:t>其中：本年收入合计366.35万元，使用非财政拨款结余（含专用结余）0.00万元，年初结转和结余0.02万元。</w:t>
      </w:r>
    </w:p>
    <w:p w14:paraId="67C829C2">
      <w:pPr>
        <w:spacing w:line="580" w:lineRule="exact"/>
        <w:ind w:firstLine="640"/>
        <w:jc w:val="both"/>
      </w:pPr>
      <w:r>
        <w:rPr>
          <w:rFonts w:ascii="仿宋_GB2312" w:hAnsi="仿宋_GB2312" w:eastAsia="仿宋_GB2312"/>
          <w:b/>
          <w:sz w:val="32"/>
        </w:rPr>
        <w:t>2024年度支出总计366.36万元，</w:t>
      </w:r>
      <w:r>
        <w:rPr>
          <w:rFonts w:ascii="仿宋_GB2312" w:hAnsi="仿宋_GB2312" w:eastAsia="仿宋_GB2312"/>
          <w:b w:val="0"/>
          <w:sz w:val="32"/>
        </w:rPr>
        <w:t>其中：本年支出合计366.33万元，结余分配0.00万元，年末结转和结余0.03万元。</w:t>
      </w:r>
    </w:p>
    <w:p w14:paraId="12EF113C">
      <w:pPr>
        <w:spacing w:line="580" w:lineRule="exact"/>
        <w:ind w:firstLine="640"/>
        <w:jc w:val="both"/>
      </w:pPr>
      <w:r>
        <w:rPr>
          <w:rFonts w:ascii="仿宋_GB2312" w:hAnsi="仿宋_GB2312" w:eastAsia="仿宋_GB2312"/>
          <w:b w:val="0"/>
          <w:sz w:val="32"/>
        </w:rPr>
        <w:t>收入支出总体与上年相比，增加142.15万元，增长63.40%，主要原因是：本年在职人员增加，在职人员工资调增、社保、公积金基数调增，人员经费增加；本年新增综合劳务市场项目，导致经费较上年增加。</w:t>
      </w:r>
    </w:p>
    <w:p w14:paraId="3CC11894">
      <w:pPr>
        <w:spacing w:line="640" w:lineRule="exact"/>
        <w:ind w:firstLine="640"/>
        <w:jc w:val="both"/>
        <w:outlineLvl w:val="2"/>
      </w:pPr>
      <w:r>
        <w:rPr>
          <w:rFonts w:ascii="黑体" w:hAnsi="黑体" w:eastAsia="黑体"/>
          <w:sz w:val="32"/>
        </w:rPr>
        <w:t>二、收入决算情况说明</w:t>
      </w:r>
    </w:p>
    <w:p w14:paraId="019AD39F">
      <w:pPr>
        <w:spacing w:line="580" w:lineRule="exact"/>
        <w:ind w:firstLine="640"/>
        <w:jc w:val="both"/>
      </w:pPr>
      <w:r>
        <w:rPr>
          <w:rFonts w:ascii="仿宋_GB2312" w:hAnsi="仿宋_GB2312" w:eastAsia="仿宋_GB2312"/>
          <w:b/>
          <w:sz w:val="32"/>
        </w:rPr>
        <w:t>本年收入366.35万元，</w:t>
      </w:r>
      <w:r>
        <w:rPr>
          <w:rFonts w:ascii="仿宋_GB2312" w:hAnsi="仿宋_GB2312" w:eastAsia="仿宋_GB2312"/>
          <w:b w:val="0"/>
          <w:sz w:val="32"/>
        </w:rPr>
        <w:t>其中：财政拨款收入251.30万元，占68.60%；上级补助收入0.00万元，占0.00%；事业收入0.00万元，占0.00%；经营收入0.00万元，占0.00%；附属单位上缴收入0.00万元，占0.00%；其他收入115.05万元，占31.40%。</w:t>
      </w:r>
    </w:p>
    <w:p w14:paraId="37A5F135">
      <w:pPr>
        <w:spacing w:line="640" w:lineRule="exact"/>
        <w:ind w:firstLine="640"/>
        <w:jc w:val="both"/>
        <w:outlineLvl w:val="2"/>
      </w:pPr>
      <w:r>
        <w:rPr>
          <w:rFonts w:ascii="黑体" w:hAnsi="黑体" w:eastAsia="黑体"/>
          <w:sz w:val="32"/>
        </w:rPr>
        <w:t>三、支出决算情况说明</w:t>
      </w:r>
    </w:p>
    <w:p w14:paraId="5ECA3E7C">
      <w:pPr>
        <w:spacing w:line="580" w:lineRule="exact"/>
        <w:ind w:firstLine="640"/>
        <w:jc w:val="both"/>
      </w:pPr>
      <w:r>
        <w:rPr>
          <w:rFonts w:ascii="仿宋_GB2312" w:hAnsi="仿宋_GB2312" w:eastAsia="仿宋_GB2312"/>
          <w:b/>
          <w:sz w:val="32"/>
        </w:rPr>
        <w:t>本年支出366.33万元，</w:t>
      </w:r>
      <w:r>
        <w:rPr>
          <w:rFonts w:ascii="仿宋_GB2312" w:hAnsi="仿宋_GB2312" w:eastAsia="仿宋_GB2312"/>
          <w:b w:val="0"/>
          <w:sz w:val="32"/>
        </w:rPr>
        <w:t>其中：基本支出248.07万元，占67.72%；项目支出118.27万元，占32.29%；上缴上级支出0.00万元，占0.00%；经营支出0.00万元，占0.00%；对附属单位补助支出0.00万元，占0.00%。</w:t>
      </w:r>
    </w:p>
    <w:p w14:paraId="68FD3550">
      <w:pPr>
        <w:spacing w:line="640" w:lineRule="exact"/>
        <w:ind w:firstLine="640"/>
        <w:jc w:val="both"/>
        <w:outlineLvl w:val="2"/>
      </w:pPr>
      <w:r>
        <w:rPr>
          <w:rFonts w:ascii="黑体" w:hAnsi="黑体" w:eastAsia="黑体"/>
          <w:sz w:val="32"/>
        </w:rPr>
        <w:t>四、财政拨款收入支出决算总体情况说明</w:t>
      </w:r>
    </w:p>
    <w:p w14:paraId="516EFCED">
      <w:pPr>
        <w:spacing w:line="580" w:lineRule="exact"/>
        <w:ind w:firstLine="640"/>
        <w:jc w:val="both"/>
      </w:pPr>
      <w:r>
        <w:rPr>
          <w:rFonts w:ascii="仿宋_GB2312" w:hAnsi="仿宋_GB2312" w:eastAsia="仿宋_GB2312"/>
          <w:b/>
          <w:sz w:val="32"/>
        </w:rPr>
        <w:t>2024年度财政拨款收入总计251.30万元，</w:t>
      </w:r>
      <w:r>
        <w:rPr>
          <w:rFonts w:ascii="仿宋_GB2312" w:hAnsi="仿宋_GB2312" w:eastAsia="仿宋_GB2312"/>
          <w:b w:val="0"/>
          <w:sz w:val="32"/>
        </w:rPr>
        <w:t>其中：年初财政拨款结转和结余0.00万元，本年财政拨款收入251.30万元。</w:t>
      </w:r>
      <w:r>
        <w:rPr>
          <w:rFonts w:ascii="仿宋_GB2312" w:hAnsi="仿宋_GB2312" w:eastAsia="仿宋_GB2312"/>
          <w:b/>
          <w:sz w:val="32"/>
        </w:rPr>
        <w:t>财政拨款支出总计251.30万元，</w:t>
      </w:r>
      <w:r>
        <w:rPr>
          <w:rFonts w:ascii="仿宋_GB2312" w:hAnsi="仿宋_GB2312" w:eastAsia="仿宋_GB2312"/>
          <w:b w:val="0"/>
          <w:sz w:val="32"/>
        </w:rPr>
        <w:t>其中：年末财政拨款结转和结余0.00万元，本年财政拨款支出251.30万元。</w:t>
      </w:r>
    </w:p>
    <w:p w14:paraId="37637A9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增加27.10万元，增长12.09%，主要原因是：本年在职人员增加，在职人员工资调增、社保、公积金基数调增，人员经费增加，导致经费较上年增加。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年初预算数193.73万元，决算数251.30万元，预决算差异率29.72%，主要原因是：本年在职人员增加，年中追加人员经费及人员工资、社保、公积金基数调增部分资金，导致预决算存在差异。</w:t>
      </w:r>
    </w:p>
    <w:p w14:paraId="36512066">
      <w:pPr>
        <w:spacing w:line="640" w:lineRule="exact"/>
        <w:ind w:firstLine="640"/>
        <w:jc w:val="both"/>
        <w:outlineLvl w:val="2"/>
      </w:pPr>
      <w:r>
        <w:rPr>
          <w:rFonts w:ascii="黑体" w:hAnsi="黑体" w:eastAsia="黑体"/>
          <w:sz w:val="32"/>
        </w:rPr>
        <w:t>五、一般公共预算财政拨款支出决算情况说明</w:t>
      </w:r>
    </w:p>
    <w:p w14:paraId="5B93DC08">
      <w:pPr>
        <w:spacing w:line="640" w:lineRule="exact"/>
        <w:ind w:firstLine="640"/>
        <w:jc w:val="both"/>
        <w:outlineLvl w:val="3"/>
      </w:pPr>
      <w:r>
        <w:rPr>
          <w:rFonts w:ascii="楷体_GB2312" w:hAnsi="楷体_GB2312" w:eastAsia="楷体_GB2312"/>
          <w:b/>
          <w:sz w:val="32"/>
        </w:rPr>
        <w:t>（一）一般公共预算财政拨款支出决算总体情况</w:t>
      </w:r>
    </w:p>
    <w:p w14:paraId="048DAEEE">
      <w:pPr>
        <w:spacing w:line="580" w:lineRule="exact"/>
        <w:ind w:firstLine="640"/>
        <w:jc w:val="both"/>
      </w:pPr>
      <w:r>
        <w:rPr>
          <w:rFonts w:ascii="仿宋_GB2312" w:hAnsi="仿宋_GB2312" w:eastAsia="仿宋_GB2312"/>
          <w:b/>
          <w:sz w:val="32"/>
        </w:rPr>
        <w:t>2024年度一般公共预算财政拨款支出251.30万元，</w:t>
      </w:r>
      <w:r>
        <w:rPr>
          <w:rFonts w:ascii="仿宋_GB2312" w:hAnsi="仿宋_GB2312" w:eastAsia="仿宋_GB2312"/>
          <w:b w:val="0"/>
          <w:sz w:val="32"/>
        </w:rPr>
        <w:t>占本年支出合计的68.60%。</w:t>
      </w:r>
      <w:r>
        <w:rPr>
          <w:rFonts w:ascii="仿宋_GB2312" w:hAnsi="仿宋_GB2312" w:eastAsia="仿宋_GB2312"/>
          <w:b/>
          <w:sz w:val="32"/>
        </w:rPr>
        <w:t>与上年相比，</w:t>
      </w:r>
      <w:r>
        <w:rPr>
          <w:rFonts w:ascii="仿宋_GB2312" w:hAnsi="仿宋_GB2312" w:eastAsia="仿宋_GB2312"/>
          <w:b w:val="0"/>
          <w:sz w:val="32"/>
        </w:rPr>
        <w:t>增加27.10万元，增长12.09%，主要原因是：本年在职人员增加，在职人员工资调增、社保、公积金基数调增，人员经费增加，导致经费较上年增加。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年初预算数193.73万元，决算数251.30万元，预决算差异率29.72%，主要原因是：本年在职人员增加，年中追加人员经费及人员工资、社保、公积金基数调增部分资金，导致预决算存在差异。</w:t>
      </w:r>
    </w:p>
    <w:p w14:paraId="151EE464">
      <w:pPr>
        <w:spacing w:line="640" w:lineRule="exact"/>
        <w:ind w:firstLine="640"/>
        <w:jc w:val="both"/>
        <w:outlineLvl w:val="3"/>
      </w:pPr>
      <w:r>
        <w:rPr>
          <w:rFonts w:ascii="楷体_GB2312" w:hAnsi="楷体_GB2312" w:eastAsia="楷体_GB2312"/>
          <w:b/>
          <w:sz w:val="32"/>
        </w:rPr>
        <w:t>（二）一般公共预算财政拨款支出决算结构情况</w:t>
      </w:r>
    </w:p>
    <w:p w14:paraId="2D753374">
      <w:pPr>
        <w:spacing w:line="580" w:lineRule="exact"/>
        <w:ind w:firstLine="640"/>
        <w:jc w:val="both"/>
      </w:pPr>
      <w:r>
        <w:rPr>
          <w:rFonts w:ascii="仿宋_GB2312" w:hAnsi="仿宋_GB2312" w:eastAsia="仿宋_GB2312"/>
          <w:b w:val="0"/>
          <w:sz w:val="32"/>
        </w:rPr>
        <w:t>1.科学技术支出(类)3.00万元,占1.19%。</w:t>
      </w:r>
    </w:p>
    <w:p w14:paraId="7412CF48">
      <w:pPr>
        <w:spacing w:line="580" w:lineRule="exact"/>
        <w:ind w:firstLine="640"/>
        <w:jc w:val="both"/>
      </w:pPr>
      <w:r>
        <w:rPr>
          <w:rFonts w:ascii="仿宋_GB2312" w:hAnsi="仿宋_GB2312" w:eastAsia="仿宋_GB2312"/>
          <w:b w:val="0"/>
          <w:sz w:val="32"/>
        </w:rPr>
        <w:t>2.社会保障和就业支出(类)228.97万元,占91.11%。</w:t>
      </w:r>
    </w:p>
    <w:p w14:paraId="13B056B8">
      <w:pPr>
        <w:spacing w:line="580" w:lineRule="exact"/>
        <w:ind w:firstLine="640"/>
        <w:jc w:val="both"/>
      </w:pPr>
      <w:r>
        <w:rPr>
          <w:rFonts w:ascii="仿宋_GB2312" w:hAnsi="仿宋_GB2312" w:eastAsia="仿宋_GB2312"/>
          <w:b w:val="0"/>
          <w:sz w:val="32"/>
        </w:rPr>
        <w:t>3.卫生健康支出(类)7.85万元,占3.12%。</w:t>
      </w:r>
    </w:p>
    <w:p w14:paraId="64BF083E">
      <w:pPr>
        <w:spacing w:line="580" w:lineRule="exact"/>
        <w:ind w:firstLine="640"/>
        <w:jc w:val="both"/>
      </w:pPr>
      <w:r>
        <w:rPr>
          <w:rFonts w:ascii="仿宋_GB2312" w:hAnsi="仿宋_GB2312" w:eastAsia="仿宋_GB2312"/>
          <w:b w:val="0"/>
          <w:sz w:val="32"/>
        </w:rPr>
        <w:t>4.住房保障支出(类)11.48万元,占4.57%。</w:t>
      </w:r>
    </w:p>
    <w:p w14:paraId="6B7F496F">
      <w:pPr>
        <w:spacing w:line="640" w:lineRule="exact"/>
        <w:ind w:firstLine="640"/>
        <w:jc w:val="both"/>
        <w:outlineLvl w:val="3"/>
      </w:pPr>
      <w:r>
        <w:rPr>
          <w:rFonts w:ascii="楷体_GB2312" w:hAnsi="楷体_GB2312" w:eastAsia="楷体_GB2312"/>
          <w:b/>
          <w:sz w:val="32"/>
        </w:rPr>
        <w:t>（三）一般公共预算财政拨款支出决算具体情况</w:t>
      </w:r>
    </w:p>
    <w:p w14:paraId="344E0AF5">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1.科学技术支出(类)科技条件与服务(款)其他科技条件与服务支出(项):支出决算数为3.00万元，比上年决算增加3.00万元，增长100.00%,主要原因是：本年增加按可替代工作经费。</w:t>
      </w:r>
    </w:p>
    <w:p w14:paraId="148905E5">
      <w:pPr>
        <w:spacing w:line="580" w:lineRule="exact"/>
        <w:ind w:firstLine="640"/>
        <w:jc w:val="both"/>
      </w:pPr>
      <w:r>
        <w:rPr>
          <w:rFonts w:ascii="仿宋_GB2312" w:hAnsi="仿宋_GB2312" w:eastAsia="仿宋_GB2312"/>
          <w:b w:val="0"/>
          <w:sz w:val="32"/>
        </w:rPr>
        <w:t>2.社会保障和就业支出(类)人力资源和社会保障管理事务(款)行政运行(项):支出决算数为167.75万元，比上年决算增加42.94万元，增长34.40%,主要原因是：本年在职人员增加，人员工资基数调整，导致</w:t>
      </w:r>
      <w:r>
        <w:rPr>
          <w:rFonts w:hint="eastAsia" w:ascii="仿宋_GB2312" w:hAnsi="仿宋_GB2312" w:eastAsia="仿宋_GB2312"/>
          <w:b w:val="0"/>
          <w:sz w:val="32"/>
          <w:lang w:val="en-US" w:eastAsia="zh-CN"/>
        </w:rPr>
        <w:t>相关人员经费</w:t>
      </w:r>
      <w:r>
        <w:rPr>
          <w:rFonts w:ascii="仿宋_GB2312" w:hAnsi="仿宋_GB2312" w:eastAsia="仿宋_GB2312"/>
          <w:b w:val="0"/>
          <w:sz w:val="32"/>
        </w:rPr>
        <w:t>增加。</w:t>
      </w:r>
    </w:p>
    <w:p w14:paraId="224DE645">
      <w:pPr>
        <w:spacing w:line="580" w:lineRule="exact"/>
        <w:ind w:firstLine="640"/>
        <w:jc w:val="both"/>
      </w:pPr>
      <w:r>
        <w:rPr>
          <w:rFonts w:ascii="仿宋_GB2312" w:hAnsi="仿宋_GB2312" w:eastAsia="仿宋_GB2312"/>
          <w:b w:val="0"/>
          <w:sz w:val="32"/>
        </w:rPr>
        <w:t>3.社会保障和就业支出(类)人力资源和社会保障管理事务(款)信息化建设(项):支出决算数为10.00万元，比上年决算增加0.00万元，增长0.00%,主要原因是：本年公共就业服务中心档案信息化建设费用与上年一致，无变化。</w:t>
      </w:r>
    </w:p>
    <w:p w14:paraId="0A70235F">
      <w:pPr>
        <w:spacing w:line="580" w:lineRule="exact"/>
        <w:ind w:firstLine="640"/>
        <w:jc w:val="both"/>
      </w:pPr>
      <w:r>
        <w:rPr>
          <w:rFonts w:ascii="仿宋_GB2312" w:hAnsi="仿宋_GB2312" w:eastAsia="仿宋_GB2312"/>
          <w:b w:val="0"/>
          <w:sz w:val="32"/>
        </w:rPr>
        <w:t>4.社会保障和就业支出(类)人力资源和社会保障管理事务(款)公共就业服务和职业技能鉴定机构(项):支出决算数为0.00万元，比上年决算减少10.00万元，下降100.00%,主要原因是：本年减少公共就业服务经费项目。</w:t>
      </w:r>
    </w:p>
    <w:p w14:paraId="60BBE494">
      <w:pPr>
        <w:spacing w:line="580" w:lineRule="exact"/>
        <w:ind w:firstLine="640"/>
        <w:jc w:val="both"/>
      </w:pPr>
      <w:r>
        <w:rPr>
          <w:rFonts w:ascii="仿宋_GB2312" w:hAnsi="仿宋_GB2312" w:eastAsia="仿宋_GB2312"/>
          <w:b w:val="0"/>
          <w:sz w:val="32"/>
        </w:rPr>
        <w:t>5.社会保障和就业支出(类)人力资源和社会保障管理事务(款)事业运行(项):支出决算数为10.87万元，比上年决算减少5.84万元，下降34.95%,主要原因是：本年人员基础绩效奖、奖金等支出较上年减少，相应支出减少。</w:t>
      </w:r>
    </w:p>
    <w:p w14:paraId="2BF87BFA">
      <w:pPr>
        <w:spacing w:line="580" w:lineRule="exact"/>
        <w:ind w:firstLine="640"/>
        <w:jc w:val="both"/>
      </w:pPr>
      <w:r>
        <w:rPr>
          <w:rFonts w:ascii="仿宋_GB2312" w:hAnsi="仿宋_GB2312" w:eastAsia="仿宋_GB2312"/>
          <w:b w:val="0"/>
          <w:sz w:val="32"/>
        </w:rPr>
        <w:t>6.社会保障和就业支出(类)人力资源和社会保障管理事务(款)其他人力资源和社会保障管理事务支出(项):支出决算数为2.00万元，比上年决算增加2.00万元，增长100.00%,主要原因是：本年增加吉木萨尔县综合劳务市场出租可行性分析报告费用、创业担保贷款第三方运营管理相关费用。</w:t>
      </w:r>
    </w:p>
    <w:p w14:paraId="5AD5E978">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7.社会保障和就业支出(类)行政事业单位养老支出(款)行政单位离退休(项):支出决算数为11.37万元，比上年决算增加6.78万元，增长147.71%,主要原因是：本年增加退休人员基础绩效奖，退休费支出增加。</w:t>
      </w:r>
    </w:p>
    <w:p w14:paraId="0E1EF09A">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14.57万元，比上年决算增加2.58万元，增长21.52%,主要原因是：本年在职人员工资基数调增，养老缴费基数上涨，相应支出增加。</w:t>
      </w:r>
    </w:p>
    <w:p w14:paraId="3EB8E5B4">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7.17万元，比上年决算减少2.25万元，下降23.89%,主要原因是：本年新增退休人员较上年减少，职业年金缴费较上年减少。</w:t>
      </w:r>
    </w:p>
    <w:p w14:paraId="5945EFE2">
      <w:pPr>
        <w:spacing w:line="580" w:lineRule="exact"/>
        <w:ind w:firstLine="640"/>
        <w:jc w:val="both"/>
      </w:pPr>
      <w:r>
        <w:rPr>
          <w:rFonts w:ascii="仿宋_GB2312" w:hAnsi="仿宋_GB2312" w:eastAsia="仿宋_GB2312"/>
          <w:b w:val="0"/>
          <w:sz w:val="32"/>
        </w:rPr>
        <w:t>10.社会保障和就业支出(类)行政事业单位养老支出(款)对机关事业单位职业年金的补助(项):支出决算数为0.00万元，比上年决算减少0.58万元，下降100.00%,主要原因是：本年无职业年金补助支出，相应支出减少。</w:t>
      </w:r>
    </w:p>
    <w:p w14:paraId="69136C10">
      <w:pPr>
        <w:spacing w:line="580" w:lineRule="exact"/>
        <w:ind w:firstLine="640"/>
        <w:jc w:val="both"/>
      </w:pPr>
      <w:r>
        <w:rPr>
          <w:rFonts w:ascii="仿宋_GB2312" w:hAnsi="仿宋_GB2312" w:eastAsia="仿宋_GB2312"/>
          <w:b w:val="0"/>
          <w:sz w:val="32"/>
        </w:rPr>
        <w:t>11.社会保障和就业支出(类)就业补助(款)就业创业服务补贴(项):支出决算数为5.25万元，比上年决算减少6.25万元，下降54.35%,主要原因是：本年全区农村人口基础维护资金项目较上年减少，相应支出减少。</w:t>
      </w:r>
    </w:p>
    <w:p w14:paraId="4224B898">
      <w:pPr>
        <w:spacing w:line="580" w:lineRule="exact"/>
        <w:ind w:firstLine="640"/>
        <w:jc w:val="both"/>
      </w:pPr>
      <w:r>
        <w:rPr>
          <w:rFonts w:ascii="仿宋_GB2312" w:hAnsi="仿宋_GB2312" w:eastAsia="仿宋_GB2312"/>
          <w:b w:val="0"/>
          <w:sz w:val="32"/>
        </w:rPr>
        <w:t>12.卫生健康支出(类)行政事业单位医疗(款)行政单位医疗(项):支出决算数为6.53万元，比上年决算减少6.37万元，下降49.38%,主要原因是：因退休人员医疗保险制度改革，退休人员基本医疗不再由单位缴纳，导致经费较上年减少。</w:t>
      </w:r>
    </w:p>
    <w:p w14:paraId="23C5121D">
      <w:pPr>
        <w:spacing w:line="580" w:lineRule="exact"/>
        <w:ind w:firstLine="640"/>
        <w:jc w:val="both"/>
      </w:pPr>
      <w:r>
        <w:rPr>
          <w:rFonts w:ascii="仿宋_GB2312" w:hAnsi="仿宋_GB2312" w:eastAsia="仿宋_GB2312"/>
          <w:b w:val="0"/>
          <w:sz w:val="32"/>
        </w:rPr>
        <w:t>13.卫生健康支出(类)行政事业单位医疗(款)事业单位医疗(项):支出决算数为0.76万元，比上年决算减少0.85万元，下降52.80%,主要原因是：因退休人员医疗保险制度改革，退休人员基本医疗不再由单位缴纳，导致经费较上年减少。</w:t>
      </w:r>
    </w:p>
    <w:p w14:paraId="3B6D57A5">
      <w:pPr>
        <w:spacing w:line="580" w:lineRule="exact"/>
        <w:ind w:firstLine="640"/>
        <w:jc w:val="both"/>
      </w:pPr>
      <w:r>
        <w:rPr>
          <w:rFonts w:ascii="仿宋_GB2312" w:hAnsi="仿宋_GB2312" w:eastAsia="仿宋_GB2312"/>
          <w:b w:val="0"/>
          <w:sz w:val="32"/>
        </w:rPr>
        <w:t>14.卫生健康支出(类)行政事业单位医疗(款)公务员医疗补助(项):支出决算数为0.56万元，比上年决算增加0.14万元，增长33.33%,主要原因是：本年在职人员工资基数调增，医疗缴费基数上涨，相应支出增加。</w:t>
      </w:r>
    </w:p>
    <w:p w14:paraId="078F1414">
      <w:pPr>
        <w:spacing w:line="580" w:lineRule="exact"/>
        <w:ind w:firstLine="640"/>
        <w:jc w:val="both"/>
      </w:pPr>
      <w:r>
        <w:rPr>
          <w:rFonts w:ascii="仿宋_GB2312" w:hAnsi="仿宋_GB2312" w:eastAsia="仿宋_GB2312"/>
          <w:b w:val="0"/>
          <w:sz w:val="32"/>
        </w:rPr>
        <w:t>15.住房保障支出(类)住房改革支出(款)住房公积金(项):支出决算数为11.48万元，比上年决算增加1.81万元，增长18.72%,主要原因是：本年在职人员工资基数调增，医疗缴费基数上涨，相应支出增加。</w:t>
      </w:r>
    </w:p>
    <w:p w14:paraId="0C405B3F">
      <w:pPr>
        <w:spacing w:line="640" w:lineRule="exact"/>
        <w:ind w:firstLine="640"/>
        <w:jc w:val="both"/>
        <w:outlineLvl w:val="2"/>
      </w:pPr>
      <w:r>
        <w:rPr>
          <w:rFonts w:ascii="黑体" w:hAnsi="黑体" w:eastAsia="黑体"/>
          <w:sz w:val="32"/>
        </w:rPr>
        <w:t>六、一般公共预算财政拨款基本支出决算情况说明</w:t>
      </w:r>
    </w:p>
    <w:p w14:paraId="183ADB4B">
      <w:pPr>
        <w:spacing w:line="580" w:lineRule="exact"/>
        <w:ind w:firstLine="640"/>
        <w:jc w:val="both"/>
      </w:pPr>
      <w:r>
        <w:rPr>
          <w:rFonts w:ascii="仿宋_GB2312" w:hAnsi="仿宋_GB2312" w:eastAsia="仿宋_GB2312"/>
          <w:b w:val="0"/>
          <w:sz w:val="32"/>
        </w:rPr>
        <w:t>2024年度一般公共预算财政拨款基本支出234.04万元，其中：</w:t>
      </w:r>
      <w:r>
        <w:rPr>
          <w:rFonts w:ascii="仿宋_GB2312" w:hAnsi="仿宋_GB2312" w:eastAsia="仿宋_GB2312"/>
          <w:b/>
          <w:sz w:val="32"/>
        </w:rPr>
        <w:t>人员经费204.54万元，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奖励金、其他对个人和家庭的补助。</w:t>
      </w:r>
    </w:p>
    <w:p w14:paraId="085A66B4">
      <w:pPr>
        <w:spacing w:line="580" w:lineRule="exact"/>
        <w:ind w:firstLine="640"/>
        <w:jc w:val="both"/>
      </w:pPr>
      <w:r>
        <w:rPr>
          <w:rFonts w:ascii="仿宋_GB2312" w:hAnsi="仿宋_GB2312" w:eastAsia="仿宋_GB2312"/>
          <w:b/>
          <w:sz w:val="32"/>
        </w:rPr>
        <w:t>公用经费29.50万元，</w:t>
      </w:r>
      <w:r>
        <w:rPr>
          <w:rFonts w:ascii="仿宋_GB2312" w:hAnsi="仿宋_GB2312" w:eastAsia="仿宋_GB2312"/>
          <w:b w:val="0"/>
          <w:sz w:val="32"/>
        </w:rPr>
        <w:t>包括：办公费、水费、电费、邮电费、取暖费、差旅费、维修（护）费、委托业务费、工会经费、公务用车运行维护费、其他交通费用、其他商品和服务支出。</w:t>
      </w:r>
    </w:p>
    <w:p w14:paraId="7CC9FF43">
      <w:pPr>
        <w:spacing w:line="640" w:lineRule="exact"/>
        <w:ind w:firstLine="640"/>
        <w:jc w:val="both"/>
        <w:outlineLvl w:val="2"/>
      </w:pPr>
      <w:r>
        <w:rPr>
          <w:rFonts w:ascii="黑体" w:hAnsi="黑体" w:eastAsia="黑体"/>
          <w:sz w:val="32"/>
        </w:rPr>
        <w:t>七、政府性基金预算财政拨款收入支出决算情况说明</w:t>
      </w:r>
    </w:p>
    <w:p w14:paraId="559F805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2EF237A">
      <w:pPr>
        <w:spacing w:line="640" w:lineRule="exact"/>
        <w:ind w:firstLine="640"/>
        <w:jc w:val="both"/>
        <w:outlineLvl w:val="2"/>
      </w:pPr>
      <w:r>
        <w:rPr>
          <w:rFonts w:ascii="黑体" w:hAnsi="黑体" w:eastAsia="黑体"/>
          <w:sz w:val="32"/>
        </w:rPr>
        <w:t>八、国有资本经营预算财政拨款收入支出决算情况说明</w:t>
      </w:r>
    </w:p>
    <w:p w14:paraId="3141FE7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FFD16E6">
      <w:pPr>
        <w:spacing w:line="640" w:lineRule="exact"/>
        <w:ind w:firstLine="640"/>
        <w:jc w:val="both"/>
        <w:outlineLvl w:val="2"/>
      </w:pPr>
      <w:r>
        <w:rPr>
          <w:rFonts w:ascii="黑体" w:hAnsi="黑体" w:eastAsia="黑体"/>
          <w:sz w:val="32"/>
        </w:rPr>
        <w:t>九、财政拨款“三公”经费支出决算情况说明</w:t>
      </w:r>
    </w:p>
    <w:p w14:paraId="0214278A">
      <w:pPr>
        <w:spacing w:line="580" w:lineRule="exact"/>
        <w:ind w:firstLine="640"/>
        <w:jc w:val="both"/>
      </w:pPr>
      <w:r>
        <w:rPr>
          <w:rFonts w:ascii="仿宋_GB2312" w:hAnsi="仿宋_GB2312" w:eastAsia="仿宋_GB2312"/>
          <w:b/>
          <w:sz w:val="32"/>
        </w:rPr>
        <w:t>2024年度财政拨款“三公”经费支出0.63万元，</w:t>
      </w:r>
      <w:r>
        <w:rPr>
          <w:rFonts w:ascii="仿宋_GB2312" w:hAnsi="仿宋_GB2312" w:eastAsia="仿宋_GB2312"/>
          <w:b w:val="0"/>
          <w:sz w:val="32"/>
        </w:rPr>
        <w:t>比上年增加0.26万元，增长70.27%，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0.63万元，占100.00%，比上年增加0.26万元，增长70.27%，主要原因是：本年因业务需求，用车次数增加，燃油费增加，导致公务用车运行维护费较上年增加。公务接待费支出0.00万元，占0.00%，比上年增加0.00万元，增长0.00%，主要原因是：2023年与2024年均未安排公务接待费支出。</w:t>
      </w:r>
    </w:p>
    <w:p w14:paraId="18DEFBED">
      <w:pPr>
        <w:spacing w:line="580" w:lineRule="exact"/>
        <w:ind w:firstLine="640"/>
        <w:jc w:val="both"/>
      </w:pPr>
      <w:r>
        <w:rPr>
          <w:rFonts w:ascii="仿宋_GB2312" w:hAnsi="仿宋_GB2312" w:eastAsia="仿宋_GB2312"/>
          <w:b/>
          <w:sz w:val="32"/>
        </w:rPr>
        <w:t>具体情况如下：</w:t>
      </w:r>
    </w:p>
    <w:p w14:paraId="6210A0A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2D1468">
      <w:pPr>
        <w:spacing w:line="580" w:lineRule="exact"/>
        <w:ind w:firstLine="640"/>
        <w:jc w:val="both"/>
      </w:pPr>
      <w:r>
        <w:rPr>
          <w:rFonts w:ascii="仿宋_GB2312" w:hAnsi="仿宋_GB2312" w:eastAsia="仿宋_GB2312"/>
          <w:b w:val="0"/>
          <w:sz w:val="32"/>
        </w:rPr>
        <w:t>公务用车购置及运行维护费0.63万元，其中：公务用车购置费0.00万元，公务用车运行维护费0.63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6426E9E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42C647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0.63万元，决算数0.63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0.63万元，决算数0.63万元，预决算差异率0.00%，主要原因是：严格按照预算执行，预决算无差异。公务接待费全年预算数0.00万元，决算数0.00万元，预决算差异率0.00%，主要原因是：本单位无公务接待费。</w:t>
      </w:r>
    </w:p>
    <w:p w14:paraId="1665C759">
      <w:pPr>
        <w:spacing w:line="640" w:lineRule="exact"/>
        <w:ind w:firstLine="640"/>
        <w:jc w:val="both"/>
        <w:outlineLvl w:val="2"/>
      </w:pPr>
      <w:r>
        <w:rPr>
          <w:rFonts w:ascii="黑体" w:hAnsi="黑体" w:eastAsia="黑体"/>
          <w:sz w:val="32"/>
        </w:rPr>
        <w:t>十、其他重要事项的情况说明</w:t>
      </w:r>
    </w:p>
    <w:p w14:paraId="5226DE06">
      <w:pPr>
        <w:spacing w:line="640" w:lineRule="exact"/>
        <w:ind w:firstLine="640"/>
        <w:jc w:val="both"/>
        <w:outlineLvl w:val="3"/>
      </w:pPr>
      <w:r>
        <w:rPr>
          <w:rFonts w:ascii="楷体_GB2312" w:hAnsi="楷体_GB2312" w:eastAsia="楷体_GB2312"/>
          <w:b/>
          <w:sz w:val="32"/>
        </w:rPr>
        <w:t>（一）机关运行经费及公用经费支出情况</w:t>
      </w:r>
    </w:p>
    <w:p w14:paraId="2351755B">
      <w:pPr>
        <w:spacing w:line="580" w:lineRule="exact"/>
        <w:ind w:firstLine="640"/>
        <w:jc w:val="both"/>
      </w:pPr>
      <w:r>
        <w:rPr>
          <w:rFonts w:ascii="仿宋_GB2312" w:hAnsi="仿宋_GB2312" w:eastAsia="仿宋_GB2312"/>
          <w:b w:val="0"/>
          <w:sz w:val="32"/>
        </w:rPr>
        <w:t>2024年度吉木萨尔县公共就业服务中心（事业单位）公用经费支出29.50万元，比上年增加11.54万元，增长64.25%，主要原因是：本年业务量增加，公用经费增加。</w:t>
      </w:r>
    </w:p>
    <w:p w14:paraId="01339B8F">
      <w:pPr>
        <w:spacing w:line="640" w:lineRule="exact"/>
        <w:ind w:firstLine="640"/>
        <w:jc w:val="both"/>
        <w:outlineLvl w:val="3"/>
      </w:pPr>
      <w:r>
        <w:rPr>
          <w:rFonts w:ascii="楷体_GB2312" w:hAnsi="楷体_GB2312" w:eastAsia="楷体_GB2312"/>
          <w:b/>
          <w:sz w:val="32"/>
        </w:rPr>
        <w:t>（二）政府采购情况</w:t>
      </w:r>
    </w:p>
    <w:p w14:paraId="1F386D28">
      <w:pPr>
        <w:spacing w:line="580" w:lineRule="exact"/>
        <w:ind w:firstLine="640"/>
        <w:jc w:val="both"/>
      </w:pPr>
      <w:r>
        <w:rPr>
          <w:rFonts w:ascii="仿宋_GB2312" w:hAnsi="仿宋_GB2312" w:eastAsia="仿宋_GB2312"/>
          <w:b w:val="0"/>
          <w:sz w:val="32"/>
        </w:rPr>
        <w:t>2024年度政府采购支出总额2.27万元，其中：政府采购货物支出2.27万元、政府采购工程支出0.00万元、政府采购服务支出0.00万元。</w:t>
      </w:r>
    </w:p>
    <w:p w14:paraId="5F1F2ECB">
      <w:pPr>
        <w:spacing w:line="580" w:lineRule="exact"/>
        <w:ind w:firstLine="640"/>
        <w:jc w:val="both"/>
      </w:pPr>
      <w:r>
        <w:rPr>
          <w:rFonts w:ascii="仿宋_GB2312" w:hAnsi="仿宋_GB2312" w:eastAsia="仿宋_GB2312"/>
          <w:b w:val="0"/>
          <w:sz w:val="32"/>
        </w:rPr>
        <w:t>授予中小企业合同金额0.48万元，占政府采购支出总额的21.15%，其中：授予小微企业合同金额0.48万元，占政府采购支出总额的21.15%。</w:t>
      </w:r>
    </w:p>
    <w:p w14:paraId="1A41A5A8">
      <w:pPr>
        <w:spacing w:line="640" w:lineRule="exact"/>
        <w:ind w:firstLine="640"/>
        <w:jc w:val="both"/>
        <w:outlineLvl w:val="3"/>
      </w:pPr>
      <w:r>
        <w:rPr>
          <w:rFonts w:ascii="楷体_GB2312" w:hAnsi="楷体_GB2312" w:eastAsia="楷体_GB2312"/>
          <w:b/>
          <w:sz w:val="32"/>
        </w:rPr>
        <w:t>（三）国有资产占用情况说明</w:t>
      </w:r>
    </w:p>
    <w:p w14:paraId="4A66FA37">
      <w:pPr>
        <w:spacing w:line="580" w:lineRule="exact"/>
        <w:ind w:firstLine="640"/>
        <w:jc w:val="both"/>
      </w:pPr>
      <w:r>
        <w:rPr>
          <w:rFonts w:ascii="仿宋_GB2312" w:hAnsi="仿宋_GB2312" w:eastAsia="仿宋_GB2312"/>
          <w:b w:val="0"/>
          <w:sz w:val="32"/>
        </w:rPr>
        <w:t>截至2024年12月31日，房屋1,500.00平方米，价值195.28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8988CDF">
      <w:pPr>
        <w:spacing w:line="640" w:lineRule="exact"/>
        <w:ind w:firstLine="640"/>
        <w:jc w:val="both"/>
        <w:outlineLvl w:val="2"/>
      </w:pPr>
      <w:r>
        <w:rPr>
          <w:rFonts w:ascii="黑体" w:hAnsi="黑体" w:eastAsia="黑体"/>
          <w:sz w:val="32"/>
        </w:rPr>
        <w:t>十一、预算绩效的情况说明</w:t>
      </w:r>
    </w:p>
    <w:p w14:paraId="13E12D9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366.36万元，实际执行总额366.33万元；预算绩效评价项目3个，全年预算数12.00万元，全年执行数12.00万元。预算绩效管理取得的成效：</w:t>
      </w:r>
      <w:r>
        <w:rPr>
          <w:rFonts w:hint="eastAsia" w:ascii="仿宋_GB2312" w:hAnsi="Times New Roman" w:eastAsia="仿宋_GB2312" w:cs="Times New Roman"/>
          <w:color w:val="auto"/>
          <w:spacing w:val="0"/>
          <w:kern w:val="2"/>
          <w:sz w:val="32"/>
          <w:szCs w:val="32"/>
          <w:highlight w:val="none"/>
          <w:lang w:val="en-US" w:eastAsia="zh-CN" w:bidi="ar-SA"/>
        </w:rPr>
        <w:t>一是确保资金的高效使用，切实发挥财政资金的使用效果。二是严格按照工作职责和相关文件依据，确保专款专用。三是严格控制资金的流出方向，确保资金的合规性</w:t>
      </w:r>
      <w:r>
        <w:rPr>
          <w:rFonts w:ascii="仿宋_GB2312" w:hAnsi="仿宋_GB2312" w:eastAsia="仿宋_GB2312"/>
          <w:b w:val="0"/>
          <w:sz w:val="32"/>
        </w:rPr>
        <w:t>。发现的问题及原因：在本单位进行部门整体绩效自评过程中，所设年初整体绩效目标表中年初预算数完成新就业人数按照上年度指标填写，后期根据上级指标完成任务，在后期的绩效工作中，做到认真负责填报，所设三级指标均完成预期指标从绩效方面来分析，本单位填写绩效的时候未能从全年角度思考，全面地去设定预期目标，再细化和准确化程度上有所欠缺。另外，结合本单位实际情况，在</w:t>
      </w:r>
      <w:r>
        <w:rPr>
          <w:rFonts w:hint="eastAsia" w:ascii="仿宋_GB2312" w:hAnsi="仿宋_GB2312" w:eastAsia="仿宋_GB2312"/>
          <w:b w:val="0"/>
          <w:sz w:val="32"/>
          <w:lang w:eastAsia="zh-CN"/>
        </w:rPr>
        <w:t>预算绩效管理</w:t>
      </w:r>
      <w:r>
        <w:rPr>
          <w:rFonts w:ascii="仿宋_GB2312" w:hAnsi="仿宋_GB2312" w:eastAsia="仿宋_GB2312"/>
          <w:b w:val="0"/>
          <w:sz w:val="32"/>
        </w:rPr>
        <w:t>中还存在部门内部预算绩效职责不清，工作安排不到位的问题，有些项目是财务科室独自完成项目的绩效申报、监控及自评，由于缺少业务科室的协调配合，将绩效目标制定、跟踪监控等专业性工作归口于财务人员，没有专人承担绩效管理职责，导致业务管理与绩效管理脱节，弱化了绩效管理的最基本环节。下一步改进措施：针对以上存在的主要问题，本单位提出以下改进措施和建议：一是对绩效执行进行监控时存在的偏差，各项目负责人要认真思考与分析，在设定绩效目标时不断细化和准确化，以保证绩效目标分步、分段、按进度推进，从而实现绩效目标；二是加强各科室绩效业务学习及培训，增强业务人员绩效管理意识，进一步加强预算绩效管理工作，优化项目支出绩效指标体系。三是单位加强监督，清楚划分职责，对绩效目标进行分解及监督，对绩效可能存在的问题及时纠偏、调整，同时建立健全内部控制制度，以确保绩效目标完整执行，全面实施。具体附整体支出绩效自评表，项</w:t>
      </w:r>
      <w:bookmarkStart w:id="0" w:name="_GoBack"/>
      <w:r>
        <w:rPr>
          <w:rFonts w:ascii="仿宋_GB2312" w:hAnsi="仿宋_GB2312" w:eastAsia="仿宋_GB2312"/>
          <w:b w:val="0"/>
          <w:sz w:val="32"/>
        </w:rPr>
        <w:t>目支出绩效自评</w:t>
      </w:r>
      <w:bookmarkEnd w:id="0"/>
      <w:r>
        <w:rPr>
          <w:rFonts w:ascii="仿宋_GB2312" w:hAnsi="仿宋_GB2312" w:eastAsia="仿宋_GB2312"/>
          <w:b w:val="0"/>
          <w:sz w:val="32"/>
        </w:rPr>
        <w:t>表。</w:t>
      </w:r>
    </w:p>
    <w:p w14:paraId="26C294B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84222F">
        <w:tc>
          <w:tcPr>
            <w:tcW w:w="8847" w:type="dxa"/>
            <w:gridSpan w:val="9"/>
            <w:vAlign w:val="center"/>
          </w:tcPr>
          <w:p w14:paraId="2BF909F6">
            <w:pPr>
              <w:jc w:val="center"/>
            </w:pPr>
            <w:r>
              <w:rPr>
                <w:rFonts w:ascii="宋体" w:hAnsi="宋体" w:eastAsia="宋体"/>
                <w:sz w:val="24"/>
              </w:rPr>
              <w:t>单位整体支出绩效自评表</w:t>
            </w:r>
          </w:p>
        </w:tc>
      </w:tr>
      <w:tr w14:paraId="7E1122A0">
        <w:tblPrEx>
          <w:tblCellMar>
            <w:top w:w="0" w:type="dxa"/>
            <w:left w:w="108" w:type="dxa"/>
            <w:bottom w:w="0" w:type="dxa"/>
            <w:right w:w="108" w:type="dxa"/>
          </w:tblCellMar>
        </w:tblPrEx>
        <w:tc>
          <w:tcPr>
            <w:tcW w:w="8847" w:type="dxa"/>
            <w:gridSpan w:val="9"/>
            <w:vAlign w:val="center"/>
          </w:tcPr>
          <w:p w14:paraId="15EEE974">
            <w:pPr>
              <w:jc w:val="center"/>
            </w:pPr>
            <w:r>
              <w:rPr>
                <w:rFonts w:ascii="宋体" w:hAnsi="宋体" w:eastAsia="宋体"/>
                <w:sz w:val="24"/>
              </w:rPr>
              <w:t>（2024年度）</w:t>
            </w:r>
          </w:p>
        </w:tc>
      </w:tr>
      <w:tr w14:paraId="5E1F93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FFF8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A35630">
            <w:pPr>
              <w:jc w:val="center"/>
            </w:pPr>
            <w:r>
              <w:rPr>
                <w:rFonts w:ascii="宋体" w:hAnsi="宋体" w:eastAsia="宋体"/>
                <w:sz w:val="16"/>
              </w:rPr>
              <w:t>吉木萨尔县公共就业服务中心</w:t>
            </w:r>
          </w:p>
        </w:tc>
      </w:tr>
      <w:tr w14:paraId="2E36EE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A23FA">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8F0E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F5C7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F6E1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F71A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8809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63A0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06EC0">
            <w:pPr>
              <w:jc w:val="center"/>
            </w:pPr>
            <w:r>
              <w:rPr>
                <w:rFonts w:ascii="宋体" w:hAnsi="宋体" w:eastAsia="宋体"/>
                <w:sz w:val="16"/>
              </w:rPr>
              <w:t>得分</w:t>
            </w:r>
          </w:p>
        </w:tc>
      </w:tr>
      <w:tr w14:paraId="794946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93D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EF4D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CF1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474E0">
            <w:pPr>
              <w:jc w:val="center"/>
            </w:pPr>
            <w:r>
              <w:rPr>
                <w:rFonts w:ascii="宋体" w:hAnsi="宋体" w:eastAsia="宋体"/>
                <w:sz w:val="16"/>
              </w:rPr>
              <w:t>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A43AE">
            <w:pPr>
              <w:jc w:val="center"/>
            </w:pPr>
            <w:r>
              <w:rPr>
                <w:rFonts w:ascii="宋体" w:hAnsi="宋体" w:eastAsia="宋体"/>
                <w:sz w:val="16"/>
              </w:rPr>
              <w:t>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F2E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3EE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20DAC">
            <w:pPr>
              <w:jc w:val="center"/>
            </w:pPr>
            <w:r>
              <w:rPr>
                <w:rFonts w:ascii="宋体" w:hAnsi="宋体" w:eastAsia="宋体"/>
                <w:sz w:val="16"/>
              </w:rPr>
              <w:t>-</w:t>
            </w:r>
          </w:p>
        </w:tc>
      </w:tr>
      <w:tr w14:paraId="70499E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FEC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C8BE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ACF06">
            <w:pPr>
              <w:jc w:val="center"/>
            </w:pPr>
            <w:r>
              <w:rPr>
                <w:rFonts w:ascii="宋体" w:hAnsi="宋体" w:eastAsia="宋体"/>
                <w:sz w:val="16"/>
              </w:rPr>
              <w:t>193.73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A66C5">
            <w:pPr>
              <w:jc w:val="center"/>
            </w:pPr>
            <w:r>
              <w:rPr>
                <w:rFonts w:ascii="宋体" w:hAnsi="宋体" w:eastAsia="宋体"/>
                <w:sz w:val="16"/>
              </w:rPr>
              <w:t>361.11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81CD2">
            <w:pPr>
              <w:jc w:val="center"/>
            </w:pPr>
            <w:r>
              <w:rPr>
                <w:rFonts w:ascii="宋体" w:hAnsi="宋体" w:eastAsia="宋体"/>
                <w:sz w:val="16"/>
              </w:rPr>
              <w:t>361.08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59F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984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FE983">
            <w:pPr>
              <w:jc w:val="center"/>
            </w:pPr>
            <w:r>
              <w:rPr>
                <w:rFonts w:ascii="宋体" w:hAnsi="宋体" w:eastAsia="宋体"/>
                <w:sz w:val="16"/>
              </w:rPr>
              <w:t>-</w:t>
            </w:r>
          </w:p>
        </w:tc>
      </w:tr>
      <w:tr w14:paraId="5639A3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FB2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2DC4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7EDA0">
            <w:pPr>
              <w:jc w:val="center"/>
            </w:pPr>
            <w:r>
              <w:rPr>
                <w:rFonts w:ascii="宋体" w:hAnsi="宋体" w:eastAsia="宋体"/>
                <w:sz w:val="16"/>
              </w:rPr>
              <w:t>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BB8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E44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217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713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A0B20">
            <w:pPr>
              <w:jc w:val="center"/>
            </w:pPr>
            <w:r>
              <w:rPr>
                <w:rFonts w:ascii="宋体" w:hAnsi="宋体" w:eastAsia="宋体"/>
                <w:sz w:val="16"/>
              </w:rPr>
              <w:t>-</w:t>
            </w:r>
          </w:p>
        </w:tc>
      </w:tr>
      <w:tr w14:paraId="49A591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C6B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CCF4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3BADB">
            <w:pPr>
              <w:jc w:val="center"/>
            </w:pPr>
            <w:r>
              <w:rPr>
                <w:rFonts w:ascii="宋体" w:hAnsi="宋体" w:eastAsia="宋体"/>
                <w:sz w:val="16"/>
              </w:rPr>
              <w:t>203.12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18443">
            <w:pPr>
              <w:jc w:val="center"/>
            </w:pPr>
            <w:r>
              <w:rPr>
                <w:rFonts w:ascii="宋体" w:hAnsi="宋体" w:eastAsia="宋体"/>
                <w:sz w:val="16"/>
              </w:rPr>
              <w:t>366.36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84705">
            <w:pPr>
              <w:jc w:val="center"/>
            </w:pPr>
            <w:r>
              <w:rPr>
                <w:rFonts w:ascii="宋体" w:hAnsi="宋体" w:eastAsia="宋体"/>
                <w:sz w:val="16"/>
              </w:rPr>
              <w:t>366.33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08B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3F179">
            <w:pPr>
              <w:jc w:val="center"/>
            </w:pPr>
            <w:r>
              <w:rPr>
                <w:rFonts w:ascii="宋体" w:hAnsi="宋体" w:eastAsia="宋体"/>
                <w:sz w:val="16"/>
              </w:rPr>
              <w:t>99.99%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B2710">
            <w:pPr>
              <w:jc w:val="center"/>
            </w:pPr>
            <w:r>
              <w:rPr>
                <w:rFonts w:ascii="宋体" w:hAnsi="宋体" w:eastAsia="宋体"/>
                <w:sz w:val="16"/>
              </w:rPr>
              <w:t>10</w:t>
            </w:r>
          </w:p>
        </w:tc>
      </w:tr>
      <w:tr w14:paraId="43F2A8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E81A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01015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4DA2AC">
            <w:pPr>
              <w:jc w:val="center"/>
            </w:pPr>
            <w:r>
              <w:rPr>
                <w:rFonts w:ascii="宋体" w:hAnsi="宋体" w:eastAsia="宋体"/>
                <w:sz w:val="16"/>
              </w:rPr>
              <w:t>实际完成情况</w:t>
            </w:r>
          </w:p>
        </w:tc>
      </w:tr>
      <w:tr w14:paraId="16D044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53CC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1658FC">
            <w:pPr>
              <w:jc w:val="both"/>
            </w:pPr>
            <w:r>
              <w:rPr>
                <w:rFonts w:ascii="宋体" w:hAnsi="宋体" w:eastAsia="宋体"/>
                <w:sz w:val="16"/>
              </w:rPr>
              <w:t>（1)贯彻执行劳动就业法律法规政策，负责推进公共就业服务体系建设，对全县公共就业服务机构日常工作指导，收集发布用工信息、组织实施各类就业招聘，做好就业、失业登记及实施公共就业服务活动；（2)负责全县农村劳动力转移、城镇新增就业及农村劳动力职业技能培训等工作；（3)建立城乡统一的就业培训体系，加强职业技能培训等。本年度绩效目标为一.保障单位在职人员和退休人员、编外人员的工资、奖金、绩效、社会保险缴费、住房公积金正常发放和缴纳。二.确保</w:t>
            </w:r>
            <w:r>
              <w:rPr>
                <w:rFonts w:hint="eastAsia" w:ascii="宋体" w:hAnsi="宋体"/>
                <w:sz w:val="16"/>
                <w:lang w:eastAsia="zh-CN"/>
              </w:rPr>
              <w:t>本单位</w:t>
            </w:r>
            <w:r>
              <w:rPr>
                <w:rFonts w:ascii="宋体" w:hAnsi="宋体" w:eastAsia="宋体"/>
                <w:sz w:val="16"/>
              </w:rPr>
              <w:t>日常工作运行，其中包含办公费、邮电费、差旅费、公务用车运行费、工会经费、劳务费等。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9AA2ED">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全年预算数为366.36万元，全年执行数366.33万元，总预算执行率99.99%。2024年</w:t>
            </w:r>
            <w:r>
              <w:rPr>
                <w:rFonts w:hint="eastAsia" w:ascii="宋体" w:hAnsi="宋体"/>
                <w:sz w:val="16"/>
                <w:lang w:eastAsia="zh-CN"/>
              </w:rPr>
              <w:t>本单位</w:t>
            </w:r>
            <w:r>
              <w:rPr>
                <w:rFonts w:ascii="宋体" w:hAnsi="宋体" w:eastAsia="宋体"/>
                <w:sz w:val="16"/>
              </w:rPr>
              <w:t>完成以下工作内容：1.在编9人、退休15人、编外人员4人工资薪金保障发放。2.“三公”经费控制率达到100%，年初财政下达预算指标2万元，本年度严格执行控制数，执行0.63万元。3.完成农村劳动力外出务工15479人次，完成全年任务的100.5%，其中，实现脱贫人口转移就业817人，完成全年任务的105%，实现吉木萨尔籍各类人员转移准东就业1549人次；完成全年任务的103.2%。完成城镇新增就业2673人，完成全年任务的108%,城镇登记失业率控制在3.5%以内；人力资源服务机构为企业招聘引才实现就业516人，完成目标任务的101%。组织线下专项活动37场次，提供就业岗位2.02万个，招聘现场达成就业意愿2840人次，发放各类政策宣传材料2.08万余份；开展线上直播带岗活动5期，全网观看人数累计达4.18万余人次。4.完成城镇新增就业2684人、目标任务的101.2%；城镇登记失业率控制在3.5%以内。通过以上工作的实施，首先</w:t>
            </w:r>
            <w:r>
              <w:rPr>
                <w:rFonts w:hint="eastAsia" w:ascii="宋体" w:hAnsi="宋体"/>
                <w:sz w:val="16"/>
                <w:lang w:eastAsia="zh-CN"/>
              </w:rPr>
              <w:t>本单位</w:t>
            </w:r>
            <w:r>
              <w:rPr>
                <w:rFonts w:ascii="宋体" w:hAnsi="宋体" w:eastAsia="宋体"/>
                <w:sz w:val="16"/>
              </w:rPr>
              <w:t>工作人员得到了生活上的保障，然后，</w:t>
            </w:r>
            <w:r>
              <w:rPr>
                <w:rFonts w:hint="eastAsia" w:ascii="宋体" w:hAnsi="宋体"/>
                <w:sz w:val="16"/>
                <w:lang w:eastAsia="zh-CN"/>
              </w:rPr>
              <w:t>“三公”经费</w:t>
            </w:r>
            <w:r>
              <w:rPr>
                <w:rFonts w:ascii="宋体" w:hAnsi="宋体" w:eastAsia="宋体"/>
                <w:sz w:val="16"/>
              </w:rPr>
              <w:t>的控制率降低，减轻政府费用的开销，接着</w:t>
            </w:r>
            <w:r>
              <w:rPr>
                <w:rFonts w:hint="eastAsia" w:ascii="宋体" w:hAnsi="宋体"/>
                <w:sz w:val="16"/>
                <w:lang w:eastAsia="zh-CN"/>
              </w:rPr>
              <w:t>本单位</w:t>
            </w:r>
            <w:r>
              <w:rPr>
                <w:rFonts w:ascii="宋体" w:hAnsi="宋体" w:eastAsia="宋体"/>
                <w:sz w:val="16"/>
              </w:rPr>
              <w:t>展开培训以及就业活动的开展，推进城镇新增就业高效化，同时也抓好了社招校招活动经常化，为</w:t>
            </w:r>
            <w:r>
              <w:rPr>
                <w:rFonts w:hint="eastAsia" w:ascii="宋体" w:hAnsi="宋体"/>
                <w:sz w:val="16"/>
                <w:lang w:eastAsia="zh-CN"/>
              </w:rPr>
              <w:t>高校</w:t>
            </w:r>
            <w:r>
              <w:rPr>
                <w:rFonts w:ascii="宋体" w:hAnsi="宋体" w:eastAsia="宋体"/>
                <w:sz w:val="16"/>
              </w:rPr>
              <w:t>毕业生创造了零距离接触企业的机会，搭建了良好的见习及求职平台等。</w:t>
            </w:r>
          </w:p>
        </w:tc>
      </w:tr>
      <w:tr w14:paraId="5AAD5E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1CEC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9BDD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0EFE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4076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5514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24D6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CF73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C47ED">
            <w:pPr>
              <w:jc w:val="center"/>
            </w:pPr>
            <w:r>
              <w:rPr>
                <w:rFonts w:ascii="宋体" w:hAnsi="宋体" w:eastAsia="宋体"/>
                <w:sz w:val="16"/>
              </w:rPr>
              <w:t>得分</w:t>
            </w:r>
          </w:p>
        </w:tc>
      </w:tr>
      <w:tr w14:paraId="68AB5B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28DB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E03FB">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64350">
            <w:pPr>
              <w:jc w:val="center"/>
            </w:pPr>
            <w:r>
              <w:rPr>
                <w:rFonts w:ascii="宋体" w:hAnsi="宋体" w:eastAsia="宋体"/>
                <w:sz w:val="16"/>
              </w:rPr>
              <w:t>完成新就业人数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C99C8">
            <w:pPr>
              <w:jc w:val="center"/>
            </w:pPr>
            <w:r>
              <w:rPr>
                <w:rFonts w:ascii="宋体" w:hAnsi="宋体" w:eastAsia="宋体"/>
                <w:sz w:val="16"/>
              </w:rPr>
              <w:t>&gt;=2800人次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A0930">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E7EFA">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42824">
            <w:pPr>
              <w:jc w:val="center"/>
            </w:pPr>
            <w:r>
              <w:rPr>
                <w:rFonts w:ascii="宋体" w:hAnsi="宋体" w:eastAsia="宋体"/>
                <w:sz w:val="16"/>
              </w:rPr>
              <w:t>=2688人次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5B07B">
            <w:pPr>
              <w:jc w:val="center"/>
            </w:pPr>
            <w:r>
              <w:rPr>
                <w:rFonts w:ascii="宋体" w:hAnsi="宋体" w:eastAsia="宋体"/>
                <w:sz w:val="16"/>
              </w:rPr>
              <w:t>13.44</w:t>
            </w:r>
          </w:p>
        </w:tc>
      </w:tr>
      <w:tr w14:paraId="77500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3F5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EBA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EF675">
            <w:pPr>
              <w:jc w:val="center"/>
            </w:pPr>
            <w:r>
              <w:rPr>
                <w:rFonts w:ascii="宋体" w:hAnsi="宋体" w:eastAsia="宋体"/>
                <w:sz w:val="16"/>
              </w:rPr>
              <w:t>控制城镇登记失业率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022C4">
            <w:pPr>
              <w:jc w:val="center"/>
            </w:pPr>
            <w:r>
              <w:rPr>
                <w:rFonts w:ascii="宋体" w:hAnsi="宋体" w:eastAsia="宋体"/>
                <w:sz w:val="16"/>
              </w:rPr>
              <w:t>&gt;=3.50%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46ABB">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31764">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4C167">
            <w:pPr>
              <w:jc w:val="center"/>
            </w:pPr>
            <w:r>
              <w:rPr>
                <w:rFonts w:ascii="宋体" w:hAnsi="宋体" w:eastAsia="宋体"/>
                <w:sz w:val="16"/>
              </w:rPr>
              <w:t>=3.5%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090CE">
            <w:pPr>
              <w:jc w:val="center"/>
            </w:pPr>
            <w:r>
              <w:rPr>
                <w:rFonts w:ascii="宋体" w:hAnsi="宋体" w:eastAsia="宋体"/>
                <w:sz w:val="16"/>
              </w:rPr>
              <w:t>13</w:t>
            </w:r>
          </w:p>
        </w:tc>
      </w:tr>
      <w:tr w14:paraId="5C7BD1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FAA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D24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FBCEE">
            <w:pPr>
              <w:jc w:val="center"/>
            </w:pPr>
            <w:r>
              <w:rPr>
                <w:rFonts w:ascii="宋体" w:hAnsi="宋体" w:eastAsia="宋体"/>
                <w:sz w:val="16"/>
              </w:rPr>
              <w:t>全县劳动力转移人次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E79A6">
            <w:pPr>
              <w:jc w:val="center"/>
            </w:pPr>
            <w:r>
              <w:rPr>
                <w:rFonts w:ascii="宋体" w:hAnsi="宋体" w:eastAsia="宋体"/>
                <w:sz w:val="16"/>
              </w:rPr>
              <w:t>&gt;=15400人次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D02BE">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C5D56">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BB325">
            <w:pPr>
              <w:jc w:val="center"/>
            </w:pPr>
            <w:r>
              <w:rPr>
                <w:rFonts w:ascii="宋体" w:hAnsi="宋体" w:eastAsia="宋体"/>
                <w:sz w:val="16"/>
              </w:rPr>
              <w:t>=15483人次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6893F">
            <w:pPr>
              <w:jc w:val="center"/>
            </w:pPr>
            <w:r>
              <w:rPr>
                <w:rFonts w:ascii="宋体" w:hAnsi="宋体" w:eastAsia="宋体"/>
                <w:sz w:val="16"/>
              </w:rPr>
              <w:t>14</w:t>
            </w:r>
          </w:p>
        </w:tc>
      </w:tr>
      <w:tr w14:paraId="64CCC9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4EC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9CF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EB2DA">
            <w:pPr>
              <w:jc w:val="center"/>
            </w:pPr>
            <w:r>
              <w:rPr>
                <w:rFonts w:ascii="宋体" w:hAnsi="宋体" w:eastAsia="宋体"/>
                <w:sz w:val="16"/>
              </w:rPr>
              <w:t>企业引才人数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522ED">
            <w:pPr>
              <w:jc w:val="center"/>
            </w:pPr>
            <w:r>
              <w:rPr>
                <w:rFonts w:ascii="宋体" w:hAnsi="宋体" w:eastAsia="宋体"/>
                <w:sz w:val="16"/>
              </w:rPr>
              <w:t>&gt;=510人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B0FC9">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F227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F9503">
            <w:pPr>
              <w:jc w:val="center"/>
            </w:pPr>
            <w:r>
              <w:rPr>
                <w:rFonts w:ascii="宋体" w:hAnsi="宋体" w:eastAsia="宋体"/>
                <w:sz w:val="16"/>
              </w:rPr>
              <w:t>=516人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B534E">
            <w:pPr>
              <w:jc w:val="center"/>
            </w:pPr>
            <w:r>
              <w:rPr>
                <w:rFonts w:ascii="宋体" w:hAnsi="宋体" w:eastAsia="宋体"/>
                <w:sz w:val="16"/>
              </w:rPr>
              <w:t>12</w:t>
            </w:r>
          </w:p>
        </w:tc>
      </w:tr>
      <w:tr w14:paraId="4A00D0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A39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B39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6EEEF">
            <w:pPr>
              <w:jc w:val="center"/>
            </w:pPr>
            <w:r>
              <w:rPr>
                <w:rFonts w:ascii="宋体" w:hAnsi="宋体" w:eastAsia="宋体"/>
                <w:sz w:val="16"/>
              </w:rPr>
              <w:t>开展三产服务培训场次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00147">
            <w:pPr>
              <w:jc w:val="center"/>
            </w:pPr>
            <w:r>
              <w:rPr>
                <w:rFonts w:ascii="宋体" w:hAnsi="宋体" w:eastAsia="宋体"/>
                <w:sz w:val="16"/>
              </w:rPr>
              <w:t>&gt;=1场次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29E43">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27FF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901B2">
            <w:pPr>
              <w:jc w:val="center"/>
            </w:pPr>
            <w:r>
              <w:rPr>
                <w:rFonts w:ascii="宋体" w:hAnsi="宋体" w:eastAsia="宋体"/>
                <w:sz w:val="16"/>
              </w:rPr>
              <w: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8C6B3">
            <w:pPr>
              <w:jc w:val="center"/>
            </w:pPr>
            <w:r>
              <w:rPr>
                <w:rFonts w:ascii="宋体" w:hAnsi="宋体" w:eastAsia="宋体"/>
                <w:sz w:val="16"/>
              </w:rPr>
              <w:t>12</w:t>
            </w:r>
          </w:p>
        </w:tc>
      </w:tr>
      <w:tr w14:paraId="2AEE37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732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782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B121A">
            <w:pPr>
              <w:jc w:val="center"/>
            </w:pPr>
            <w:r>
              <w:rPr>
                <w:rFonts w:ascii="宋体" w:hAnsi="宋体" w:eastAsia="宋体"/>
                <w:sz w:val="16"/>
              </w:rPr>
              <w:t>开展公共就业服务活动场次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16D98">
            <w:pPr>
              <w:jc w:val="center"/>
            </w:pPr>
            <w:r>
              <w:rPr>
                <w:rFonts w:ascii="宋体" w:hAnsi="宋体" w:eastAsia="宋体"/>
                <w:sz w:val="16"/>
              </w:rPr>
              <w:t>&gt;=3场次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EC9B2">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FE6DD">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760E1">
            <w:pPr>
              <w:jc w:val="center"/>
            </w:pPr>
            <w:r>
              <w:rPr>
                <w:rFonts w:ascii="宋体" w:hAnsi="宋体" w:eastAsia="宋体"/>
                <w:sz w:val="16"/>
              </w:rPr>
              <w:t>=37场次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9CE27">
            <w:pPr>
              <w:jc w:val="center"/>
            </w:pPr>
            <w:r>
              <w:rPr>
                <w:rFonts w:ascii="宋体" w:hAnsi="宋体" w:eastAsia="宋体"/>
                <w:sz w:val="16"/>
              </w:rPr>
              <w:t>13</w:t>
            </w:r>
          </w:p>
        </w:tc>
      </w:tr>
      <w:tr w14:paraId="54FA8B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6E8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816A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33954">
            <w:pPr>
              <w:jc w:val="center"/>
            </w:pPr>
            <w:r>
              <w:rPr>
                <w:rFonts w:ascii="宋体" w:hAnsi="宋体" w:eastAsia="宋体"/>
                <w:sz w:val="16"/>
              </w:rPr>
              <w:t>提升人事档案工作质效化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EC03F">
            <w:pPr>
              <w:jc w:val="center"/>
            </w:pPr>
            <w:r>
              <w:rPr>
                <w:rFonts w:ascii="宋体" w:hAnsi="宋体" w:eastAsia="宋体"/>
                <w:sz w:val="16"/>
              </w:rPr>
              <w:t>持续提高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08DA0">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6F9E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73CDD">
            <w:pPr>
              <w:jc w:val="center"/>
            </w:pPr>
            <w:r>
              <w:rPr>
                <w:rFonts w:ascii="宋体" w:hAnsi="宋体" w:eastAsia="宋体"/>
                <w:sz w:val="16"/>
              </w:rPr>
              <w:t>持续提高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68BD0">
            <w:pPr>
              <w:jc w:val="center"/>
            </w:pPr>
            <w:r>
              <w:rPr>
                <w:rFonts w:ascii="宋体" w:hAnsi="宋体" w:eastAsia="宋体"/>
                <w:sz w:val="16"/>
              </w:rPr>
              <w:t>12</w:t>
            </w:r>
          </w:p>
        </w:tc>
      </w:tr>
    </w:tbl>
    <w:p w14:paraId="065DF8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96"/>
        <w:gridCol w:w="632"/>
        <w:gridCol w:w="632"/>
        <w:gridCol w:w="632"/>
        <w:gridCol w:w="632"/>
        <w:gridCol w:w="632"/>
      </w:tblGrid>
      <w:tr w14:paraId="32441D00">
        <w:tblPrEx>
          <w:tblCellMar>
            <w:top w:w="0" w:type="dxa"/>
            <w:left w:w="108" w:type="dxa"/>
            <w:bottom w:w="0" w:type="dxa"/>
            <w:right w:w="108" w:type="dxa"/>
          </w:tblCellMar>
        </w:tblPrEx>
        <w:tc>
          <w:tcPr>
            <w:tcW w:w="8848" w:type="dxa"/>
            <w:gridSpan w:val="14"/>
            <w:vAlign w:val="center"/>
          </w:tcPr>
          <w:p w14:paraId="669250FD">
            <w:pPr>
              <w:jc w:val="center"/>
            </w:pPr>
            <w:r>
              <w:rPr>
                <w:rFonts w:ascii="宋体" w:hAnsi="宋体" w:eastAsia="宋体"/>
                <w:sz w:val="24"/>
              </w:rPr>
              <w:t>项目支出绩效自评表</w:t>
            </w:r>
          </w:p>
        </w:tc>
      </w:tr>
      <w:tr w14:paraId="7312F971">
        <w:tblPrEx>
          <w:tblCellMar>
            <w:top w:w="0" w:type="dxa"/>
            <w:left w:w="108" w:type="dxa"/>
            <w:bottom w:w="0" w:type="dxa"/>
            <w:right w:w="108" w:type="dxa"/>
          </w:tblCellMar>
        </w:tblPrEx>
        <w:tc>
          <w:tcPr>
            <w:tcW w:w="8848" w:type="dxa"/>
            <w:gridSpan w:val="14"/>
            <w:vAlign w:val="center"/>
          </w:tcPr>
          <w:p w14:paraId="756E28ED">
            <w:pPr>
              <w:jc w:val="center"/>
            </w:pPr>
            <w:r>
              <w:rPr>
                <w:rFonts w:ascii="宋体" w:hAnsi="宋体" w:eastAsia="宋体"/>
                <w:sz w:val="24"/>
              </w:rPr>
              <w:t>(2024年度)</w:t>
            </w:r>
          </w:p>
        </w:tc>
      </w:tr>
      <w:tr w14:paraId="6ED921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BA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764A2E">
            <w:pPr>
              <w:jc w:val="center"/>
            </w:pPr>
            <w:r>
              <w:rPr>
                <w:rFonts w:ascii="宋体" w:hAnsi="宋体" w:eastAsia="宋体"/>
                <w:sz w:val="16"/>
              </w:rPr>
              <w:t>公共就业服务中心档案信息化建设费用</w:t>
            </w:r>
          </w:p>
        </w:tc>
      </w:tr>
      <w:tr w14:paraId="21C276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37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BA7D58">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A3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FDEEE3">
            <w:pPr>
              <w:jc w:val="center"/>
            </w:pPr>
            <w:r>
              <w:rPr>
                <w:rFonts w:ascii="宋体" w:hAnsi="宋体" w:eastAsia="宋体"/>
                <w:sz w:val="16"/>
              </w:rPr>
              <w:t>吉木萨尔县公共就业服务中心</w:t>
            </w:r>
          </w:p>
        </w:tc>
      </w:tr>
      <w:tr w14:paraId="758B66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6A60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970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76B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347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F7D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A82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BAA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1889">
            <w:pPr>
              <w:jc w:val="center"/>
            </w:pPr>
            <w:r>
              <w:rPr>
                <w:rFonts w:ascii="宋体" w:hAnsi="宋体" w:eastAsia="宋体"/>
                <w:sz w:val="16"/>
              </w:rPr>
              <w:t>得分</w:t>
            </w:r>
          </w:p>
        </w:tc>
      </w:tr>
      <w:tr w14:paraId="1DFDB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BF3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78D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C904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2916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A0A8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731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5369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668C">
            <w:pPr>
              <w:jc w:val="center"/>
            </w:pPr>
            <w:r>
              <w:rPr>
                <w:rFonts w:ascii="宋体" w:hAnsi="宋体" w:eastAsia="宋体"/>
                <w:sz w:val="16"/>
              </w:rPr>
              <w:t>10.00</w:t>
            </w:r>
          </w:p>
        </w:tc>
      </w:tr>
      <w:tr w14:paraId="5BA0F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D5C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731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B6AA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153E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D653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011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58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0957">
            <w:pPr>
              <w:jc w:val="center"/>
            </w:pPr>
            <w:r>
              <w:rPr>
                <w:rFonts w:ascii="宋体" w:hAnsi="宋体" w:eastAsia="宋体"/>
                <w:sz w:val="16"/>
              </w:rPr>
              <w:t>—</w:t>
            </w:r>
          </w:p>
        </w:tc>
      </w:tr>
      <w:tr w14:paraId="17C2C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26E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3F2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DA8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6C8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7C8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940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27E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4624">
            <w:pPr>
              <w:jc w:val="center"/>
            </w:pPr>
            <w:r>
              <w:rPr>
                <w:rFonts w:ascii="宋体" w:hAnsi="宋体" w:eastAsia="宋体"/>
                <w:sz w:val="16"/>
              </w:rPr>
              <w:t>—</w:t>
            </w:r>
          </w:p>
        </w:tc>
      </w:tr>
      <w:tr w14:paraId="5ACFB3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FA39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5C44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F29762">
            <w:pPr>
              <w:jc w:val="center"/>
            </w:pPr>
            <w:r>
              <w:rPr>
                <w:rFonts w:ascii="宋体" w:hAnsi="宋体" w:eastAsia="宋体"/>
                <w:sz w:val="16"/>
              </w:rPr>
              <w:t>实际完成情况</w:t>
            </w:r>
          </w:p>
        </w:tc>
      </w:tr>
      <w:tr w14:paraId="0B9CB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6C4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F53D7E">
            <w:pPr>
              <w:jc w:val="both"/>
            </w:pPr>
            <w:r>
              <w:rPr>
                <w:rFonts w:ascii="宋体" w:hAnsi="宋体" w:eastAsia="宋体"/>
                <w:sz w:val="16"/>
              </w:rPr>
              <w:t>根据新人社发〔2021〕12号新人社函〔2023〕28号以及昌吉州关于加快推进档案信息化建设工作的实施方案的文件精神，力争在2025年底建立省级集中档案数字化信息资源库，全面提升档案服务和管理支撑能力。贯彻落实国务院</w:t>
            </w:r>
            <w:r>
              <w:rPr>
                <w:rFonts w:hint="eastAsia" w:ascii="宋体" w:hAnsi="宋体"/>
                <w:sz w:val="16"/>
                <w:lang w:eastAsia="zh-CN"/>
              </w:rPr>
              <w:t>深化“放管服”改革</w:t>
            </w:r>
            <w:r>
              <w:rPr>
                <w:rFonts w:ascii="宋体" w:hAnsi="宋体" w:eastAsia="宋体"/>
                <w:sz w:val="16"/>
              </w:rPr>
              <w:t>。2024年县财政配套10万元解决2015年以前的大学生流动人员档案入库信息化，努力实现力争在2025年底建立省级集中档案数字化信息资源库，全面提升档案服务和管理支撑能力。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ABF840">
            <w:pPr>
              <w:jc w:val="both"/>
            </w:pPr>
            <w:r>
              <w:rPr>
                <w:rFonts w:ascii="宋体" w:hAnsi="宋体" w:eastAsia="宋体"/>
                <w:sz w:val="16"/>
              </w:rPr>
              <w:t>2024年县财政配套10万元解决2015年以前的大学生流动人员档案入库信息化，全年完成2000分人事档案数字化。2024年县财政配套10万元解决2015年以前的大学生流动人员档案入库信息化，努力实现力争在2025年底建立省级集中档案数字化信息资源库，全面提升档案服务和管理支撑能力。</w:t>
            </w:r>
          </w:p>
        </w:tc>
      </w:tr>
      <w:tr w14:paraId="6B6899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FAA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A0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C8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F1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06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727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E74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710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574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6C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66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4F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3D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8F2D">
            <w:pPr>
              <w:jc w:val="center"/>
            </w:pPr>
            <w:r>
              <w:rPr>
                <w:rFonts w:ascii="宋体" w:hAnsi="宋体" w:eastAsia="宋体"/>
                <w:sz w:val="16"/>
              </w:rPr>
              <w:t>偏差原因分析及改进措施</w:t>
            </w:r>
          </w:p>
        </w:tc>
      </w:tr>
      <w:tr w14:paraId="531DB9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84C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877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73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68212">
            <w:pPr>
              <w:jc w:val="center"/>
            </w:pPr>
            <w:r>
              <w:rPr>
                <w:rFonts w:ascii="宋体" w:hAnsi="宋体" w:eastAsia="宋体"/>
                <w:sz w:val="16"/>
              </w:rPr>
              <w:t>流动人员人事档案数量（份）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CD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70FE">
            <w:pPr>
              <w:jc w:val="center"/>
            </w:pPr>
            <w:r>
              <w:rPr>
                <w:rFonts w:ascii="宋体" w:hAnsi="宋体" w:eastAsia="宋体"/>
                <w:sz w:val="16"/>
              </w:rPr>
              <w:t>&gt;=2000份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BED2">
            <w:pPr>
              <w:jc w:val="center"/>
            </w:pPr>
            <w:r>
              <w:rPr>
                <w:rFonts w:ascii="宋体" w:hAnsi="宋体" w:eastAsia="宋体"/>
                <w:sz w:val="16"/>
              </w:rPr>
              <w:t>=2000份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D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4B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E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43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92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6B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7E64">
            <w:pPr>
              <w:jc w:val="center"/>
            </w:pPr>
          </w:p>
        </w:tc>
      </w:tr>
      <w:tr w14:paraId="6BD77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487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6DF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1C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9BFE">
            <w:pPr>
              <w:jc w:val="center"/>
            </w:pPr>
            <w:r>
              <w:rPr>
                <w:rFonts w:ascii="宋体" w:hAnsi="宋体" w:eastAsia="宋体"/>
                <w:sz w:val="16"/>
              </w:rPr>
              <w:t>人事档案存档合格率（%）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1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3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84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1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A7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8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91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1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73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4BCD">
            <w:pPr>
              <w:jc w:val="center"/>
            </w:pPr>
          </w:p>
        </w:tc>
      </w:tr>
      <w:tr w14:paraId="56351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5C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64D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A02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0F10">
            <w:pPr>
              <w:jc w:val="center"/>
            </w:pPr>
            <w:r>
              <w:rPr>
                <w:rFonts w:ascii="宋体" w:hAnsi="宋体" w:eastAsia="宋体"/>
                <w:sz w:val="16"/>
              </w:rPr>
              <w:t>档案入库的采集和</w:t>
            </w:r>
            <w:r>
              <w:rPr>
                <w:rFonts w:hint="eastAsia" w:ascii="宋体" w:hAnsi="宋体"/>
                <w:sz w:val="16"/>
                <w:lang w:eastAsia="zh-CN"/>
              </w:rPr>
              <w:t>接收</w:t>
            </w:r>
            <w:r>
              <w:rPr>
                <w:rFonts w:ascii="宋体" w:hAnsi="宋体" w:eastAsia="宋体"/>
                <w:sz w:val="16"/>
              </w:rPr>
              <w:t>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EA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A9F9">
            <w:pPr>
              <w:jc w:val="center"/>
            </w:pPr>
            <w:r>
              <w:rPr>
                <w:rFonts w:ascii="宋体" w:hAnsi="宋体" w:eastAsia="宋体"/>
                <w:sz w:val="16"/>
              </w:rPr>
              <w:t>&lt;=120天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A887">
            <w:pPr>
              <w:jc w:val="center"/>
            </w:pPr>
            <w:r>
              <w:rPr>
                <w:rFonts w:ascii="宋体" w:hAnsi="宋体" w:eastAsia="宋体"/>
                <w:sz w:val="16"/>
              </w:rPr>
              <w:t>=120天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9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24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969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B9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58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B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2FC8">
            <w:pPr>
              <w:jc w:val="center"/>
            </w:pPr>
          </w:p>
        </w:tc>
      </w:tr>
      <w:tr w14:paraId="10EE2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53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8F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71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17A6">
            <w:pPr>
              <w:jc w:val="center"/>
            </w:pPr>
            <w:r>
              <w:rPr>
                <w:rFonts w:ascii="宋体" w:hAnsi="宋体" w:eastAsia="宋体"/>
                <w:sz w:val="16"/>
              </w:rPr>
              <w:t>纸质档案电子化转化及时性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07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7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5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EA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8A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BAF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E6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9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8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0EDD">
            <w:pPr>
              <w:jc w:val="center"/>
            </w:pPr>
          </w:p>
        </w:tc>
      </w:tr>
      <w:tr w14:paraId="79B03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FA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BE5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23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A813">
            <w:pPr>
              <w:jc w:val="center"/>
            </w:pPr>
            <w:r>
              <w:rPr>
                <w:rFonts w:ascii="宋体" w:hAnsi="宋体" w:eastAsia="宋体"/>
                <w:sz w:val="16"/>
              </w:rPr>
              <w:t>档案信息化存档标准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9E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D1BF">
            <w:pPr>
              <w:jc w:val="center"/>
            </w:pPr>
            <w:r>
              <w:rPr>
                <w:rFonts w:ascii="宋体" w:hAnsi="宋体" w:eastAsia="宋体"/>
                <w:sz w:val="16"/>
              </w:rPr>
              <w:t>&lt;=50元/份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20FF">
            <w:pPr>
              <w:jc w:val="center"/>
            </w:pPr>
            <w:r>
              <w:rPr>
                <w:rFonts w:ascii="宋体" w:hAnsi="宋体" w:eastAsia="宋体"/>
                <w:sz w:val="16"/>
              </w:rPr>
              <w:t>=50元/份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15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89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181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43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63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F47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EE40">
            <w:pPr>
              <w:jc w:val="center"/>
            </w:pPr>
          </w:p>
        </w:tc>
      </w:tr>
      <w:tr w14:paraId="2C543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7EB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44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2F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9651">
            <w:pPr>
              <w:jc w:val="center"/>
            </w:pPr>
            <w:r>
              <w:rPr>
                <w:rFonts w:ascii="宋体" w:hAnsi="宋体" w:eastAsia="宋体"/>
                <w:sz w:val="16"/>
              </w:rPr>
              <w:t>档案信息完整率（%）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41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6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2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0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62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C9E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A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A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3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1DD1">
            <w:pPr>
              <w:jc w:val="center"/>
            </w:pPr>
          </w:p>
        </w:tc>
      </w:tr>
      <w:tr w14:paraId="0AB28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D7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5E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C6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90C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F1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BCF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608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3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E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A59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DD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87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B1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3D22">
            <w:pPr>
              <w:jc w:val="center"/>
            </w:pPr>
          </w:p>
        </w:tc>
      </w:tr>
      <w:tr w14:paraId="2E5616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2DCB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5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37C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9C6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07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C4C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B94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4E7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CB06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9D2B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BF3D55"/>
        </w:tc>
      </w:tr>
    </w:tbl>
    <w:p w14:paraId="74A1D1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55F0D7FF">
        <w:tblPrEx>
          <w:tblCellMar>
            <w:top w:w="0" w:type="dxa"/>
            <w:left w:w="108" w:type="dxa"/>
            <w:bottom w:w="0" w:type="dxa"/>
            <w:right w:w="108" w:type="dxa"/>
          </w:tblCellMar>
        </w:tblPrEx>
        <w:tc>
          <w:tcPr>
            <w:tcW w:w="8848" w:type="dxa"/>
            <w:gridSpan w:val="14"/>
            <w:vAlign w:val="center"/>
          </w:tcPr>
          <w:p w14:paraId="4A98916E">
            <w:pPr>
              <w:jc w:val="center"/>
            </w:pPr>
            <w:r>
              <w:rPr>
                <w:rFonts w:ascii="宋体" w:hAnsi="宋体" w:eastAsia="宋体"/>
                <w:sz w:val="24"/>
              </w:rPr>
              <w:t>项目支出绩效自评表</w:t>
            </w:r>
          </w:p>
        </w:tc>
      </w:tr>
      <w:tr w14:paraId="09C81E74">
        <w:tblPrEx>
          <w:tblCellMar>
            <w:top w:w="0" w:type="dxa"/>
            <w:left w:w="108" w:type="dxa"/>
            <w:bottom w:w="0" w:type="dxa"/>
            <w:right w:w="108" w:type="dxa"/>
          </w:tblCellMar>
        </w:tblPrEx>
        <w:tc>
          <w:tcPr>
            <w:tcW w:w="8848" w:type="dxa"/>
            <w:gridSpan w:val="14"/>
            <w:vAlign w:val="center"/>
          </w:tcPr>
          <w:p w14:paraId="75E4847A">
            <w:pPr>
              <w:jc w:val="center"/>
            </w:pPr>
            <w:r>
              <w:rPr>
                <w:rFonts w:ascii="宋体" w:hAnsi="宋体" w:eastAsia="宋体"/>
                <w:sz w:val="24"/>
              </w:rPr>
              <w:t>(2024年度)</w:t>
            </w:r>
          </w:p>
        </w:tc>
      </w:tr>
      <w:tr w14:paraId="0BCBF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9F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796EC1">
            <w:pPr>
              <w:jc w:val="center"/>
            </w:pPr>
            <w:r>
              <w:rPr>
                <w:rFonts w:ascii="宋体" w:hAnsi="宋体" w:eastAsia="宋体"/>
                <w:sz w:val="16"/>
              </w:rPr>
              <w:t>吉木萨尔县综合劳务市场出租可行性分析报告费用</w:t>
            </w:r>
          </w:p>
        </w:tc>
      </w:tr>
      <w:tr w14:paraId="0A4CE7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A7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2A547">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0E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A15929">
            <w:pPr>
              <w:jc w:val="center"/>
            </w:pPr>
            <w:r>
              <w:rPr>
                <w:rFonts w:ascii="宋体" w:hAnsi="宋体" w:eastAsia="宋体"/>
                <w:sz w:val="16"/>
              </w:rPr>
              <w:t>吉木萨尔县公共就业服务中心</w:t>
            </w:r>
          </w:p>
        </w:tc>
      </w:tr>
      <w:tr w14:paraId="39B461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9599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803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0C4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EE0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CB5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C6E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640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F889">
            <w:pPr>
              <w:jc w:val="center"/>
            </w:pPr>
            <w:r>
              <w:rPr>
                <w:rFonts w:ascii="宋体" w:hAnsi="宋体" w:eastAsia="宋体"/>
                <w:sz w:val="16"/>
              </w:rPr>
              <w:t>得分</w:t>
            </w:r>
          </w:p>
        </w:tc>
      </w:tr>
      <w:tr w14:paraId="7C412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C5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22E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63D15">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ADEC1">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B91D0">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62F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ECE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A9BB">
            <w:pPr>
              <w:jc w:val="center"/>
            </w:pPr>
            <w:r>
              <w:rPr>
                <w:rFonts w:ascii="宋体" w:hAnsi="宋体" w:eastAsia="宋体"/>
                <w:sz w:val="16"/>
              </w:rPr>
              <w:t>10.00</w:t>
            </w:r>
          </w:p>
        </w:tc>
      </w:tr>
      <w:tr w14:paraId="7DB2F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305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C3D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00C92">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0F210">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CFEF">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2F9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45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1ABA">
            <w:pPr>
              <w:jc w:val="center"/>
            </w:pPr>
            <w:r>
              <w:rPr>
                <w:rFonts w:ascii="宋体" w:hAnsi="宋体" w:eastAsia="宋体"/>
                <w:sz w:val="16"/>
              </w:rPr>
              <w:t>—</w:t>
            </w:r>
          </w:p>
        </w:tc>
      </w:tr>
      <w:tr w14:paraId="5CCC5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3F4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47A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DC9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B51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D46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58E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C6E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B8A0">
            <w:pPr>
              <w:jc w:val="center"/>
            </w:pPr>
            <w:r>
              <w:rPr>
                <w:rFonts w:ascii="宋体" w:hAnsi="宋体" w:eastAsia="宋体"/>
                <w:sz w:val="16"/>
              </w:rPr>
              <w:t>—</w:t>
            </w:r>
          </w:p>
        </w:tc>
      </w:tr>
      <w:tr w14:paraId="25160E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532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A2C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D361A8">
            <w:pPr>
              <w:jc w:val="center"/>
            </w:pPr>
            <w:r>
              <w:rPr>
                <w:rFonts w:ascii="宋体" w:hAnsi="宋体" w:eastAsia="宋体"/>
                <w:sz w:val="16"/>
              </w:rPr>
              <w:t>实际完成情况</w:t>
            </w:r>
          </w:p>
        </w:tc>
      </w:tr>
      <w:tr w14:paraId="08446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37E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28E33">
            <w:pPr>
              <w:jc w:val="both"/>
            </w:pPr>
            <w:r>
              <w:rPr>
                <w:rFonts w:ascii="宋体" w:hAnsi="宋体" w:eastAsia="宋体"/>
                <w:sz w:val="16"/>
              </w:rPr>
              <w:t>本项目主要用于支付综合劳务市场建设项目前期编制可研报告费用。完成项目可研报告编制。按时支付可研编制费。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6AFE22">
            <w:pPr>
              <w:jc w:val="both"/>
            </w:pPr>
            <w:r>
              <w:rPr>
                <w:rFonts w:ascii="宋体" w:hAnsi="宋体" w:eastAsia="宋体"/>
                <w:sz w:val="16"/>
              </w:rPr>
              <w:t>本报告全面分析综合劳务市场承租可行性，深入挖掘项目背景，通过精准分析，制定科学合理的绩效策略，该笔经费的实施，完成综合劳务市场建设项目前期编</w:t>
            </w:r>
            <w:r>
              <w:rPr>
                <w:rFonts w:hint="eastAsia" w:ascii="宋体" w:hAnsi="宋体"/>
                <w:sz w:val="16"/>
                <w:lang w:eastAsia="zh-CN"/>
              </w:rPr>
              <w:t>制和</w:t>
            </w:r>
            <w:r>
              <w:rPr>
                <w:rFonts w:ascii="宋体" w:hAnsi="宋体" w:eastAsia="宋体"/>
                <w:sz w:val="16"/>
              </w:rPr>
              <w:t>可研报告编制。按时支付可研编制费。</w:t>
            </w:r>
          </w:p>
        </w:tc>
      </w:tr>
      <w:tr w14:paraId="396343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659B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58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B0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BD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BF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086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F34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76A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9C7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E6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2D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4F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F9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81A4">
            <w:pPr>
              <w:jc w:val="center"/>
            </w:pPr>
            <w:r>
              <w:rPr>
                <w:rFonts w:ascii="宋体" w:hAnsi="宋体" w:eastAsia="宋体"/>
                <w:sz w:val="16"/>
              </w:rPr>
              <w:t>偏差原因分析及改进措施</w:t>
            </w:r>
          </w:p>
        </w:tc>
      </w:tr>
      <w:tr w14:paraId="460293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FB8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AFC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52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1313">
            <w:pPr>
              <w:jc w:val="center"/>
            </w:pPr>
            <w:r>
              <w:rPr>
                <w:rFonts w:ascii="宋体" w:hAnsi="宋体" w:eastAsia="宋体"/>
                <w:sz w:val="16"/>
              </w:rPr>
              <w:t>可行性分析报告数（份）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DBE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E0D7">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1CDA">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4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2EE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4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7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45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6F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B05A">
            <w:pPr>
              <w:jc w:val="center"/>
            </w:pPr>
          </w:p>
        </w:tc>
      </w:tr>
      <w:tr w14:paraId="191B1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AD0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A09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854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B23F">
            <w:pPr>
              <w:jc w:val="center"/>
            </w:pPr>
            <w:r>
              <w:rPr>
                <w:rFonts w:ascii="宋体" w:hAnsi="宋体" w:eastAsia="宋体"/>
                <w:sz w:val="16"/>
              </w:rPr>
              <w:t>可研报告审核通过率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1F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B0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E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8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53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B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5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5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9B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BD49">
            <w:pPr>
              <w:jc w:val="center"/>
            </w:pPr>
          </w:p>
        </w:tc>
      </w:tr>
      <w:tr w14:paraId="27E22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23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4F8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2E7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7E4B">
            <w:pPr>
              <w:jc w:val="center"/>
            </w:pPr>
            <w:r>
              <w:rPr>
                <w:rFonts w:ascii="宋体" w:hAnsi="宋体" w:eastAsia="宋体"/>
                <w:sz w:val="16"/>
              </w:rPr>
              <w:t>编写可研单位资质合规率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8C2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3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D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6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9A8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CC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D9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9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CB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BB1F">
            <w:pPr>
              <w:jc w:val="center"/>
            </w:pPr>
          </w:p>
        </w:tc>
      </w:tr>
      <w:tr w14:paraId="29D8F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2C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31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E0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DB1F">
            <w:pPr>
              <w:jc w:val="center"/>
            </w:pPr>
            <w:r>
              <w:rPr>
                <w:rFonts w:ascii="宋体" w:hAnsi="宋体" w:eastAsia="宋体"/>
                <w:sz w:val="16"/>
              </w:rPr>
              <w:t>分析报告完成及时率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43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8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7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8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46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2AC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B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44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D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7EE5">
            <w:pPr>
              <w:jc w:val="center"/>
            </w:pPr>
          </w:p>
        </w:tc>
      </w:tr>
      <w:tr w14:paraId="22672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4D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73E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05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0CFB">
            <w:pPr>
              <w:jc w:val="center"/>
            </w:pPr>
            <w:r>
              <w:rPr>
                <w:rFonts w:ascii="宋体" w:hAnsi="宋体" w:eastAsia="宋体"/>
                <w:sz w:val="16"/>
              </w:rPr>
              <w:t>可行性分析报告成本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35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462C">
            <w:pPr>
              <w:jc w:val="center"/>
            </w:pPr>
            <w:r>
              <w:rPr>
                <w:rFonts w:ascii="宋体" w:hAnsi="宋体" w:eastAsia="宋体"/>
                <w:sz w:val="16"/>
              </w:rPr>
              <w: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4814">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7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B4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B7D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B5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CC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49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6D65">
            <w:pPr>
              <w:jc w:val="center"/>
            </w:pPr>
          </w:p>
        </w:tc>
      </w:tr>
      <w:tr w14:paraId="155FD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66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31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A5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1693">
            <w:pPr>
              <w:jc w:val="center"/>
            </w:pPr>
            <w:r>
              <w:rPr>
                <w:rFonts w:ascii="宋体" w:hAnsi="宋体" w:eastAsia="宋体"/>
                <w:sz w:val="16"/>
              </w:rPr>
              <w:t>分析报告建议采纳率（%）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02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2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7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F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49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03A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4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82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4A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1C0A">
            <w:pPr>
              <w:jc w:val="center"/>
            </w:pPr>
          </w:p>
        </w:tc>
      </w:tr>
      <w:tr w14:paraId="4B478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C17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01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6C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8839">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9D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3E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24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7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87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5EE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D4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93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DA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6E12">
            <w:pPr>
              <w:jc w:val="center"/>
            </w:pPr>
          </w:p>
        </w:tc>
      </w:tr>
      <w:tr w14:paraId="3FA86AF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9B07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0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57B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9186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AF7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DC7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44DE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CBB8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1F1D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8A0B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BC820"/>
        </w:tc>
      </w:tr>
    </w:tbl>
    <w:p w14:paraId="6B1449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DBF7573">
        <w:tblPrEx>
          <w:tblCellMar>
            <w:top w:w="0" w:type="dxa"/>
            <w:left w:w="108" w:type="dxa"/>
            <w:bottom w:w="0" w:type="dxa"/>
            <w:right w:w="108" w:type="dxa"/>
          </w:tblCellMar>
        </w:tblPrEx>
        <w:tc>
          <w:tcPr>
            <w:tcW w:w="8848" w:type="dxa"/>
            <w:gridSpan w:val="14"/>
            <w:vAlign w:val="center"/>
          </w:tcPr>
          <w:p w14:paraId="4AC6E053">
            <w:pPr>
              <w:jc w:val="center"/>
            </w:pPr>
            <w:r>
              <w:rPr>
                <w:rFonts w:ascii="宋体" w:hAnsi="宋体" w:eastAsia="宋体"/>
                <w:sz w:val="24"/>
              </w:rPr>
              <w:t>项目支出绩效自评表</w:t>
            </w:r>
          </w:p>
        </w:tc>
      </w:tr>
      <w:tr w14:paraId="6B5EA321">
        <w:tblPrEx>
          <w:tblCellMar>
            <w:top w:w="0" w:type="dxa"/>
            <w:left w:w="108" w:type="dxa"/>
            <w:bottom w:w="0" w:type="dxa"/>
            <w:right w:w="108" w:type="dxa"/>
          </w:tblCellMar>
        </w:tblPrEx>
        <w:tc>
          <w:tcPr>
            <w:tcW w:w="8848" w:type="dxa"/>
            <w:gridSpan w:val="14"/>
            <w:vAlign w:val="center"/>
          </w:tcPr>
          <w:p w14:paraId="0A26A4FA">
            <w:pPr>
              <w:jc w:val="center"/>
            </w:pPr>
            <w:r>
              <w:rPr>
                <w:rFonts w:ascii="宋体" w:hAnsi="宋体" w:eastAsia="宋体"/>
                <w:sz w:val="24"/>
              </w:rPr>
              <w:t>(2024年度)</w:t>
            </w:r>
          </w:p>
        </w:tc>
      </w:tr>
      <w:tr w14:paraId="47B027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7B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C73F5A">
            <w:pPr>
              <w:jc w:val="center"/>
            </w:pPr>
            <w:r>
              <w:rPr>
                <w:rFonts w:ascii="宋体" w:hAnsi="宋体" w:eastAsia="宋体"/>
                <w:sz w:val="16"/>
              </w:rPr>
              <w:t>就业局关于解决创业担保贷款第三方运营管理相关费用</w:t>
            </w:r>
          </w:p>
        </w:tc>
      </w:tr>
      <w:tr w14:paraId="1CD15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69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462118">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85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406B33">
            <w:pPr>
              <w:jc w:val="center"/>
            </w:pPr>
            <w:r>
              <w:rPr>
                <w:rFonts w:ascii="宋体" w:hAnsi="宋体" w:eastAsia="宋体"/>
                <w:sz w:val="16"/>
              </w:rPr>
              <w:t>吉木萨尔县公共就业服务中心</w:t>
            </w:r>
          </w:p>
        </w:tc>
      </w:tr>
      <w:tr w14:paraId="4AA154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5359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B5C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27A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B60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EFD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7D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4E8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A523">
            <w:pPr>
              <w:jc w:val="center"/>
            </w:pPr>
            <w:r>
              <w:rPr>
                <w:rFonts w:ascii="宋体" w:hAnsi="宋体" w:eastAsia="宋体"/>
                <w:sz w:val="16"/>
              </w:rPr>
              <w:t>得分</w:t>
            </w:r>
          </w:p>
        </w:tc>
      </w:tr>
      <w:tr w14:paraId="4BD4E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77D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B7E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777AB">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29EA4">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0F47E">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415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F019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ADE7">
            <w:pPr>
              <w:jc w:val="center"/>
            </w:pPr>
            <w:r>
              <w:rPr>
                <w:rFonts w:ascii="宋体" w:hAnsi="宋体" w:eastAsia="宋体"/>
                <w:sz w:val="16"/>
              </w:rPr>
              <w:t>10.00</w:t>
            </w:r>
          </w:p>
        </w:tc>
      </w:tr>
      <w:tr w14:paraId="2DD52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85E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A53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6DD53">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BA51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028B6">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A30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708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7197">
            <w:pPr>
              <w:jc w:val="center"/>
            </w:pPr>
            <w:r>
              <w:rPr>
                <w:rFonts w:ascii="宋体" w:hAnsi="宋体" w:eastAsia="宋体"/>
                <w:sz w:val="16"/>
              </w:rPr>
              <w:t>—</w:t>
            </w:r>
          </w:p>
        </w:tc>
      </w:tr>
      <w:tr w14:paraId="468D7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A25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C92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C76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6B4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E68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8AA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C4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2D69">
            <w:pPr>
              <w:jc w:val="center"/>
            </w:pPr>
            <w:r>
              <w:rPr>
                <w:rFonts w:ascii="宋体" w:hAnsi="宋体" w:eastAsia="宋体"/>
                <w:sz w:val="16"/>
              </w:rPr>
              <w:t>—</w:t>
            </w:r>
          </w:p>
        </w:tc>
      </w:tr>
      <w:tr w14:paraId="44CFA1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9D8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C163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0D99E3">
            <w:pPr>
              <w:jc w:val="center"/>
            </w:pPr>
            <w:r>
              <w:rPr>
                <w:rFonts w:ascii="宋体" w:hAnsi="宋体" w:eastAsia="宋体"/>
                <w:sz w:val="16"/>
              </w:rPr>
              <w:t>实际完成情况</w:t>
            </w:r>
          </w:p>
        </w:tc>
      </w:tr>
      <w:tr w14:paraId="4FDDD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A0E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118770">
            <w:pPr>
              <w:jc w:val="both"/>
            </w:pPr>
            <w:r>
              <w:rPr>
                <w:rFonts w:ascii="宋体" w:hAnsi="宋体" w:eastAsia="宋体"/>
                <w:sz w:val="16"/>
              </w:rPr>
              <w:t>本项目主要实施内容为，创业担保贷款第三方运营管理相关费用1.5万元，项目计划于2024年12月31日完成。通过本项目的实施，保障基金管理机构正常运转，待项目实施完成，争取使</w:t>
            </w:r>
            <w:r>
              <w:rPr>
                <w:rFonts w:hint="eastAsia" w:ascii="宋体" w:hAnsi="宋体"/>
                <w:sz w:val="16"/>
                <w:lang w:eastAsia="zh-CN"/>
              </w:rPr>
              <w:t>受益</w:t>
            </w:r>
            <w:r>
              <w:rPr>
                <w:rFonts w:ascii="宋体" w:hAnsi="宋体" w:eastAsia="宋体"/>
                <w:sz w:val="16"/>
              </w:rPr>
              <w:t>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9D6DC3">
            <w:pPr>
              <w:jc w:val="both"/>
            </w:pPr>
            <w:r>
              <w:rPr>
                <w:rFonts w:ascii="宋体" w:hAnsi="宋体" w:eastAsia="宋体"/>
                <w:sz w:val="16"/>
              </w:rPr>
              <w:t>创业担保基金对扶持创业者、推动地方经济发展意义重大</w:t>
            </w:r>
            <w:r>
              <w:rPr>
                <w:rFonts w:hint="eastAsia" w:ascii="宋体" w:hAnsi="宋体"/>
                <w:sz w:val="16"/>
                <w:lang w:eastAsia="zh-CN"/>
              </w:rPr>
              <w:t>，对</w:t>
            </w:r>
            <w:r>
              <w:rPr>
                <w:rFonts w:ascii="宋体" w:hAnsi="宋体" w:eastAsia="宋体"/>
                <w:sz w:val="16"/>
              </w:rPr>
              <w:t>运营费用的合理管控与高效利用，通过本项目的实施，对运行费用进行全面分析、总结经验，保障基金管理机构正常运转</w:t>
            </w:r>
            <w:r>
              <w:rPr>
                <w:rFonts w:hint="eastAsia" w:ascii="宋体" w:hAnsi="宋体"/>
                <w:sz w:val="16"/>
                <w:lang w:eastAsia="zh-CN"/>
              </w:rPr>
              <w:t>，</w:t>
            </w:r>
            <w:r>
              <w:rPr>
                <w:rFonts w:ascii="宋体" w:hAnsi="宋体" w:eastAsia="宋体"/>
                <w:sz w:val="16"/>
              </w:rPr>
              <w:t>使</w:t>
            </w:r>
            <w:r>
              <w:rPr>
                <w:rFonts w:hint="eastAsia" w:ascii="宋体" w:hAnsi="宋体"/>
                <w:sz w:val="16"/>
                <w:lang w:eastAsia="zh-CN"/>
              </w:rPr>
              <w:t>受益</w:t>
            </w:r>
            <w:r>
              <w:rPr>
                <w:rFonts w:ascii="宋体" w:hAnsi="宋体" w:eastAsia="宋体"/>
                <w:sz w:val="16"/>
              </w:rPr>
              <w:t>人员满意度不低于95%。</w:t>
            </w:r>
          </w:p>
        </w:tc>
      </w:tr>
      <w:tr w14:paraId="54B5C8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7C26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E9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CF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87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0C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F62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9CC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1FD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23C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48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33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A4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AE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4BC6">
            <w:pPr>
              <w:jc w:val="center"/>
            </w:pPr>
            <w:r>
              <w:rPr>
                <w:rFonts w:ascii="宋体" w:hAnsi="宋体" w:eastAsia="宋体"/>
                <w:sz w:val="16"/>
              </w:rPr>
              <w:t>偏差原因分析及改进措施</w:t>
            </w:r>
          </w:p>
        </w:tc>
      </w:tr>
      <w:tr w14:paraId="293317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1F9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2C68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F0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DD6B">
            <w:pPr>
              <w:jc w:val="center"/>
            </w:pPr>
            <w:r>
              <w:rPr>
                <w:rFonts w:ascii="宋体" w:hAnsi="宋体" w:eastAsia="宋体"/>
                <w:sz w:val="16"/>
              </w:rPr>
              <w:t>采购基金管理软件数量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B8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2E1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D6C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F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59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8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85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58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9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E874">
            <w:pPr>
              <w:jc w:val="center"/>
            </w:pPr>
          </w:p>
        </w:tc>
      </w:tr>
      <w:tr w14:paraId="270DD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7F5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A84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265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7946">
            <w:pPr>
              <w:jc w:val="center"/>
            </w:pPr>
            <w:r>
              <w:rPr>
                <w:rFonts w:ascii="宋体" w:hAnsi="宋体" w:eastAsia="宋体"/>
                <w:sz w:val="16"/>
              </w:rPr>
              <w:t>软件验收合格率（%）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39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45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7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32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8A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53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B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9B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1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ADA8">
            <w:pPr>
              <w:jc w:val="center"/>
            </w:pPr>
          </w:p>
        </w:tc>
      </w:tr>
      <w:tr w14:paraId="79730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3B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BDA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F02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CFDB">
            <w:pPr>
              <w:jc w:val="center"/>
            </w:pPr>
            <w:r>
              <w:rPr>
                <w:rFonts w:ascii="宋体" w:hAnsi="宋体" w:eastAsia="宋体"/>
                <w:sz w:val="16"/>
              </w:rPr>
              <w:t>形成判决文书完成数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04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5A9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3FB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7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19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3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7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68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06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4CEB">
            <w:pPr>
              <w:jc w:val="center"/>
            </w:pPr>
          </w:p>
        </w:tc>
      </w:tr>
      <w:tr w14:paraId="73D98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56F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97B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2DD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E727">
            <w:pPr>
              <w:jc w:val="center"/>
            </w:pPr>
            <w:r>
              <w:rPr>
                <w:rFonts w:ascii="宋体" w:hAnsi="宋体" w:eastAsia="宋体"/>
                <w:sz w:val="16"/>
              </w:rPr>
              <w:t>软件采购完成及时率（%）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39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0C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9E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F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CA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48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13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EF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5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58DF">
            <w:pPr>
              <w:jc w:val="center"/>
            </w:pPr>
          </w:p>
        </w:tc>
      </w:tr>
      <w:tr w14:paraId="1446A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75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791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83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DEE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DF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E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D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9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65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6F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0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3F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7E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CC1C">
            <w:pPr>
              <w:jc w:val="center"/>
            </w:pPr>
          </w:p>
        </w:tc>
      </w:tr>
      <w:tr w14:paraId="6EF44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8E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BC7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C5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62E5">
            <w:pPr>
              <w:jc w:val="center"/>
            </w:pPr>
            <w:r>
              <w:rPr>
                <w:rFonts w:ascii="宋体" w:hAnsi="宋体" w:eastAsia="宋体"/>
                <w:sz w:val="16"/>
              </w:rPr>
              <w:t>创业担保贷款第三方运营管理费用标准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A5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BA18">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8D5C">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9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61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3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A4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4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F97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7D3B">
            <w:pPr>
              <w:jc w:val="center"/>
            </w:pPr>
          </w:p>
        </w:tc>
      </w:tr>
      <w:tr w14:paraId="17C70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EF0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A81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B36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B1CD">
            <w:pPr>
              <w:jc w:val="center"/>
            </w:pPr>
            <w:r>
              <w:rPr>
                <w:rFonts w:ascii="宋体" w:hAnsi="宋体" w:eastAsia="宋体"/>
                <w:sz w:val="16"/>
              </w:rPr>
              <w:t>软件利用率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27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C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A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2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F7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4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2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1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B1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9736">
            <w:pPr>
              <w:jc w:val="center"/>
            </w:pPr>
          </w:p>
        </w:tc>
      </w:tr>
      <w:tr w14:paraId="7C71C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4A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67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CC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FCC0">
            <w:pPr>
              <w:jc w:val="center"/>
            </w:pPr>
            <w:r>
              <w:rPr>
                <w:rFonts w:ascii="宋体" w:hAnsi="宋体" w:eastAsia="宋体"/>
                <w:sz w:val="16"/>
              </w:rPr>
              <w:t>就业补助政策知晓率（%）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69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0D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C6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F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C2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A7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91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8D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3E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B692">
            <w:pPr>
              <w:jc w:val="center"/>
            </w:pPr>
          </w:p>
        </w:tc>
      </w:tr>
      <w:tr w14:paraId="0D0CC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10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77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E3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42E8">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00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3D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0D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D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32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44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01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29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F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19EF">
            <w:pPr>
              <w:jc w:val="center"/>
            </w:pPr>
          </w:p>
        </w:tc>
      </w:tr>
      <w:tr w14:paraId="424716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9397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2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4E8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022A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D9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82F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ADE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C5F4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EC27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E3D6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78B8B"/>
        </w:tc>
      </w:tr>
    </w:tbl>
    <w:p w14:paraId="70A77A7E">
      <w:r>
        <w:br w:type="page"/>
      </w:r>
    </w:p>
    <w:p w14:paraId="22379310">
      <w:pPr>
        <w:spacing w:line="640" w:lineRule="exact"/>
        <w:ind w:firstLine="640"/>
        <w:jc w:val="both"/>
        <w:outlineLvl w:val="2"/>
      </w:pPr>
      <w:r>
        <w:rPr>
          <w:rFonts w:ascii="黑体" w:hAnsi="黑体" w:eastAsia="黑体"/>
          <w:sz w:val="32"/>
        </w:rPr>
        <w:t>十二、其他需说明的事项</w:t>
      </w:r>
    </w:p>
    <w:p w14:paraId="3DB43AED">
      <w:pPr>
        <w:spacing w:line="580" w:lineRule="exact"/>
        <w:ind w:firstLine="640"/>
        <w:jc w:val="both"/>
      </w:pPr>
      <w:r>
        <w:rPr>
          <w:rFonts w:ascii="仿宋_GB2312" w:hAnsi="仿宋_GB2312" w:eastAsia="仿宋_GB2312"/>
          <w:b w:val="0"/>
          <w:sz w:val="32"/>
        </w:rPr>
        <w:t>本单位无其他需说明的事项。</w:t>
      </w:r>
    </w:p>
    <w:p w14:paraId="623F8437">
      <w:r>
        <w:br w:type="page"/>
      </w:r>
    </w:p>
    <w:p w14:paraId="5D272032">
      <w:pPr>
        <w:spacing w:line="240" w:lineRule="auto"/>
        <w:jc w:val="center"/>
        <w:outlineLvl w:val="1"/>
      </w:pPr>
      <w:r>
        <w:rPr>
          <w:rFonts w:ascii="黑体" w:hAnsi="黑体" w:eastAsia="黑体"/>
          <w:sz w:val="32"/>
        </w:rPr>
        <w:t>第三部分 专业名词解释</w:t>
      </w:r>
    </w:p>
    <w:p w14:paraId="46BD056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77122E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60FA35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01EC4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9416CC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424BD0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ABC7DB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1D7BB4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C1D58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6D0E30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CCB10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D5F9B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6D2AF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47FF0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5CA7908">
      <w:r>
        <w:br w:type="page"/>
      </w:r>
    </w:p>
    <w:p w14:paraId="5ACC5749">
      <w:pPr>
        <w:spacing w:line="240" w:lineRule="auto"/>
        <w:jc w:val="center"/>
        <w:outlineLvl w:val="1"/>
      </w:pPr>
      <w:r>
        <w:rPr>
          <w:rFonts w:ascii="黑体" w:hAnsi="黑体" w:eastAsia="黑体"/>
          <w:sz w:val="32"/>
        </w:rPr>
        <w:t>第四部分 部门决算报表（见附表）</w:t>
      </w:r>
    </w:p>
    <w:p w14:paraId="6850512F">
      <w:pPr>
        <w:spacing w:line="240" w:lineRule="auto"/>
        <w:ind w:firstLine="640"/>
        <w:jc w:val="both"/>
      </w:pPr>
      <w:r>
        <w:rPr>
          <w:rFonts w:ascii="仿宋_GB2312" w:hAnsi="仿宋_GB2312" w:eastAsia="仿宋_GB2312"/>
          <w:b w:val="0"/>
          <w:sz w:val="32"/>
        </w:rPr>
        <w:t>一、《收入支出决算总表》</w:t>
      </w:r>
    </w:p>
    <w:p w14:paraId="5B2CCC70">
      <w:pPr>
        <w:spacing w:line="240" w:lineRule="auto"/>
        <w:ind w:firstLine="640"/>
        <w:jc w:val="both"/>
      </w:pPr>
      <w:r>
        <w:rPr>
          <w:rFonts w:ascii="仿宋_GB2312" w:hAnsi="仿宋_GB2312" w:eastAsia="仿宋_GB2312"/>
          <w:b w:val="0"/>
          <w:sz w:val="32"/>
        </w:rPr>
        <w:t>二、《收入决算表》</w:t>
      </w:r>
    </w:p>
    <w:p w14:paraId="75780580">
      <w:pPr>
        <w:spacing w:line="240" w:lineRule="auto"/>
        <w:ind w:firstLine="640"/>
        <w:jc w:val="both"/>
      </w:pPr>
      <w:r>
        <w:rPr>
          <w:rFonts w:ascii="仿宋_GB2312" w:hAnsi="仿宋_GB2312" w:eastAsia="仿宋_GB2312"/>
          <w:b w:val="0"/>
          <w:sz w:val="32"/>
        </w:rPr>
        <w:t>三、《支出决算表》</w:t>
      </w:r>
    </w:p>
    <w:p w14:paraId="6BB7EBAD">
      <w:pPr>
        <w:spacing w:line="240" w:lineRule="auto"/>
        <w:ind w:firstLine="640"/>
        <w:jc w:val="both"/>
      </w:pPr>
      <w:r>
        <w:rPr>
          <w:rFonts w:ascii="仿宋_GB2312" w:hAnsi="仿宋_GB2312" w:eastAsia="仿宋_GB2312"/>
          <w:b w:val="0"/>
          <w:sz w:val="32"/>
        </w:rPr>
        <w:t>四、《财政拨款收入支出决算总表》</w:t>
      </w:r>
    </w:p>
    <w:p w14:paraId="61B3314C">
      <w:pPr>
        <w:spacing w:line="240" w:lineRule="auto"/>
        <w:ind w:firstLine="640"/>
        <w:jc w:val="both"/>
      </w:pPr>
      <w:r>
        <w:rPr>
          <w:rFonts w:ascii="仿宋_GB2312" w:hAnsi="仿宋_GB2312" w:eastAsia="仿宋_GB2312"/>
          <w:b w:val="0"/>
          <w:sz w:val="32"/>
        </w:rPr>
        <w:t>五、《一般公共预算财政拨款支出决算表》</w:t>
      </w:r>
    </w:p>
    <w:p w14:paraId="462286E2">
      <w:pPr>
        <w:spacing w:line="240" w:lineRule="auto"/>
        <w:ind w:firstLine="640"/>
        <w:jc w:val="both"/>
      </w:pPr>
      <w:r>
        <w:rPr>
          <w:rFonts w:ascii="仿宋_GB2312" w:hAnsi="仿宋_GB2312" w:eastAsia="仿宋_GB2312"/>
          <w:b w:val="0"/>
          <w:sz w:val="32"/>
        </w:rPr>
        <w:t>六、《一般公共预算财政拨款基本支出决算表》</w:t>
      </w:r>
    </w:p>
    <w:p w14:paraId="508CC0E1">
      <w:pPr>
        <w:spacing w:line="240" w:lineRule="auto"/>
        <w:ind w:firstLine="640"/>
        <w:jc w:val="both"/>
      </w:pPr>
      <w:r>
        <w:rPr>
          <w:rFonts w:ascii="仿宋_GB2312" w:hAnsi="仿宋_GB2312" w:eastAsia="仿宋_GB2312"/>
          <w:b w:val="0"/>
          <w:sz w:val="32"/>
        </w:rPr>
        <w:t>七、《政府性基金预算财政拨款收入支出决算表》</w:t>
      </w:r>
    </w:p>
    <w:p w14:paraId="63A5892A">
      <w:pPr>
        <w:spacing w:line="240" w:lineRule="auto"/>
        <w:ind w:firstLine="640"/>
        <w:jc w:val="both"/>
      </w:pPr>
      <w:r>
        <w:rPr>
          <w:rFonts w:ascii="仿宋_GB2312" w:hAnsi="仿宋_GB2312" w:eastAsia="仿宋_GB2312"/>
          <w:b w:val="0"/>
          <w:sz w:val="32"/>
        </w:rPr>
        <w:t>八、《国有资本经营预算财政拨款收入支出决算表》</w:t>
      </w:r>
    </w:p>
    <w:p w14:paraId="34708E9E">
      <w:pPr>
        <w:spacing w:line="240" w:lineRule="auto"/>
        <w:ind w:firstLine="640"/>
        <w:jc w:val="both"/>
      </w:pPr>
      <w:r>
        <w:rPr>
          <w:rFonts w:ascii="仿宋_GB2312" w:hAnsi="仿宋_GB2312" w:eastAsia="仿宋_GB2312"/>
          <w:b w:val="0"/>
          <w:sz w:val="32"/>
        </w:rPr>
        <w:t>九、《财政拨款“三公”经费支出决算表》</w:t>
      </w:r>
    </w:p>
    <w:p w14:paraId="72BE8433">
      <w:pPr>
        <w:spacing w:line="240" w:lineRule="auto"/>
        <w:ind w:firstLine="640"/>
        <w:jc w:val="both"/>
      </w:pPr>
    </w:p>
    <w:p w14:paraId="4B6F2B03">
      <w:pPr>
        <w:spacing w:line="240" w:lineRule="auto"/>
        <w:ind w:firstLine="640"/>
        <w:jc w:val="both"/>
      </w:pPr>
    </w:p>
    <w:p w14:paraId="7E9C0D57">
      <w:pPr>
        <w:spacing w:line="240" w:lineRule="auto"/>
        <w:ind w:firstLine="640"/>
        <w:jc w:val="both"/>
      </w:pPr>
    </w:p>
    <w:p w14:paraId="5A5C4FBB">
      <w:pPr>
        <w:spacing w:line="240" w:lineRule="auto"/>
        <w:ind w:firstLine="640"/>
        <w:jc w:val="both"/>
      </w:pPr>
    </w:p>
    <w:p w14:paraId="51C25FA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D36B820-AA2E-45D2-895D-DF49A11F5E4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4373454-EDB2-4E2A-81E0-FB4E2FEC1E90}"/>
  </w:font>
  <w:font w:name="仿宋_GB2312">
    <w:panose1 w:val="02010609030101010101"/>
    <w:charset w:val="86"/>
    <w:family w:val="modern"/>
    <w:pitch w:val="default"/>
    <w:sig w:usb0="00000001" w:usb1="080E0000" w:usb2="00000000" w:usb3="00000000" w:csb0="00040000" w:csb1="00000000"/>
    <w:embedRegular r:id="rId3" w:fontKey="{1ACBE6A7-4DCA-4602-B340-939543E3A861}"/>
  </w:font>
  <w:font w:name="楷体_GB2312">
    <w:panose1 w:val="02010609030101010101"/>
    <w:charset w:val="86"/>
    <w:family w:val="auto"/>
    <w:pitch w:val="default"/>
    <w:sig w:usb0="00000001" w:usb1="080E0000" w:usb2="00000000" w:usb3="00000000" w:csb0="00040000" w:csb1="00000000"/>
    <w:embedRegular r:id="rId4" w:fontKey="{3E31947A-32B2-4E2D-9AB8-992EE2CEE83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03266B"/>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3E4793"/>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5766</Words>
  <Characters>6526</Characters>
  <Lines>0</Lines>
  <Paragraphs>0</Paragraphs>
  <TotalTime>6</TotalTime>
  <ScaleCrop>false</ScaleCrop>
  <LinksUpToDate>false</LinksUpToDate>
  <CharactersWithSpaces>6534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2025-10-14T02:42:15Z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