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吉木萨尔县信访投诉受理服务中心2024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23DFEE8">
      <w:r>
        <w:br w:type="page"/>
      </w:r>
    </w:p>
    <w:p w14:paraId="1CB7D1C5">
      <w:pPr>
        <w:spacing w:line="640" w:lineRule="exact"/>
        <w:jc w:val="center"/>
        <w:outlineLvl w:val="1"/>
      </w:pPr>
      <w:r>
        <w:rPr>
          <w:rFonts w:ascii="黑体" w:hAnsi="黑体" w:eastAsia="黑体"/>
          <w:sz w:val="32"/>
        </w:rPr>
        <w:t>第一部分 单位概况</w:t>
      </w:r>
    </w:p>
    <w:p w14:paraId="3B5BB941">
      <w:pPr>
        <w:spacing w:line="640" w:lineRule="exact"/>
        <w:ind w:firstLine="640"/>
        <w:jc w:val="both"/>
        <w:outlineLvl w:val="2"/>
      </w:pPr>
      <w:r>
        <w:rPr>
          <w:rFonts w:ascii="黑体" w:hAnsi="黑体" w:eastAsia="黑体"/>
          <w:sz w:val="32"/>
        </w:rPr>
        <w:t>一、主要职能</w:t>
      </w:r>
    </w:p>
    <w:p w14:paraId="48B66D32">
      <w:pPr>
        <w:spacing w:line="580" w:lineRule="exact"/>
        <w:ind w:firstLine="640"/>
        <w:jc w:val="both"/>
      </w:pPr>
      <w:r>
        <w:rPr>
          <w:rFonts w:ascii="仿宋_GB2312" w:hAnsi="仿宋_GB2312" w:eastAsia="仿宋_GB2312"/>
          <w:sz w:val="32"/>
        </w:rPr>
        <w:t>(1）负责受理群众来信、来访、来电投诉，转办、交办、督办有权处理行政机关办理答复。</w:t>
      </w:r>
    </w:p>
    <w:p w14:paraId="1B80F583">
      <w:pPr>
        <w:spacing w:line="580" w:lineRule="exact"/>
        <w:ind w:firstLine="640"/>
        <w:jc w:val="both"/>
      </w:pPr>
      <w:r>
        <w:rPr>
          <w:rFonts w:ascii="仿宋_GB2312" w:hAnsi="仿宋_GB2312" w:eastAsia="仿宋_GB2312"/>
          <w:sz w:val="32"/>
        </w:rPr>
        <w:t>(2）负责信访信息系统的应用指导、维护。</w:t>
      </w:r>
    </w:p>
    <w:p w14:paraId="4453968C">
      <w:pPr>
        <w:spacing w:line="580" w:lineRule="exact"/>
        <w:ind w:firstLine="640"/>
        <w:jc w:val="both"/>
      </w:pPr>
      <w:r>
        <w:rPr>
          <w:rFonts w:ascii="仿宋_GB2312" w:hAnsi="仿宋_GB2312" w:eastAsia="仿宋_GB2312"/>
          <w:sz w:val="32"/>
        </w:rPr>
        <w:t>(3）负责组织对全县信访隐患问题进行排查梳理、预警和信息报送工作，定期分析、通报信访形势。</w:t>
      </w:r>
    </w:p>
    <w:p w14:paraId="028928DE">
      <w:pPr>
        <w:spacing w:line="580" w:lineRule="exact"/>
        <w:ind w:firstLine="640"/>
        <w:jc w:val="both"/>
      </w:pPr>
      <w:r>
        <w:rPr>
          <w:rFonts w:ascii="仿宋_GB2312" w:hAnsi="仿宋_GB2312" w:eastAsia="仿宋_GB2312"/>
          <w:sz w:val="32"/>
        </w:rPr>
        <w:t>(4）负责全县信访工作的业务指导，组织对信访工作人员的业务培训。</w:t>
      </w:r>
    </w:p>
    <w:p w14:paraId="2F51876F">
      <w:pPr>
        <w:spacing w:line="580" w:lineRule="exact"/>
        <w:ind w:firstLine="640"/>
        <w:jc w:val="both"/>
      </w:pPr>
      <w:r>
        <w:rPr>
          <w:rFonts w:ascii="仿宋_GB2312" w:hAnsi="仿宋_GB2312" w:eastAsia="仿宋_GB2312"/>
          <w:sz w:val="32"/>
        </w:rPr>
        <w:t>(5）负责研究、分析信访情况，开展调查研究，及时向县委、县政府提出完善和改进工作的建议。</w:t>
      </w:r>
    </w:p>
    <w:p w14:paraId="6A4D51B0">
      <w:pPr>
        <w:spacing w:line="580" w:lineRule="exact"/>
        <w:ind w:firstLine="640"/>
        <w:jc w:val="both"/>
      </w:pPr>
      <w:r>
        <w:rPr>
          <w:rFonts w:ascii="仿宋_GB2312" w:hAnsi="仿宋_GB2312" w:eastAsia="仿宋_GB2312"/>
          <w:sz w:val="32"/>
        </w:rPr>
        <w:t>(6）承担上级主管部门以及县委、县政府交办的其他工作。</w:t>
      </w:r>
    </w:p>
    <w:p w14:paraId="00798F18">
      <w:pPr>
        <w:spacing w:line="640" w:lineRule="exact"/>
        <w:ind w:firstLine="640"/>
        <w:jc w:val="both"/>
        <w:outlineLvl w:val="2"/>
      </w:pPr>
      <w:r>
        <w:rPr>
          <w:rFonts w:ascii="黑体" w:hAnsi="黑体" w:eastAsia="黑体"/>
          <w:sz w:val="32"/>
        </w:rPr>
        <w:t>二、机构设置及人员情况</w:t>
      </w:r>
    </w:p>
    <w:p w14:paraId="253EB742">
      <w:pPr>
        <w:spacing w:line="580" w:lineRule="exact"/>
        <w:ind w:firstLine="640"/>
        <w:jc w:val="both"/>
      </w:pPr>
      <w:r>
        <w:rPr>
          <w:rFonts w:ascii="仿宋_GB2312" w:hAnsi="仿宋_GB2312" w:eastAsia="仿宋_GB2312"/>
          <w:sz w:val="32"/>
        </w:rPr>
        <w:t>吉木萨尔县信访投诉受理服务中心2024年度，实有人数8人，其中：在职人员7人，增加0人；离休人员0人，增加0人；退休人员1人,增加1人。</w:t>
      </w:r>
    </w:p>
    <w:p w14:paraId="039E8B33">
      <w:pPr>
        <w:spacing w:line="580" w:lineRule="exact"/>
        <w:ind w:firstLine="640"/>
        <w:jc w:val="both"/>
        <w:rPr>
          <w:spacing w:val="-6"/>
          <w:sz w:val="32"/>
        </w:rPr>
      </w:pPr>
      <w:r>
        <w:rPr>
          <w:rFonts w:ascii="仿宋_GB2312" w:hAnsi="仿宋_GB2312" w:eastAsia="仿宋_GB2312"/>
          <w:spacing w:val="-6"/>
          <w:sz w:val="32"/>
        </w:rPr>
        <w:t>吉木萨尔县信访投诉受理服务中心无下属预算单位，下设5个科室，分别是：电子政务办、综合科、文书科、信息科、行政科。</w:t>
      </w:r>
    </w:p>
    <w:p w14:paraId="07C83EEE">
      <w:r>
        <w:br w:type="page"/>
      </w:r>
    </w:p>
    <w:p w14:paraId="07B4973D">
      <w:pPr>
        <w:spacing w:line="240" w:lineRule="auto"/>
        <w:jc w:val="center"/>
        <w:outlineLvl w:val="1"/>
      </w:pPr>
      <w:r>
        <w:rPr>
          <w:rFonts w:ascii="黑体" w:hAnsi="黑体" w:eastAsia="黑体"/>
          <w:sz w:val="32"/>
        </w:rPr>
        <w:t>第二部分 部门决算情况说明</w:t>
      </w:r>
    </w:p>
    <w:p w14:paraId="74FCAA76">
      <w:pPr>
        <w:spacing w:line="640" w:lineRule="exact"/>
        <w:ind w:firstLine="640"/>
        <w:jc w:val="both"/>
        <w:outlineLvl w:val="2"/>
      </w:pPr>
      <w:r>
        <w:rPr>
          <w:rFonts w:ascii="黑体" w:hAnsi="黑体" w:eastAsia="黑体"/>
          <w:sz w:val="32"/>
        </w:rPr>
        <w:t>一、收入支出决算总体情况说明</w:t>
      </w:r>
    </w:p>
    <w:p w14:paraId="5BD55832">
      <w:pPr>
        <w:spacing w:line="580" w:lineRule="exact"/>
        <w:ind w:firstLine="640"/>
        <w:jc w:val="both"/>
      </w:pPr>
      <w:r>
        <w:rPr>
          <w:rFonts w:ascii="仿宋_GB2312" w:hAnsi="仿宋_GB2312" w:eastAsia="仿宋_GB2312"/>
          <w:b/>
          <w:sz w:val="32"/>
        </w:rPr>
        <w:t>2024年度收入总计189.57万元，</w:t>
      </w:r>
      <w:r>
        <w:rPr>
          <w:rFonts w:ascii="仿宋_GB2312" w:hAnsi="仿宋_GB2312" w:eastAsia="仿宋_GB2312"/>
          <w:b w:val="0"/>
          <w:sz w:val="32"/>
        </w:rPr>
        <w:t>其中：本年收入合计189.56万元，使用非财政拨款结余（含专用结余）0.00万元，年初结转和结余0.01万元。</w:t>
      </w:r>
    </w:p>
    <w:p w14:paraId="46007BCA">
      <w:pPr>
        <w:spacing w:line="580" w:lineRule="exact"/>
        <w:ind w:firstLine="640"/>
        <w:jc w:val="both"/>
      </w:pPr>
      <w:r>
        <w:rPr>
          <w:rFonts w:ascii="仿宋_GB2312" w:hAnsi="仿宋_GB2312" w:eastAsia="仿宋_GB2312"/>
          <w:b/>
          <w:sz w:val="32"/>
        </w:rPr>
        <w:t>2024年度支出总计189.57万元，</w:t>
      </w:r>
      <w:r>
        <w:rPr>
          <w:rFonts w:ascii="仿宋_GB2312" w:hAnsi="仿宋_GB2312" w:eastAsia="仿宋_GB2312"/>
          <w:b w:val="0"/>
          <w:sz w:val="32"/>
        </w:rPr>
        <w:t>其中：本年支出合计189.56万元，结余分配0.00万元，年末结转和结余0.01万元。</w:t>
      </w:r>
    </w:p>
    <w:p w14:paraId="3176658F">
      <w:pPr>
        <w:spacing w:line="580" w:lineRule="exact"/>
        <w:ind w:firstLine="640"/>
        <w:jc w:val="both"/>
      </w:pPr>
      <w:r>
        <w:rPr>
          <w:rFonts w:ascii="仿宋_GB2312" w:hAnsi="仿宋_GB2312" w:eastAsia="仿宋_GB2312"/>
          <w:b w:val="0"/>
          <w:sz w:val="32"/>
        </w:rPr>
        <w:t>收入支出总体与上年相比，减少619.73万元，下降76.58%，主要原因是：本年减少矛盾纠纷调处化解中心项目资金、矛盾纠纷调处化解中心项目及配套设施项目费用、信访工作经费。</w:t>
      </w:r>
    </w:p>
    <w:p w14:paraId="68EBC55D">
      <w:pPr>
        <w:spacing w:line="640" w:lineRule="exact"/>
        <w:ind w:firstLine="640"/>
        <w:jc w:val="both"/>
        <w:outlineLvl w:val="2"/>
      </w:pPr>
      <w:r>
        <w:rPr>
          <w:rFonts w:ascii="黑体" w:hAnsi="黑体" w:eastAsia="黑体"/>
          <w:sz w:val="32"/>
        </w:rPr>
        <w:t>二、收入决算情况说明</w:t>
      </w:r>
    </w:p>
    <w:p w14:paraId="7791A68E">
      <w:pPr>
        <w:spacing w:line="580" w:lineRule="exact"/>
        <w:ind w:firstLine="640"/>
        <w:jc w:val="both"/>
      </w:pPr>
      <w:r>
        <w:rPr>
          <w:rFonts w:ascii="仿宋_GB2312" w:hAnsi="仿宋_GB2312" w:eastAsia="仿宋_GB2312"/>
          <w:b/>
          <w:sz w:val="32"/>
        </w:rPr>
        <w:t>本年收入189.56万元，</w:t>
      </w:r>
      <w:r>
        <w:rPr>
          <w:rFonts w:ascii="仿宋_GB2312" w:hAnsi="仿宋_GB2312" w:eastAsia="仿宋_GB2312"/>
          <w:b w:val="0"/>
          <w:sz w:val="32"/>
        </w:rPr>
        <w:t>其中：财政拨款收入189.56万元，占100.00%；上级补助收入0.00万元，占0.00%；事业收入0.00万元，占0.00%；经营收入0.00万元，占0.00%；附属单位上缴收入0.00万元，占0.00%；其他收入0.00万元，占0.00%。</w:t>
      </w:r>
    </w:p>
    <w:p w14:paraId="6F92910B">
      <w:pPr>
        <w:spacing w:line="640" w:lineRule="exact"/>
        <w:ind w:firstLine="640"/>
        <w:jc w:val="both"/>
        <w:outlineLvl w:val="2"/>
      </w:pPr>
      <w:r>
        <w:rPr>
          <w:rFonts w:ascii="黑体" w:hAnsi="黑体" w:eastAsia="黑体"/>
          <w:sz w:val="32"/>
        </w:rPr>
        <w:t>三、支出决算情况说明</w:t>
      </w:r>
    </w:p>
    <w:p w14:paraId="3638E8C5">
      <w:pPr>
        <w:spacing w:line="580" w:lineRule="exact"/>
        <w:ind w:firstLine="640"/>
        <w:jc w:val="both"/>
      </w:pPr>
      <w:r>
        <w:rPr>
          <w:rFonts w:ascii="仿宋_GB2312" w:hAnsi="仿宋_GB2312" w:eastAsia="仿宋_GB2312"/>
          <w:b/>
          <w:sz w:val="32"/>
        </w:rPr>
        <w:t>本年支出189.56万元，</w:t>
      </w:r>
      <w:r>
        <w:rPr>
          <w:rFonts w:ascii="仿宋_GB2312" w:hAnsi="仿宋_GB2312" w:eastAsia="仿宋_GB2312"/>
          <w:b w:val="0"/>
          <w:sz w:val="32"/>
        </w:rPr>
        <w:t>其中：基本支出189.56万元，占100.00%；项目支出0.00万元，占0.00%；上缴上级支出0.00万元，占0.00%；经营支出0.00万元，占0.00%；对附属单位补助支出0.00万元，占0.00%。</w:t>
      </w:r>
    </w:p>
    <w:p w14:paraId="72196407">
      <w:pPr>
        <w:spacing w:line="640" w:lineRule="exact"/>
        <w:ind w:firstLine="640"/>
        <w:jc w:val="both"/>
        <w:outlineLvl w:val="2"/>
      </w:pPr>
      <w:r>
        <w:rPr>
          <w:rFonts w:ascii="黑体" w:hAnsi="黑体" w:eastAsia="黑体"/>
          <w:sz w:val="32"/>
        </w:rPr>
        <w:t>四、财政拨款收入支出决算总体情况说明</w:t>
      </w:r>
    </w:p>
    <w:p w14:paraId="27CEA372">
      <w:pPr>
        <w:spacing w:line="580" w:lineRule="exact"/>
        <w:ind w:firstLine="640"/>
        <w:jc w:val="both"/>
      </w:pPr>
      <w:r>
        <w:rPr>
          <w:rFonts w:ascii="仿宋_GB2312" w:hAnsi="仿宋_GB2312" w:eastAsia="仿宋_GB2312"/>
          <w:b/>
          <w:sz w:val="32"/>
        </w:rPr>
        <w:t>2024年度财政拨款收入总计189.56万元，</w:t>
      </w:r>
      <w:r>
        <w:rPr>
          <w:rFonts w:ascii="仿宋_GB2312" w:hAnsi="仿宋_GB2312" w:eastAsia="仿宋_GB2312"/>
          <w:b w:val="0"/>
          <w:sz w:val="32"/>
        </w:rPr>
        <w:t>其中：年初财政拨款结转和结余0.00万元，本年财政拨款收入189.56万元。</w:t>
      </w:r>
      <w:r>
        <w:rPr>
          <w:rFonts w:ascii="仿宋_GB2312" w:hAnsi="仿宋_GB2312" w:eastAsia="仿宋_GB2312"/>
          <w:b/>
          <w:sz w:val="32"/>
        </w:rPr>
        <w:t>财政拨款支出总计189.56万元，</w:t>
      </w:r>
      <w:r>
        <w:rPr>
          <w:rFonts w:ascii="仿宋_GB2312" w:hAnsi="仿宋_GB2312" w:eastAsia="仿宋_GB2312"/>
          <w:b w:val="0"/>
          <w:sz w:val="32"/>
        </w:rPr>
        <w:t>其中：年末财政拨款结转和结余0.00万元，本年财政拨款支出189.56万元。</w:t>
      </w:r>
    </w:p>
    <w:p w14:paraId="6EEF276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减少619.68万元，下降76.58%，主要原因是：本年减少矛盾纠纷调处化解中心项目资金、矛盾纠纷调处化解中心项目及配套设施项目费用、信访工作经费。</w:t>
      </w:r>
      <w:r>
        <w:rPr>
          <w:rFonts w:ascii="仿宋_GB2312" w:hAnsi="仿宋_GB2312" w:eastAsia="仿宋_GB2312"/>
          <w:b/>
          <w:sz w:val="32"/>
        </w:rPr>
        <w:t>与年初预算相比，</w:t>
      </w:r>
      <w:r>
        <w:rPr>
          <w:rFonts w:ascii="仿宋_GB2312" w:hAnsi="仿宋_GB2312" w:eastAsia="仿宋_GB2312"/>
          <w:b w:val="0"/>
          <w:sz w:val="32"/>
        </w:rPr>
        <w:t>年初预算数176.14万元，决算数189.56万元，预决算差异率7.62%，主要原因是：年中追加人员工资、社保、公积金基数调增部分资金，导致预决算存在差异。</w:t>
      </w:r>
    </w:p>
    <w:p w14:paraId="5DB316CD">
      <w:pPr>
        <w:spacing w:line="640" w:lineRule="exact"/>
        <w:ind w:firstLine="640"/>
        <w:jc w:val="both"/>
        <w:outlineLvl w:val="2"/>
      </w:pPr>
      <w:r>
        <w:rPr>
          <w:rFonts w:ascii="黑体" w:hAnsi="黑体" w:eastAsia="黑体"/>
          <w:sz w:val="32"/>
        </w:rPr>
        <w:t>五、一般公共预算财政拨款支出决算情况说明</w:t>
      </w:r>
    </w:p>
    <w:p w14:paraId="69D10C4C">
      <w:pPr>
        <w:spacing w:line="640" w:lineRule="exact"/>
        <w:ind w:firstLine="640"/>
        <w:jc w:val="both"/>
        <w:outlineLvl w:val="3"/>
      </w:pPr>
      <w:r>
        <w:rPr>
          <w:rFonts w:ascii="楷体_GB2312" w:hAnsi="楷体_GB2312" w:eastAsia="楷体_GB2312"/>
          <w:b/>
          <w:sz w:val="32"/>
        </w:rPr>
        <w:t>（一）一般公共预算财政拨款支出决算总体情况</w:t>
      </w:r>
    </w:p>
    <w:p w14:paraId="2A638217">
      <w:pPr>
        <w:spacing w:line="580" w:lineRule="exact"/>
        <w:ind w:firstLine="640"/>
        <w:jc w:val="both"/>
      </w:pPr>
      <w:r>
        <w:rPr>
          <w:rFonts w:ascii="仿宋_GB2312" w:hAnsi="仿宋_GB2312" w:eastAsia="仿宋_GB2312"/>
          <w:b/>
          <w:sz w:val="32"/>
        </w:rPr>
        <w:t>2024年度一般公共预算财政拨款支出189.56万元，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减少619.68万元，下降76.58%，主要原因是：本年减少矛盾纠纷调处化解中心项目资金、矛盾纠纷调处化解中心项目及配套设施项目费用、信访工作经费。</w:t>
      </w:r>
      <w:r>
        <w:rPr>
          <w:rFonts w:ascii="仿宋_GB2312" w:hAnsi="仿宋_GB2312" w:eastAsia="仿宋_GB2312"/>
          <w:b/>
          <w:sz w:val="32"/>
        </w:rPr>
        <w:t>与年初预算相比,</w:t>
      </w:r>
      <w:r>
        <w:rPr>
          <w:rFonts w:ascii="仿宋_GB2312" w:hAnsi="仿宋_GB2312" w:eastAsia="仿宋_GB2312"/>
          <w:b w:val="0"/>
          <w:sz w:val="32"/>
        </w:rPr>
        <w:t>年初预算数176.14万元，决算数189.56万元，预决算差异率7.62%，主要原因是：年中追加人员工资、社保、公积金基数调增部分资金，导致预决算存在差异。</w:t>
      </w:r>
    </w:p>
    <w:p w14:paraId="5DB4F6AF">
      <w:pPr>
        <w:spacing w:line="640" w:lineRule="exact"/>
        <w:ind w:firstLine="640"/>
        <w:jc w:val="both"/>
        <w:outlineLvl w:val="3"/>
      </w:pPr>
      <w:r>
        <w:rPr>
          <w:rFonts w:ascii="楷体_GB2312" w:hAnsi="楷体_GB2312" w:eastAsia="楷体_GB2312"/>
          <w:b/>
          <w:sz w:val="32"/>
        </w:rPr>
        <w:t>（二）一般公共预算财政拨款支出决算结构情况</w:t>
      </w:r>
    </w:p>
    <w:p w14:paraId="2166396A">
      <w:pPr>
        <w:spacing w:line="580" w:lineRule="exact"/>
        <w:ind w:firstLine="640"/>
        <w:jc w:val="both"/>
      </w:pPr>
      <w:r>
        <w:rPr>
          <w:rFonts w:ascii="仿宋_GB2312" w:hAnsi="仿宋_GB2312" w:eastAsia="仿宋_GB2312"/>
          <w:b w:val="0"/>
          <w:sz w:val="32"/>
        </w:rPr>
        <w:t>1.一般公共服务支出(类)152.50万元,占80.45%。</w:t>
      </w:r>
    </w:p>
    <w:p w14:paraId="33FBBB38">
      <w:pPr>
        <w:spacing w:line="580" w:lineRule="exact"/>
        <w:ind w:firstLine="640"/>
        <w:jc w:val="both"/>
      </w:pPr>
      <w:r>
        <w:rPr>
          <w:rFonts w:ascii="仿宋_GB2312" w:hAnsi="仿宋_GB2312" w:eastAsia="仿宋_GB2312"/>
          <w:b w:val="0"/>
          <w:sz w:val="32"/>
        </w:rPr>
        <w:t>2.社会保障和就业支出(类)21.28万元,占11.23%。</w:t>
      </w:r>
    </w:p>
    <w:p w14:paraId="4B321E24">
      <w:pPr>
        <w:spacing w:line="580" w:lineRule="exact"/>
        <w:ind w:firstLine="640"/>
        <w:jc w:val="both"/>
      </w:pPr>
      <w:r>
        <w:rPr>
          <w:rFonts w:ascii="仿宋_GB2312" w:hAnsi="仿宋_GB2312" w:eastAsia="仿宋_GB2312"/>
          <w:b w:val="0"/>
          <w:sz w:val="32"/>
        </w:rPr>
        <w:t>3.卫生健康支出(类)6.19万元,占3.27%。</w:t>
      </w:r>
    </w:p>
    <w:p w14:paraId="032031CA">
      <w:pPr>
        <w:spacing w:line="580" w:lineRule="exact"/>
        <w:ind w:firstLine="640"/>
        <w:jc w:val="both"/>
      </w:pPr>
      <w:r>
        <w:rPr>
          <w:rFonts w:ascii="仿宋_GB2312" w:hAnsi="仿宋_GB2312" w:eastAsia="仿宋_GB2312"/>
          <w:b w:val="0"/>
          <w:sz w:val="32"/>
        </w:rPr>
        <w:t>4.住房保障支出(类)9.59万元,占5.06%。</w:t>
      </w:r>
    </w:p>
    <w:p w14:paraId="1C58CD76">
      <w:pPr>
        <w:spacing w:line="640" w:lineRule="exact"/>
        <w:ind w:firstLine="640"/>
        <w:jc w:val="both"/>
        <w:outlineLvl w:val="3"/>
      </w:pPr>
      <w:r>
        <w:rPr>
          <w:rFonts w:ascii="楷体_GB2312" w:hAnsi="楷体_GB2312" w:eastAsia="楷体_GB2312"/>
          <w:b/>
          <w:sz w:val="32"/>
        </w:rPr>
        <w:t>（三）一般公共预算财政拨款支出决算具体情况</w:t>
      </w:r>
    </w:p>
    <w:p w14:paraId="4DEB17F6">
      <w:pPr>
        <w:spacing w:line="580" w:lineRule="exact"/>
        <w:ind w:firstLine="640"/>
        <w:jc w:val="both"/>
      </w:pPr>
      <w:r>
        <w:rPr>
          <w:rFonts w:ascii="仿宋_GB2312" w:hAnsi="仿宋_GB2312" w:eastAsia="仿宋_GB2312"/>
          <w:b w:val="0"/>
          <w:sz w:val="32"/>
        </w:rPr>
        <w:t>1.一般公共服务支出(类)政府办公厅（室）及相关机构事务(款)信访事务(项):支出决算数为0.00万元，比上年决算减少782.36万元，下降100.00%,主要原因是：本年减少矛盾纠纷调处化解中心项目资金、矛盾纠纷调处化解中心项目及配套设施项目费用、信访工作经费；本年功能科目调整，人员经费及公用经费由信访事务科目调整至信访业务科目列支，经费较上年减少。</w:t>
      </w:r>
    </w:p>
    <w:p w14:paraId="308608AB">
      <w:pPr>
        <w:spacing w:line="580" w:lineRule="exact"/>
        <w:ind w:firstLine="640"/>
        <w:jc w:val="both"/>
      </w:pPr>
      <w:r>
        <w:rPr>
          <w:rFonts w:ascii="仿宋_GB2312" w:hAnsi="仿宋_GB2312" w:eastAsia="仿宋_GB2312"/>
          <w:b w:val="0"/>
          <w:sz w:val="32"/>
        </w:rPr>
        <w:t>2.一般公共服务支出(类)信访事务(款)信访业务(项):支出决算数为152.50万元，比上年决算增加152.50万元，增长100.00%,主要原因是：本年功能科目调整，人员经费及公用经费由信访事务科目调整至信访业务科目列支，经费较上年增加。</w:t>
      </w:r>
    </w:p>
    <w:p w14:paraId="5F82CB7A">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3.社会保障和就业支出(类)行政事业单位养老支出(款)事业单位离退休(项):支出决算数为0.09万元，比上年决算增加0.09万元，增长100.00%,主要原因是：本年退休人员增加，退休费支出增加。</w:t>
      </w:r>
    </w:p>
    <w:p w14:paraId="2497668E">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11.58万元，比上年决算增加2.08万元，增长21.89%,主要原因是：本年在职人员工资基数调增，养老缴费基数上涨，相应支出增加。</w:t>
      </w:r>
    </w:p>
    <w:p w14:paraId="7C6C5D51">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5.社会保障和就业支出(类)行政事业单位养老支出(款)机关事业单位职业年金缴费支出(项):支出决算数为9.61万元，比上年决算增加4.87万元，增长102.74%,主要原因是：本年新增退休人员，职业年金缴费支出增加。</w:t>
      </w:r>
    </w:p>
    <w:p w14:paraId="5CDE4E69">
      <w:pPr>
        <w:spacing w:line="580" w:lineRule="exact"/>
        <w:ind w:firstLine="640"/>
        <w:jc w:val="both"/>
      </w:pPr>
      <w:r>
        <w:rPr>
          <w:rFonts w:ascii="仿宋_GB2312" w:hAnsi="仿宋_GB2312" w:eastAsia="仿宋_GB2312"/>
          <w:b w:val="0"/>
          <w:sz w:val="32"/>
        </w:rPr>
        <w:t>6.卫生健康支出(类)行政事业单位医疗(款)事业单位医疗(项):支出决算数为5.78万元，比上年决算增加1.04万元，增长21.94%,主要原因是：本年在职人员工资基数调增，医疗缴费基数上涨，相应支出增加。</w:t>
      </w:r>
    </w:p>
    <w:p w14:paraId="5E30298D">
      <w:pPr>
        <w:spacing w:line="580" w:lineRule="exact"/>
        <w:ind w:firstLine="640"/>
        <w:jc w:val="both"/>
      </w:pPr>
      <w:r>
        <w:rPr>
          <w:rFonts w:ascii="仿宋_GB2312" w:hAnsi="仿宋_GB2312" w:eastAsia="仿宋_GB2312"/>
          <w:b w:val="0"/>
          <w:sz w:val="32"/>
        </w:rPr>
        <w:t>7.卫生健康支出(类)行政事业单位医疗(款)公务员医疗补助(项):支出决算数为0.41万元，比上年决算增加0.11万元，增长36.67%,主要原因是：本年在职人员工资基数调增，医疗缴费基数上涨，相应支出增加。</w:t>
      </w:r>
    </w:p>
    <w:p w14:paraId="1AF13A8B">
      <w:pPr>
        <w:spacing w:line="580" w:lineRule="exact"/>
        <w:ind w:firstLine="640"/>
        <w:jc w:val="both"/>
      </w:pPr>
      <w:r>
        <w:rPr>
          <w:rFonts w:ascii="仿宋_GB2312" w:hAnsi="仿宋_GB2312" w:eastAsia="仿宋_GB2312"/>
          <w:b w:val="0"/>
          <w:sz w:val="32"/>
        </w:rPr>
        <w:t>8.住房保障支出(类)住房改革支出(款)住房公积金(项):支出决算数为9.59万元，比上年决算增加1.98万元，增长26.02%,主要原因是：本年在职人员工资基数调增，公积金缴费基数上涨，相应支出增加。</w:t>
      </w:r>
    </w:p>
    <w:p w14:paraId="3E4AC5DD">
      <w:pPr>
        <w:spacing w:line="640" w:lineRule="exact"/>
        <w:ind w:firstLine="640"/>
        <w:jc w:val="both"/>
        <w:outlineLvl w:val="2"/>
      </w:pPr>
      <w:r>
        <w:rPr>
          <w:rFonts w:ascii="黑体" w:hAnsi="黑体" w:eastAsia="黑体"/>
          <w:sz w:val="32"/>
        </w:rPr>
        <w:t>六、一般公共预算财政拨款基本支出决算情况说明</w:t>
      </w:r>
    </w:p>
    <w:p w14:paraId="5663FC86">
      <w:pPr>
        <w:spacing w:line="580" w:lineRule="exact"/>
        <w:ind w:firstLine="640"/>
        <w:jc w:val="both"/>
      </w:pPr>
      <w:r>
        <w:rPr>
          <w:rFonts w:ascii="仿宋_GB2312" w:hAnsi="仿宋_GB2312" w:eastAsia="仿宋_GB2312"/>
          <w:b w:val="0"/>
          <w:sz w:val="32"/>
        </w:rPr>
        <w:t>2024年度一般公共预算财政拨款基本支出189.56万元，其中：</w:t>
      </w:r>
      <w:r>
        <w:rPr>
          <w:rFonts w:ascii="仿宋_GB2312" w:hAnsi="仿宋_GB2312" w:eastAsia="仿宋_GB2312"/>
          <w:b/>
          <w:sz w:val="32"/>
        </w:rPr>
        <w:t>人员经费165.60万元，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35C9C390">
      <w:pPr>
        <w:spacing w:line="580" w:lineRule="exact"/>
        <w:ind w:firstLine="640"/>
        <w:jc w:val="both"/>
      </w:pPr>
      <w:r>
        <w:rPr>
          <w:rFonts w:ascii="仿宋_GB2312" w:hAnsi="仿宋_GB2312" w:eastAsia="仿宋_GB2312"/>
          <w:b/>
          <w:sz w:val="32"/>
        </w:rPr>
        <w:t>公用经费23.96万元，</w:t>
      </w:r>
      <w:r>
        <w:rPr>
          <w:rFonts w:ascii="仿宋_GB2312" w:hAnsi="仿宋_GB2312" w:eastAsia="仿宋_GB2312"/>
          <w:b w:val="0"/>
          <w:sz w:val="32"/>
        </w:rPr>
        <w:t>包括：办公费、印刷费、邮电费、差旅费、租赁费、培训费、劳务费、工会经费、公务用车运行维护费、其他商品和服务支出。</w:t>
      </w:r>
    </w:p>
    <w:p w14:paraId="21B84ADE">
      <w:pPr>
        <w:spacing w:line="640" w:lineRule="exact"/>
        <w:ind w:firstLine="640"/>
        <w:jc w:val="both"/>
        <w:outlineLvl w:val="2"/>
      </w:pPr>
      <w:r>
        <w:rPr>
          <w:rFonts w:ascii="黑体" w:hAnsi="黑体" w:eastAsia="黑体"/>
          <w:sz w:val="32"/>
        </w:rPr>
        <w:t>七、政府性基金预算财政拨款收入支出决算情况说明</w:t>
      </w:r>
    </w:p>
    <w:p w14:paraId="4A3F383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B5EFC67">
      <w:pPr>
        <w:spacing w:line="640" w:lineRule="exact"/>
        <w:ind w:firstLine="640"/>
        <w:jc w:val="both"/>
        <w:outlineLvl w:val="2"/>
      </w:pPr>
      <w:r>
        <w:rPr>
          <w:rFonts w:ascii="黑体" w:hAnsi="黑体" w:eastAsia="黑体"/>
          <w:sz w:val="32"/>
        </w:rPr>
        <w:t>八、国有资本经营预算财政拨款收入支出决算情况说明</w:t>
      </w:r>
    </w:p>
    <w:p w14:paraId="7C1D3A9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D9CD3D">
      <w:pPr>
        <w:spacing w:line="640" w:lineRule="exact"/>
        <w:ind w:firstLine="640"/>
        <w:jc w:val="both"/>
        <w:outlineLvl w:val="2"/>
      </w:pPr>
      <w:r>
        <w:rPr>
          <w:rFonts w:ascii="黑体" w:hAnsi="黑体" w:eastAsia="黑体"/>
          <w:sz w:val="32"/>
        </w:rPr>
        <w:t>九、财政拨款“三公”经费支出决算情况说明</w:t>
      </w:r>
    </w:p>
    <w:p w14:paraId="0CD7D5AE">
      <w:pPr>
        <w:spacing w:line="580" w:lineRule="exact"/>
        <w:ind w:firstLine="640"/>
        <w:jc w:val="both"/>
      </w:pPr>
      <w:r>
        <w:rPr>
          <w:rFonts w:ascii="仿宋_GB2312" w:hAnsi="仿宋_GB2312" w:eastAsia="仿宋_GB2312"/>
          <w:b/>
          <w:sz w:val="32"/>
        </w:rPr>
        <w:t>2024年度财政拨款“三公”经费支出0.50万元，</w:t>
      </w:r>
      <w:r>
        <w:rPr>
          <w:rFonts w:ascii="仿宋_GB2312" w:hAnsi="仿宋_GB2312" w:eastAsia="仿宋_GB2312"/>
          <w:b w:val="0"/>
          <w:sz w:val="32"/>
        </w:rPr>
        <w:t>比上年减少0.01万元，下降1.96%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0.50万元，占100.00%，比上年减少0.01万元，下降1.96%，主要原因是：严格落实中央八项规定精神，厉行节约，减少公务用车运行维护费。公务接待费支出0.00万元，占0.00%，比上年增加0.00万元，增长0.00%，主要原因是：2023年与2024年均未安排公务接待费支出。</w:t>
      </w:r>
    </w:p>
    <w:p w14:paraId="4F4C0FF5">
      <w:pPr>
        <w:spacing w:line="580" w:lineRule="exact"/>
        <w:ind w:firstLine="640"/>
        <w:jc w:val="both"/>
      </w:pPr>
      <w:r>
        <w:rPr>
          <w:rFonts w:ascii="仿宋_GB2312" w:hAnsi="仿宋_GB2312" w:eastAsia="仿宋_GB2312"/>
          <w:b/>
          <w:sz w:val="32"/>
        </w:rPr>
        <w:t>具体情况如下：</w:t>
      </w:r>
    </w:p>
    <w:p w14:paraId="2B9101A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7A85D0">
      <w:pPr>
        <w:spacing w:line="580" w:lineRule="exact"/>
        <w:ind w:firstLine="640"/>
        <w:jc w:val="both"/>
      </w:pPr>
      <w:r>
        <w:rPr>
          <w:rFonts w:ascii="仿宋_GB2312" w:hAnsi="仿宋_GB2312" w:eastAsia="仿宋_GB2312"/>
          <w:b w:val="0"/>
          <w:sz w:val="32"/>
        </w:rPr>
        <w:t>公务用车购置及运行维护费0.50万元，其中：公务用车购置费0.00万元，公务用车运行维护费0.50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6B1055F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1C0E3F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0.50万元，决算数0.50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0.50万元，决算数0.50万元，预决算差异率0.00%，主要原因是：严格按照预算执行，预决算无差异。公务接待费全年预算数0.00万元，决算数0.00万元，预决算差异率0.00%，主要原因是：本单位无公务接待费。</w:t>
      </w:r>
    </w:p>
    <w:p w14:paraId="3E1B804B">
      <w:pPr>
        <w:spacing w:line="640" w:lineRule="exact"/>
        <w:ind w:firstLine="640"/>
        <w:jc w:val="both"/>
        <w:outlineLvl w:val="2"/>
      </w:pPr>
      <w:r>
        <w:rPr>
          <w:rFonts w:ascii="黑体" w:hAnsi="黑体" w:eastAsia="黑体"/>
          <w:sz w:val="32"/>
        </w:rPr>
        <w:t>十、其他重要事项的情况说明</w:t>
      </w:r>
    </w:p>
    <w:p w14:paraId="1173F18F">
      <w:pPr>
        <w:spacing w:line="640" w:lineRule="exact"/>
        <w:ind w:firstLine="640"/>
        <w:jc w:val="both"/>
        <w:outlineLvl w:val="3"/>
      </w:pPr>
      <w:r>
        <w:rPr>
          <w:rFonts w:ascii="楷体_GB2312" w:hAnsi="楷体_GB2312" w:eastAsia="楷体_GB2312"/>
          <w:b/>
          <w:sz w:val="32"/>
        </w:rPr>
        <w:t>（一）机关运行经费及公用经费支出情况</w:t>
      </w:r>
    </w:p>
    <w:p w14:paraId="75EF5B7D">
      <w:pPr>
        <w:spacing w:line="580" w:lineRule="exact"/>
        <w:ind w:firstLine="640"/>
        <w:jc w:val="both"/>
      </w:pPr>
      <w:r>
        <w:rPr>
          <w:rFonts w:ascii="仿宋_GB2312" w:hAnsi="仿宋_GB2312" w:eastAsia="仿宋_GB2312"/>
          <w:b w:val="0"/>
          <w:sz w:val="32"/>
        </w:rPr>
        <w:t>2024年度吉木萨尔县信访投诉受理服务中心（事业单位）公用经费支出23.96万元，比上年增加10.91万元，增长83.60%，主要原因是：本年增加租赁费、劳务费，导致公用经费增加。</w:t>
      </w:r>
    </w:p>
    <w:p w14:paraId="441D2874">
      <w:pPr>
        <w:spacing w:line="640" w:lineRule="exact"/>
        <w:ind w:firstLine="640"/>
        <w:jc w:val="both"/>
        <w:outlineLvl w:val="3"/>
      </w:pPr>
      <w:r>
        <w:rPr>
          <w:rFonts w:ascii="楷体_GB2312" w:hAnsi="楷体_GB2312" w:eastAsia="楷体_GB2312"/>
          <w:b/>
          <w:sz w:val="32"/>
        </w:rPr>
        <w:t>（二）政府采购情况</w:t>
      </w:r>
    </w:p>
    <w:p w14:paraId="44142517">
      <w:pPr>
        <w:spacing w:line="580" w:lineRule="exact"/>
        <w:ind w:firstLine="640"/>
        <w:jc w:val="both"/>
      </w:pPr>
      <w:r>
        <w:rPr>
          <w:rFonts w:ascii="仿宋_GB2312" w:hAnsi="仿宋_GB2312" w:eastAsia="仿宋_GB2312"/>
          <w:b w:val="0"/>
          <w:sz w:val="32"/>
        </w:rPr>
        <w:t>2024年度政府采购支出总额0.41万元，其中：政府采购货物支出0.36万元、政府采购工程支出0.00万元、政府采购服务支出0.04万元。</w:t>
      </w:r>
    </w:p>
    <w:p w14:paraId="5D84E953">
      <w:pPr>
        <w:spacing w:line="580" w:lineRule="exact"/>
        <w:ind w:firstLine="640"/>
        <w:jc w:val="both"/>
      </w:pPr>
      <w:r>
        <w:rPr>
          <w:rFonts w:ascii="仿宋_GB2312" w:hAnsi="仿宋_GB2312" w:eastAsia="仿宋_GB2312"/>
          <w:b w:val="0"/>
          <w:sz w:val="32"/>
        </w:rPr>
        <w:t>授予中小企业合同金额0.07万元，占政府采购支出总额的17.07%，其中：授予小微企业合同金额0.07万元，占政府采购支出总额的17.07%。</w:t>
      </w:r>
    </w:p>
    <w:p w14:paraId="0EBB0760">
      <w:pPr>
        <w:spacing w:line="640" w:lineRule="exact"/>
        <w:ind w:firstLine="640"/>
        <w:jc w:val="both"/>
        <w:outlineLvl w:val="3"/>
      </w:pPr>
      <w:r>
        <w:rPr>
          <w:rFonts w:ascii="楷体_GB2312" w:hAnsi="楷体_GB2312" w:eastAsia="楷体_GB2312"/>
          <w:b/>
          <w:sz w:val="32"/>
        </w:rPr>
        <w:t>（三）国有资产占用情况说明</w:t>
      </w:r>
    </w:p>
    <w:p w14:paraId="71DF1279">
      <w:pPr>
        <w:spacing w:line="580" w:lineRule="exact"/>
        <w:ind w:firstLine="640"/>
        <w:jc w:val="both"/>
      </w:pPr>
      <w:r>
        <w:rPr>
          <w:rFonts w:ascii="仿宋_GB2312" w:hAnsi="仿宋_GB2312" w:eastAsia="仿宋_GB2312"/>
          <w:b w:val="0"/>
          <w:sz w:val="32"/>
        </w:rPr>
        <w:t>截至2024年12月31日，房屋1,800.00平方米，价值859.36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51A142EF">
      <w:pPr>
        <w:spacing w:line="640" w:lineRule="exact"/>
        <w:ind w:firstLine="640"/>
        <w:jc w:val="both"/>
        <w:outlineLvl w:val="2"/>
      </w:pPr>
      <w:r>
        <w:rPr>
          <w:rFonts w:ascii="黑体" w:hAnsi="黑体" w:eastAsia="黑体"/>
          <w:sz w:val="32"/>
        </w:rPr>
        <w:t>十一、预算绩效的情况说明</w:t>
      </w:r>
    </w:p>
    <w:p w14:paraId="6B743BBD">
      <w:pPr>
        <w:spacing w:line="580" w:lineRule="exact"/>
        <w:ind w:firstLine="640"/>
        <w:jc w:val="both"/>
        <w:rPr>
          <w:spacing w:val="-6"/>
          <w:sz w:val="32"/>
        </w:rPr>
      </w:pPr>
      <w:r>
        <w:rPr>
          <w:rFonts w:ascii="仿宋_GB2312" w:hAnsi="仿宋_GB2312" w:eastAsia="仿宋_GB2312"/>
          <w:b w:val="0"/>
          <w:spacing w:val="-6"/>
          <w:sz w:val="32"/>
        </w:rPr>
        <w:t>根据预算绩效管理要求，本单位2024年度预算绩效管理形成整体支出绩效自评表1个，全年预算总额189.57万元，实际执行总额189.56万元；预算绩效评价项目0个，全年预算数0.00万元，全年执行数0.00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pacing w:val="-6"/>
          <w:sz w:val="32"/>
          <w:lang w:eastAsia="zh-CN"/>
        </w:rPr>
        <w:t>取得</w:t>
      </w:r>
      <w:r>
        <w:rPr>
          <w:rFonts w:ascii="仿宋_GB2312" w:hAnsi="仿宋_GB2312" w:eastAsia="仿宋_GB2312"/>
          <w:b w:val="0"/>
          <w:spacing w:val="-6"/>
          <w:sz w:val="32"/>
        </w:rPr>
        <w:t>成效，科学制定目标，促进绩效目标顺利实现。二是自落实预算绩效管理工作以来，本单位在项目资金的使用</w:t>
      </w:r>
      <w:r>
        <w:rPr>
          <w:rFonts w:hint="eastAsia" w:ascii="仿宋_GB2312" w:hAnsi="仿宋_GB2312" w:eastAsia="仿宋_GB2312"/>
          <w:b w:val="0"/>
          <w:spacing w:val="-6"/>
          <w:sz w:val="32"/>
          <w:lang w:eastAsia="zh-CN"/>
        </w:rPr>
        <w:t>上</w:t>
      </w:r>
      <w:r>
        <w:rPr>
          <w:rFonts w:ascii="仿宋_GB2312" w:hAnsi="仿宋_GB2312" w:eastAsia="仿宋_GB2312"/>
          <w:b w:val="0"/>
          <w:spacing w:val="-6"/>
          <w:sz w:val="32"/>
        </w:rPr>
        <w:t>有了</w:t>
      </w:r>
      <w:r>
        <w:rPr>
          <w:rFonts w:hint="eastAsia" w:ascii="仿宋_GB2312" w:hAnsi="仿宋_GB2312" w:eastAsia="仿宋_GB2312"/>
          <w:b w:val="0"/>
          <w:spacing w:val="-6"/>
          <w:sz w:val="32"/>
          <w:lang w:eastAsia="zh-CN"/>
        </w:rPr>
        <w:t>更加</w:t>
      </w:r>
      <w:r>
        <w:rPr>
          <w:rFonts w:ascii="仿宋_GB2312" w:hAnsi="仿宋_GB2312" w:eastAsia="仿宋_GB2312"/>
          <w:b w:val="0"/>
          <w:spacing w:val="-6"/>
          <w:sz w:val="32"/>
        </w:rPr>
        <w:t>明确、</w:t>
      </w:r>
      <w:r>
        <w:rPr>
          <w:rFonts w:hint="eastAsia" w:ascii="仿宋_GB2312" w:hAnsi="仿宋_GB2312" w:eastAsia="仿宋_GB2312"/>
          <w:b w:val="0"/>
          <w:spacing w:val="-6"/>
          <w:sz w:val="32"/>
          <w:lang w:eastAsia="zh-CN"/>
        </w:rPr>
        <w:t>更加</w:t>
      </w:r>
      <w:r>
        <w:rPr>
          <w:rFonts w:ascii="仿宋_GB2312" w:hAnsi="仿宋_GB2312" w:eastAsia="仿宋_GB2312"/>
          <w:b w:val="0"/>
          <w:spacing w:val="-6"/>
          <w:sz w:val="32"/>
        </w:rPr>
        <w:t>清晰</w:t>
      </w:r>
      <w:r>
        <w:rPr>
          <w:rFonts w:hint="eastAsia" w:ascii="仿宋_GB2312" w:hAnsi="仿宋_GB2312" w:eastAsia="仿宋_GB2312"/>
          <w:b w:val="0"/>
          <w:spacing w:val="-6"/>
          <w:sz w:val="32"/>
          <w:lang w:eastAsia="zh-CN"/>
        </w:rPr>
        <w:t>地</w:t>
      </w:r>
      <w:r>
        <w:rPr>
          <w:rFonts w:ascii="仿宋_GB2312" w:hAnsi="仿宋_GB2312" w:eastAsia="仿宋_GB2312"/>
          <w:b w:val="0"/>
          <w:spacing w:val="-6"/>
          <w:sz w:val="32"/>
        </w:rPr>
        <w:t>理解和认识。通过实施预算绩效管理，树立了绩效优先的管理理念，也很好</w:t>
      </w:r>
      <w:r>
        <w:rPr>
          <w:rFonts w:hint="eastAsia" w:ascii="仿宋_GB2312" w:hAnsi="仿宋_GB2312" w:eastAsia="仿宋_GB2312"/>
          <w:b w:val="0"/>
          <w:spacing w:val="-6"/>
          <w:sz w:val="32"/>
          <w:lang w:eastAsia="zh-CN"/>
        </w:rPr>
        <w:t>地</w:t>
      </w:r>
      <w:r>
        <w:rPr>
          <w:rFonts w:ascii="仿宋_GB2312" w:hAnsi="仿宋_GB2312" w:eastAsia="仿宋_GB2312"/>
          <w:b w:val="0"/>
          <w:spacing w:val="-6"/>
          <w:sz w:val="32"/>
        </w:rPr>
        <w:t>避免了在经费使用上出现违规行为的</w:t>
      </w:r>
      <w:r>
        <w:rPr>
          <w:rFonts w:hint="eastAsia" w:ascii="仿宋_GB2312" w:hAnsi="仿宋_GB2312" w:eastAsia="仿宋_GB2312"/>
          <w:b w:val="0"/>
          <w:spacing w:val="-6"/>
          <w:sz w:val="32"/>
          <w:lang w:eastAsia="zh-CN"/>
        </w:rPr>
        <w:t>概率</w:t>
      </w:r>
      <w:r>
        <w:rPr>
          <w:rFonts w:ascii="仿宋_GB2312" w:hAnsi="仿宋_GB2312" w:eastAsia="仿宋_GB2312"/>
          <w:b w:val="0"/>
          <w:spacing w:val="-6"/>
          <w:sz w:val="32"/>
        </w:rPr>
        <w:t>，提升了部门管理水平和资金使用效益，为全面实施绩效管理打下了坚实的基础。发现的问题及原因：一是单位各部门对项目资金的绩效意识还有待加强，对项目资金的分配及使用要加大执行力度，以期实现最大效益化。二是绩效自评包含项目自评等内容，许多项目经办人员未能参与到绩效工作业务培训中来，对预算绩效工作重视度不够。下一步改进措施：高度重视，加强领导，精心组织，逐步推开，实现编制预算绩效目标全覆盖。积极开展绩效</w:t>
      </w:r>
      <w:r>
        <w:rPr>
          <w:rFonts w:hint="eastAsia" w:ascii="仿宋_GB2312" w:hAnsi="仿宋_GB2312" w:eastAsia="仿宋_GB2312"/>
          <w:b w:val="0"/>
          <w:spacing w:val="-6"/>
          <w:sz w:val="32"/>
          <w:lang w:val="en-US" w:eastAsia="zh-CN"/>
        </w:rPr>
        <w:t>监督</w:t>
      </w:r>
      <w:bookmarkStart w:id="0" w:name="_GoBack"/>
      <w:bookmarkEnd w:id="0"/>
      <w:r>
        <w:rPr>
          <w:rFonts w:ascii="仿宋_GB2312" w:hAnsi="仿宋_GB2312" w:eastAsia="仿宋_GB2312"/>
          <w:b w:val="0"/>
          <w:spacing w:val="-6"/>
          <w:sz w:val="32"/>
        </w:rPr>
        <w:t>，及时纠偏，确保绩效目标实现；财政管理部门对各部门绩效自评工作进行指导、监督、检查，积极运用评价结果，提高资金使用效率。具体附整体支出绩效自评表。</w:t>
      </w:r>
    </w:p>
    <w:p w14:paraId="712C7E7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7E3031">
        <w:tblPrEx>
          <w:tblCellMar>
            <w:top w:w="0" w:type="dxa"/>
            <w:left w:w="108" w:type="dxa"/>
            <w:bottom w:w="0" w:type="dxa"/>
            <w:right w:w="108" w:type="dxa"/>
          </w:tblCellMar>
        </w:tblPrEx>
        <w:tc>
          <w:tcPr>
            <w:tcW w:w="8847" w:type="dxa"/>
            <w:gridSpan w:val="9"/>
            <w:vAlign w:val="center"/>
          </w:tcPr>
          <w:p w14:paraId="75398F57">
            <w:pPr>
              <w:jc w:val="center"/>
            </w:pPr>
            <w:r>
              <w:rPr>
                <w:rFonts w:ascii="宋体" w:hAnsi="宋体" w:eastAsia="宋体"/>
                <w:sz w:val="24"/>
              </w:rPr>
              <w:t>单位整体支出绩效自评表</w:t>
            </w:r>
          </w:p>
        </w:tc>
      </w:tr>
      <w:tr w14:paraId="4391E436">
        <w:tblPrEx>
          <w:tblCellMar>
            <w:top w:w="0" w:type="dxa"/>
            <w:left w:w="108" w:type="dxa"/>
            <w:bottom w:w="0" w:type="dxa"/>
            <w:right w:w="108" w:type="dxa"/>
          </w:tblCellMar>
        </w:tblPrEx>
        <w:tc>
          <w:tcPr>
            <w:tcW w:w="8847" w:type="dxa"/>
            <w:gridSpan w:val="9"/>
            <w:vAlign w:val="center"/>
          </w:tcPr>
          <w:p w14:paraId="0ACB94BE">
            <w:pPr>
              <w:jc w:val="center"/>
            </w:pPr>
            <w:r>
              <w:rPr>
                <w:rFonts w:ascii="宋体" w:hAnsi="宋体" w:eastAsia="宋体"/>
                <w:sz w:val="24"/>
              </w:rPr>
              <w:t>（2024年度）</w:t>
            </w:r>
          </w:p>
        </w:tc>
      </w:tr>
      <w:tr w14:paraId="4E43E8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8481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1794EA">
            <w:pPr>
              <w:jc w:val="center"/>
            </w:pPr>
            <w:r>
              <w:rPr>
                <w:rFonts w:ascii="宋体" w:hAnsi="宋体" w:eastAsia="宋体"/>
                <w:sz w:val="16"/>
              </w:rPr>
              <w:t>吉木萨尔县信访投诉受理服务中心</w:t>
            </w:r>
          </w:p>
        </w:tc>
      </w:tr>
      <w:tr w14:paraId="39B562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63A81">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4A2F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677C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059E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7F20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B127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022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7F7F">
            <w:pPr>
              <w:jc w:val="center"/>
            </w:pPr>
            <w:r>
              <w:rPr>
                <w:rFonts w:ascii="宋体" w:hAnsi="宋体" w:eastAsia="宋体"/>
                <w:sz w:val="16"/>
              </w:rPr>
              <w:t>得分</w:t>
            </w:r>
          </w:p>
        </w:tc>
      </w:tr>
      <w:tr w14:paraId="6D4369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3AD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D8C9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4C4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C4E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6F7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7AC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2A4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85059">
            <w:pPr>
              <w:jc w:val="center"/>
            </w:pPr>
            <w:r>
              <w:rPr>
                <w:rFonts w:ascii="宋体" w:hAnsi="宋体" w:eastAsia="宋体"/>
                <w:sz w:val="16"/>
              </w:rPr>
              <w:t>-</w:t>
            </w:r>
          </w:p>
        </w:tc>
      </w:tr>
      <w:tr w14:paraId="0D4FE6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DA8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4FDD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59263">
            <w:pPr>
              <w:jc w:val="center"/>
            </w:pPr>
            <w:r>
              <w:rPr>
                <w:rFonts w:ascii="宋体" w:hAnsi="宋体" w:eastAsia="宋体"/>
                <w:sz w:val="16"/>
              </w:rPr>
              <w:t>176.14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CAD8">
            <w:pPr>
              <w:jc w:val="center"/>
            </w:pPr>
            <w:r>
              <w:rPr>
                <w:rFonts w:ascii="宋体" w:hAnsi="宋体" w:eastAsia="宋体"/>
                <w:sz w:val="16"/>
              </w:rPr>
              <w:t>189.57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9AF05">
            <w:pPr>
              <w:jc w:val="center"/>
            </w:pPr>
            <w:r>
              <w:rPr>
                <w:rFonts w:ascii="宋体" w:hAnsi="宋体" w:eastAsia="宋体"/>
                <w:sz w:val="16"/>
              </w:rPr>
              <w:t>189.56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5B1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C7B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F72E5">
            <w:pPr>
              <w:jc w:val="center"/>
            </w:pPr>
            <w:r>
              <w:rPr>
                <w:rFonts w:ascii="宋体" w:hAnsi="宋体" w:eastAsia="宋体"/>
                <w:sz w:val="16"/>
              </w:rPr>
              <w:t>-</w:t>
            </w:r>
          </w:p>
        </w:tc>
      </w:tr>
      <w:tr w14:paraId="66C0CF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E5B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03CA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6CDE7">
            <w:pPr>
              <w:jc w:val="center"/>
            </w:pPr>
            <w:r>
              <w:rPr>
                <w:rFonts w:ascii="宋体" w:hAnsi="宋体" w:eastAsia="宋体"/>
                <w:sz w:val="16"/>
              </w:rPr>
              <w:t>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238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0BF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063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25D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5E288">
            <w:pPr>
              <w:jc w:val="center"/>
            </w:pPr>
            <w:r>
              <w:rPr>
                <w:rFonts w:ascii="宋体" w:hAnsi="宋体" w:eastAsia="宋体"/>
                <w:sz w:val="16"/>
              </w:rPr>
              <w:t>-</w:t>
            </w:r>
          </w:p>
        </w:tc>
      </w:tr>
      <w:tr w14:paraId="2A1CDC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757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5DDB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CBC70">
            <w:pPr>
              <w:jc w:val="center"/>
            </w:pPr>
            <w:r>
              <w:rPr>
                <w:rFonts w:ascii="宋体" w:hAnsi="宋体" w:eastAsia="宋体"/>
                <w:sz w:val="16"/>
              </w:rPr>
              <w:t>179.15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98CA9">
            <w:pPr>
              <w:jc w:val="center"/>
            </w:pPr>
            <w:r>
              <w:rPr>
                <w:rFonts w:ascii="宋体" w:hAnsi="宋体" w:eastAsia="宋体"/>
                <w:sz w:val="16"/>
              </w:rPr>
              <w:t>189.57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5BF9A">
            <w:pPr>
              <w:jc w:val="center"/>
            </w:pPr>
            <w:r>
              <w:rPr>
                <w:rFonts w:ascii="宋体" w:hAnsi="宋体" w:eastAsia="宋体"/>
                <w:sz w:val="16"/>
              </w:rPr>
              <w:t>189.56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23B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EBF97">
            <w:pPr>
              <w:jc w:val="center"/>
            </w:pPr>
            <w:r>
              <w:rPr>
                <w:rFonts w:ascii="宋体" w:hAnsi="宋体" w:eastAsia="宋体"/>
                <w:sz w:val="16"/>
              </w:rPr>
              <w:t>99.99%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475DD">
            <w:pPr>
              <w:jc w:val="center"/>
            </w:pPr>
            <w:r>
              <w:rPr>
                <w:rFonts w:ascii="宋体" w:hAnsi="宋体" w:eastAsia="宋体"/>
                <w:sz w:val="16"/>
              </w:rPr>
              <w:t>9.99</w:t>
            </w:r>
          </w:p>
        </w:tc>
      </w:tr>
      <w:tr w14:paraId="31C328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D1D3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95036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9A4D2A">
            <w:pPr>
              <w:jc w:val="center"/>
            </w:pPr>
            <w:r>
              <w:rPr>
                <w:rFonts w:ascii="宋体" w:hAnsi="宋体" w:eastAsia="宋体"/>
                <w:sz w:val="16"/>
              </w:rPr>
              <w:t>实际完成情况</w:t>
            </w:r>
          </w:p>
        </w:tc>
      </w:tr>
      <w:tr w14:paraId="20A350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ADDE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46891A">
            <w:pPr>
              <w:jc w:val="both"/>
            </w:pPr>
            <w:r>
              <w:rPr>
                <w:rFonts w:ascii="宋体" w:hAnsi="宋体" w:eastAsia="宋体"/>
                <w:sz w:val="16"/>
              </w:rPr>
              <w:t>做好信访 来访接待工作，运用好信访信息系统，按时处理领导信箱。党支部按时召开党员大会、主题党日活动，按季度开展党风廉政建设警示教育，按要求开展理论学习，夯实信访干部理论基础，提升干部履职能力，增强信访群众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97B56">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189.57万元，全年执行数为189.56万元,预算执行率为99.99%，主要完成以下内容：一是强化政治教育，筑牢思想根基。深入学习贯彻习近平新时代中国特色社会主义思想和党的二十届三中全会精神，坚持党组“第一议题”、党组理论学习中心组学习、周例会集中学习制度，组织开展“三会一课”、“党旗映天山”主题党日、赴红色教育基地学习等活动，引导全体党员干部筑牢奋斗思想基础。二是加强班子建设，提升履职能力。严格落实“三重一大”、“三不一末”工作制度，坚持集体领导与个人分工负责相结合，制定《吉木萨尔县信访局、信访投诉受理服务中心2024年领导班子及干部分工方案》，分解任务，明确责任，保障班子成员之间有分工、有协作，充分发挥班子整体合力。三是加强党风廉政建设，落实</w:t>
            </w:r>
            <w:r>
              <w:rPr>
                <w:rFonts w:hint="eastAsia" w:ascii="宋体" w:hAnsi="宋体"/>
                <w:sz w:val="16"/>
                <w:lang w:eastAsia="zh-CN"/>
              </w:rPr>
              <w:t>意识形态工作责任制</w:t>
            </w:r>
            <w:r>
              <w:rPr>
                <w:rFonts w:ascii="宋体" w:hAnsi="宋体" w:eastAsia="宋体"/>
                <w:sz w:val="16"/>
              </w:rPr>
              <w:t>。坚持与业务工作同部署、同安排，定期召开党组会专题研究部署党风廉政建设工作，在纪检组的指</w:t>
            </w:r>
            <w:r>
              <w:rPr>
                <w:rFonts w:hint="eastAsia" w:ascii="宋体" w:hAnsi="宋体"/>
                <w:sz w:val="16"/>
                <w:lang w:eastAsia="zh-CN"/>
              </w:rPr>
              <w:t>导和</w:t>
            </w:r>
            <w:r>
              <w:rPr>
                <w:rFonts w:ascii="宋体" w:hAnsi="宋体" w:eastAsia="宋体"/>
                <w:sz w:val="16"/>
              </w:rPr>
              <w:t>监督下通过以案促改、节前廉政谈话、警示教育等形式，营造风清气正的政治生态和干事创业的良好氛围。全局机关干部没有发生不廉洁行为和违法违纪现象。严格落实意识形态工作责任制，定期召开意识形态工作专题分析研判会，分析研判信访突出问题存在的意识形态风险隐患。四是厉行勤俭节约，倡导文明新风。全面贯彻新发展理念，高质量创建节约型机关，进一步提升机关日常运行管理效能，通过减少办公耗材用量、水电等资源损耗和公车保障使用等，降低费用支出。加强监督检查，杜绝“长明灯”、“长流水”等浪费现象，以实际行动建设资源节约型、环境友好型机关。</w:t>
            </w:r>
          </w:p>
        </w:tc>
      </w:tr>
      <w:tr w14:paraId="6ED772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D1D3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749B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FB1D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AC2A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55B5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4010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3048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7D9E4">
            <w:pPr>
              <w:jc w:val="center"/>
            </w:pPr>
            <w:r>
              <w:rPr>
                <w:rFonts w:ascii="宋体" w:hAnsi="宋体" w:eastAsia="宋体"/>
                <w:sz w:val="16"/>
              </w:rPr>
              <w:t>得分</w:t>
            </w:r>
          </w:p>
        </w:tc>
      </w:tr>
      <w:tr w14:paraId="5655A6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99D78">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FFAC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4502E">
            <w:pPr>
              <w:jc w:val="center"/>
            </w:pPr>
            <w:r>
              <w:rPr>
                <w:rFonts w:ascii="宋体" w:hAnsi="宋体" w:eastAsia="宋体"/>
                <w:sz w:val="16"/>
              </w:rPr>
              <w:t>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1B3B7">
            <w:pPr>
              <w:jc w:val="center"/>
            </w:pPr>
            <w:r>
              <w:rPr>
                <w:rFonts w:ascii="宋体" w:hAnsi="宋体" w:eastAsia="宋体"/>
                <w:sz w:val="16"/>
              </w:rPr>
              <w:t>&gt;=12人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C51B9">
            <w:pPr>
              <w:jc w:val="center"/>
            </w:pPr>
            <w:r>
              <w:rPr>
                <w:rFonts w:ascii="宋体" w:hAnsi="宋体" w:eastAsia="宋体"/>
                <w:sz w:val="16"/>
              </w:rPr>
              <w:t>信访投诉受理服务中心2023</w:t>
            </w:r>
            <w:r>
              <w:rPr>
                <w:rFonts w:hint="eastAsia" w:ascii="宋体" w:hAnsi="宋体"/>
                <w:sz w:val="16"/>
                <w:lang w:eastAsia="zh-CN"/>
              </w:rPr>
              <w:t>年度</w:t>
            </w:r>
            <w:r>
              <w:rPr>
                <w:rFonts w:ascii="宋体" w:hAnsi="宋体" w:eastAsia="宋体"/>
                <w:sz w:val="16"/>
              </w:rPr>
              <w:t>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95B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61C0E">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0A887">
            <w:pPr>
              <w:jc w:val="center"/>
            </w:pPr>
            <w:r>
              <w:rPr>
                <w:rFonts w:ascii="宋体" w:hAnsi="宋体" w:eastAsia="宋体"/>
                <w:sz w:val="16"/>
              </w:rPr>
              <w:t>10</w:t>
            </w:r>
          </w:p>
        </w:tc>
      </w:tr>
      <w:tr w14:paraId="473237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DB8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885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773A9">
            <w:pPr>
              <w:jc w:val="center"/>
            </w:pPr>
            <w:r>
              <w:rPr>
                <w:rFonts w:ascii="宋体" w:hAnsi="宋体" w:eastAsia="宋体"/>
                <w:sz w:val="16"/>
              </w:rPr>
              <w:t>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6497">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5A230">
            <w:pPr>
              <w:jc w:val="center"/>
            </w:pPr>
            <w:r>
              <w:rPr>
                <w:rFonts w:ascii="宋体" w:hAnsi="宋体" w:eastAsia="宋体"/>
                <w:sz w:val="16"/>
              </w:rPr>
              <w:t>信访投诉受理服务中心2023</w:t>
            </w:r>
            <w:r>
              <w:rPr>
                <w:rFonts w:hint="eastAsia" w:ascii="宋体" w:hAnsi="宋体"/>
                <w:sz w:val="16"/>
                <w:lang w:eastAsia="zh-CN"/>
              </w:rPr>
              <w:t>年度</w:t>
            </w:r>
            <w:r>
              <w:rPr>
                <w:rFonts w:ascii="宋体" w:hAnsi="宋体" w:eastAsia="宋体"/>
                <w:sz w:val="16"/>
              </w:rPr>
              <w:t>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DF33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979BE">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28688">
            <w:pPr>
              <w:jc w:val="center"/>
            </w:pPr>
            <w:r>
              <w:rPr>
                <w:rFonts w:ascii="宋体" w:hAnsi="宋体" w:eastAsia="宋体"/>
                <w:sz w:val="16"/>
              </w:rPr>
              <w:t>5</w:t>
            </w:r>
          </w:p>
        </w:tc>
      </w:tr>
      <w:tr w14:paraId="222557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13CCC">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575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D48A3">
            <w:pPr>
              <w:jc w:val="center"/>
            </w:pPr>
            <w:r>
              <w:rPr>
                <w:rFonts w:ascii="宋体" w:hAnsi="宋体" w:eastAsia="宋体"/>
                <w:sz w:val="16"/>
              </w:rPr>
              <w:t>信访事项个数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25B6E">
            <w:pPr>
              <w:jc w:val="center"/>
            </w:pPr>
            <w:r>
              <w:rPr>
                <w:rFonts w:ascii="宋体" w:hAnsi="宋体" w:eastAsia="宋体"/>
                <w:sz w:val="16"/>
              </w:rPr>
              <w:t>&gt;=42件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704EA">
            <w:pPr>
              <w:jc w:val="center"/>
            </w:pPr>
            <w:r>
              <w:rPr>
                <w:rFonts w:ascii="宋体" w:hAnsi="宋体" w:eastAsia="宋体"/>
                <w:sz w:val="16"/>
              </w:rPr>
              <w:t>信访投诉受理服务中心2023年工作总结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37027">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75977">
            <w:pPr>
              <w:jc w:val="center"/>
            </w:pPr>
            <w:r>
              <w:rPr>
                <w:rFonts w:ascii="宋体" w:hAnsi="宋体" w:eastAsia="宋体"/>
                <w:sz w:val="16"/>
              </w:rPr>
              <w:t>=42件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E5152">
            <w:pPr>
              <w:jc w:val="center"/>
            </w:pPr>
            <w:r>
              <w:rPr>
                <w:rFonts w:ascii="宋体" w:hAnsi="宋体" w:eastAsia="宋体"/>
                <w:sz w:val="16"/>
              </w:rPr>
              <w:t>30</w:t>
            </w:r>
          </w:p>
        </w:tc>
      </w:tr>
      <w:tr w14:paraId="0E3D71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5AB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072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95DC4">
            <w:pPr>
              <w:jc w:val="center"/>
            </w:pPr>
            <w:r>
              <w:rPr>
                <w:rFonts w:ascii="宋体" w:hAnsi="宋体" w:eastAsia="宋体"/>
                <w:sz w:val="16"/>
              </w:rPr>
              <w:t>处理领导信箱来信件数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6417F">
            <w:pPr>
              <w:jc w:val="center"/>
            </w:pPr>
            <w:r>
              <w:rPr>
                <w:rFonts w:ascii="宋体" w:hAnsi="宋体" w:eastAsia="宋体"/>
                <w:sz w:val="16"/>
              </w:rPr>
              <w:t>&gt;=100件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B5F3B">
            <w:pPr>
              <w:jc w:val="center"/>
            </w:pPr>
            <w:r>
              <w:rPr>
                <w:rFonts w:ascii="宋体" w:hAnsi="宋体" w:eastAsia="宋体"/>
                <w:sz w:val="16"/>
              </w:rPr>
              <w:t>信访投诉受理服务中心2023年工作总结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15D36">
            <w:pPr>
              <w:jc w:val="center"/>
            </w:pPr>
            <w:r>
              <w:rPr>
                <w:rFonts w:ascii="宋体" w:hAnsi="宋体" w:eastAsia="宋体"/>
                <w:sz w:val="16"/>
              </w:rPr>
              <w:t>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678CC">
            <w:pPr>
              <w:jc w:val="center"/>
            </w:pPr>
            <w:r>
              <w:rPr>
                <w:rFonts w:ascii="宋体" w:hAnsi="宋体" w:eastAsia="宋体"/>
                <w:sz w:val="16"/>
              </w:rPr>
              <w:t>=94件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A0616">
            <w:pPr>
              <w:jc w:val="center"/>
            </w:pPr>
            <w:r>
              <w:rPr>
                <w:rFonts w:ascii="宋体" w:hAnsi="宋体" w:eastAsia="宋体"/>
                <w:sz w:val="16"/>
              </w:rPr>
              <w:t>25.38</w:t>
            </w:r>
          </w:p>
        </w:tc>
      </w:tr>
      <w:tr w14:paraId="3B059E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715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D6B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F77AE">
            <w:pPr>
              <w:jc w:val="center"/>
            </w:pPr>
            <w:r>
              <w:rPr>
                <w:rFonts w:ascii="宋体" w:hAnsi="宋体" w:eastAsia="宋体"/>
                <w:sz w:val="16"/>
              </w:rPr>
              <w:t>召开党员会议次数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D17F6">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CB830">
            <w:pPr>
              <w:jc w:val="center"/>
            </w:pPr>
            <w:r>
              <w:rPr>
                <w:rFonts w:ascii="宋体" w:hAnsi="宋体" w:eastAsia="宋体"/>
                <w:sz w:val="16"/>
              </w:rPr>
              <w:t>信访投诉受理服务中心2023年工作总结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C01B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61DB3">
            <w:pPr>
              <w:jc w:val="center"/>
            </w:pPr>
            <w:r>
              <w:rPr>
                <w:rFonts w:ascii="宋体" w:hAnsi="宋体" w:eastAsia="宋体"/>
                <w:sz w:val="16"/>
              </w:rPr>
              <w: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72100">
            <w:pPr>
              <w:jc w:val="center"/>
            </w:pPr>
            <w:r>
              <w:rPr>
                <w:rFonts w:ascii="宋体" w:hAnsi="宋体" w:eastAsia="宋体"/>
                <w:sz w:val="16"/>
              </w:rPr>
              <w:t>18</w:t>
            </w:r>
          </w:p>
        </w:tc>
      </w:tr>
    </w:tbl>
    <w:p w14:paraId="4AD29077">
      <w:r>
        <w:br w:type="page"/>
      </w:r>
    </w:p>
    <w:p w14:paraId="223417AB">
      <w:pPr>
        <w:spacing w:line="640" w:lineRule="exact"/>
        <w:ind w:firstLine="640"/>
        <w:jc w:val="both"/>
        <w:outlineLvl w:val="2"/>
      </w:pPr>
      <w:r>
        <w:rPr>
          <w:rFonts w:ascii="黑体" w:hAnsi="黑体" w:eastAsia="黑体"/>
          <w:sz w:val="32"/>
        </w:rPr>
        <w:t>十二、其他需说明的事项</w:t>
      </w:r>
    </w:p>
    <w:p w14:paraId="0E5A1E5A">
      <w:pPr>
        <w:spacing w:line="580" w:lineRule="exact"/>
        <w:ind w:firstLine="640"/>
        <w:jc w:val="both"/>
      </w:pPr>
      <w:r>
        <w:rPr>
          <w:rFonts w:ascii="仿宋_GB2312" w:hAnsi="仿宋_GB2312" w:eastAsia="仿宋_GB2312"/>
          <w:b w:val="0"/>
          <w:sz w:val="32"/>
        </w:rPr>
        <w:t>本单位无其他需说明的事项。</w:t>
      </w:r>
    </w:p>
    <w:p w14:paraId="59E4A8E5">
      <w:r>
        <w:br w:type="page"/>
      </w:r>
    </w:p>
    <w:p w14:paraId="29BC5EBE">
      <w:pPr>
        <w:spacing w:line="240" w:lineRule="auto"/>
        <w:jc w:val="center"/>
        <w:outlineLvl w:val="1"/>
      </w:pPr>
      <w:r>
        <w:rPr>
          <w:rFonts w:ascii="黑体" w:hAnsi="黑体" w:eastAsia="黑体"/>
          <w:sz w:val="32"/>
        </w:rPr>
        <w:t>第三部分 专业名词解释</w:t>
      </w:r>
    </w:p>
    <w:p w14:paraId="7690DCE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EEA7D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BEB1A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E1008A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34A7A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8433D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B3674E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9E55D8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14EBC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B335A2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6CD413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8AFF03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D16628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DD280A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B971D5">
      <w:r>
        <w:br w:type="page"/>
      </w:r>
    </w:p>
    <w:p w14:paraId="40BBA192">
      <w:pPr>
        <w:spacing w:line="240" w:lineRule="auto"/>
        <w:jc w:val="center"/>
        <w:outlineLvl w:val="1"/>
      </w:pPr>
      <w:r>
        <w:rPr>
          <w:rFonts w:ascii="黑体" w:hAnsi="黑体" w:eastAsia="黑体"/>
          <w:sz w:val="32"/>
        </w:rPr>
        <w:t>第四部分 部门决算报表（见附表）</w:t>
      </w:r>
    </w:p>
    <w:p w14:paraId="7035B689">
      <w:pPr>
        <w:spacing w:line="240" w:lineRule="auto"/>
        <w:ind w:firstLine="640"/>
        <w:jc w:val="both"/>
      </w:pPr>
      <w:r>
        <w:rPr>
          <w:rFonts w:ascii="仿宋_GB2312" w:hAnsi="仿宋_GB2312" w:eastAsia="仿宋_GB2312"/>
          <w:b w:val="0"/>
          <w:sz w:val="32"/>
        </w:rPr>
        <w:t>一、《收入支出决算总表》</w:t>
      </w:r>
    </w:p>
    <w:p w14:paraId="5704103D">
      <w:pPr>
        <w:spacing w:line="240" w:lineRule="auto"/>
        <w:ind w:firstLine="640"/>
        <w:jc w:val="both"/>
      </w:pPr>
      <w:r>
        <w:rPr>
          <w:rFonts w:ascii="仿宋_GB2312" w:hAnsi="仿宋_GB2312" w:eastAsia="仿宋_GB2312"/>
          <w:b w:val="0"/>
          <w:sz w:val="32"/>
        </w:rPr>
        <w:t>二、《收入决算表》</w:t>
      </w:r>
    </w:p>
    <w:p w14:paraId="4C38EC6B">
      <w:pPr>
        <w:spacing w:line="240" w:lineRule="auto"/>
        <w:ind w:firstLine="640"/>
        <w:jc w:val="both"/>
      </w:pPr>
      <w:r>
        <w:rPr>
          <w:rFonts w:ascii="仿宋_GB2312" w:hAnsi="仿宋_GB2312" w:eastAsia="仿宋_GB2312"/>
          <w:b w:val="0"/>
          <w:sz w:val="32"/>
        </w:rPr>
        <w:t>三、《支出决算表》</w:t>
      </w:r>
    </w:p>
    <w:p w14:paraId="1729E186">
      <w:pPr>
        <w:spacing w:line="240" w:lineRule="auto"/>
        <w:ind w:firstLine="640"/>
        <w:jc w:val="both"/>
      </w:pPr>
      <w:r>
        <w:rPr>
          <w:rFonts w:ascii="仿宋_GB2312" w:hAnsi="仿宋_GB2312" w:eastAsia="仿宋_GB2312"/>
          <w:b w:val="0"/>
          <w:sz w:val="32"/>
        </w:rPr>
        <w:t>四、《财政拨款收入支出决算总表》</w:t>
      </w:r>
    </w:p>
    <w:p w14:paraId="0135AA81">
      <w:pPr>
        <w:spacing w:line="240" w:lineRule="auto"/>
        <w:ind w:firstLine="640"/>
        <w:jc w:val="both"/>
      </w:pPr>
      <w:r>
        <w:rPr>
          <w:rFonts w:ascii="仿宋_GB2312" w:hAnsi="仿宋_GB2312" w:eastAsia="仿宋_GB2312"/>
          <w:b w:val="0"/>
          <w:sz w:val="32"/>
        </w:rPr>
        <w:t>五、《一般公共预算财政拨款支出决算表》</w:t>
      </w:r>
    </w:p>
    <w:p w14:paraId="3F5D3205">
      <w:pPr>
        <w:spacing w:line="240" w:lineRule="auto"/>
        <w:ind w:firstLine="640"/>
        <w:jc w:val="both"/>
      </w:pPr>
      <w:r>
        <w:rPr>
          <w:rFonts w:ascii="仿宋_GB2312" w:hAnsi="仿宋_GB2312" w:eastAsia="仿宋_GB2312"/>
          <w:b w:val="0"/>
          <w:sz w:val="32"/>
        </w:rPr>
        <w:t>六、《一般公共预算财政拨款基本支出决算表》</w:t>
      </w:r>
    </w:p>
    <w:p w14:paraId="5F1D4145">
      <w:pPr>
        <w:spacing w:line="240" w:lineRule="auto"/>
        <w:ind w:firstLine="640"/>
        <w:jc w:val="both"/>
      </w:pPr>
      <w:r>
        <w:rPr>
          <w:rFonts w:ascii="仿宋_GB2312" w:hAnsi="仿宋_GB2312" w:eastAsia="仿宋_GB2312"/>
          <w:b w:val="0"/>
          <w:sz w:val="32"/>
        </w:rPr>
        <w:t>七、《政府性基金预算财政拨款收入支出决算表》</w:t>
      </w:r>
    </w:p>
    <w:p w14:paraId="35433763">
      <w:pPr>
        <w:spacing w:line="240" w:lineRule="auto"/>
        <w:ind w:firstLine="640"/>
        <w:jc w:val="both"/>
      </w:pPr>
      <w:r>
        <w:rPr>
          <w:rFonts w:ascii="仿宋_GB2312" w:hAnsi="仿宋_GB2312" w:eastAsia="仿宋_GB2312"/>
          <w:b w:val="0"/>
          <w:sz w:val="32"/>
        </w:rPr>
        <w:t>八、《国有资本经营预算财政拨款收入支出决算表》</w:t>
      </w:r>
    </w:p>
    <w:p w14:paraId="520C5544">
      <w:pPr>
        <w:spacing w:line="240" w:lineRule="auto"/>
        <w:ind w:firstLine="640"/>
        <w:jc w:val="both"/>
      </w:pPr>
      <w:r>
        <w:rPr>
          <w:rFonts w:ascii="仿宋_GB2312" w:hAnsi="仿宋_GB2312" w:eastAsia="仿宋_GB2312"/>
          <w:b w:val="0"/>
          <w:sz w:val="32"/>
        </w:rPr>
        <w:t>九、《财政拨款“三公”经费支出决算表》</w:t>
      </w:r>
    </w:p>
    <w:p w14:paraId="3797B0B8">
      <w:pPr>
        <w:spacing w:line="240" w:lineRule="auto"/>
        <w:ind w:firstLine="640"/>
        <w:jc w:val="both"/>
      </w:pPr>
    </w:p>
    <w:p w14:paraId="247EE127">
      <w:pPr>
        <w:spacing w:line="240" w:lineRule="auto"/>
        <w:ind w:firstLine="640"/>
        <w:jc w:val="both"/>
      </w:pPr>
    </w:p>
    <w:p w14:paraId="5A9B7E86">
      <w:pPr>
        <w:spacing w:line="240" w:lineRule="auto"/>
        <w:ind w:firstLine="640"/>
        <w:jc w:val="both"/>
      </w:pPr>
    </w:p>
    <w:p w14:paraId="1F5025A4">
      <w:pPr>
        <w:spacing w:line="240" w:lineRule="auto"/>
        <w:ind w:firstLine="640"/>
        <w:jc w:val="both"/>
      </w:pPr>
    </w:p>
    <w:p w14:paraId="0AC25E2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63B0FD-DC11-491B-BAA2-570595F833C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5AE6544-797A-4E10-B35E-46781BB88C6A}"/>
  </w:font>
  <w:font w:name="仿宋_GB2312">
    <w:panose1 w:val="02010609030101010101"/>
    <w:charset w:val="86"/>
    <w:family w:val="modern"/>
    <w:pitch w:val="default"/>
    <w:sig w:usb0="00000001" w:usb1="080E0000" w:usb2="00000000" w:usb3="00000000" w:csb0="00040000" w:csb1="00000000"/>
    <w:embedRegular r:id="rId3" w:fontKey="{15447E41-19A0-4471-BBE7-DA234F586E1E}"/>
  </w:font>
  <w:font w:name="楷体_GB2312">
    <w:panose1 w:val="02010609030101010101"/>
    <w:charset w:val="86"/>
    <w:family w:val="auto"/>
    <w:pitch w:val="default"/>
    <w:sig w:usb0="00000001" w:usb1="080E0000" w:usb2="00000000" w:usb3="00000000" w:csb0="00040000" w:csb1="00000000"/>
    <w:embedRegular r:id="rId4" w:fontKey="{E874D1F3-99D9-4813-BABD-6AA9B8FD26E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9CF26A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246A5B"/>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6886</Words>
  <Characters>7667</Characters>
  <Lines>0</Lines>
  <Paragraphs>0</Paragraphs>
  <TotalTime>6</TotalTime>
  <ScaleCrop>false</ScaleCrop>
  <LinksUpToDate>false</LinksUpToDate>
  <CharactersWithSpaces>7678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2025-10-14T03:46:48Z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