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中国人民政治协商会议吉木萨尔县委员会办公室2024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F07B05">
      <w:r>
        <w:br w:type="page"/>
      </w:r>
    </w:p>
    <w:p w14:paraId="08C99DDB">
      <w:pPr>
        <w:spacing w:line="640" w:lineRule="exact"/>
        <w:jc w:val="center"/>
        <w:outlineLvl w:val="1"/>
      </w:pPr>
      <w:r>
        <w:rPr>
          <w:rFonts w:ascii="黑体" w:hAnsi="黑体" w:eastAsia="黑体"/>
          <w:sz w:val="32"/>
        </w:rPr>
        <w:t>第一部分 单位概况</w:t>
      </w:r>
    </w:p>
    <w:p w14:paraId="1FE44B81">
      <w:pPr>
        <w:spacing w:line="640" w:lineRule="exact"/>
        <w:ind w:firstLine="640"/>
        <w:jc w:val="both"/>
        <w:outlineLvl w:val="2"/>
      </w:pPr>
      <w:r>
        <w:rPr>
          <w:rFonts w:ascii="黑体" w:hAnsi="黑体" w:eastAsia="黑体"/>
          <w:sz w:val="32"/>
        </w:rPr>
        <w:t>一、主要职能</w:t>
      </w:r>
    </w:p>
    <w:p w14:paraId="12287433">
      <w:pPr>
        <w:spacing w:line="580" w:lineRule="exact"/>
        <w:ind w:firstLine="640"/>
        <w:jc w:val="both"/>
      </w:pPr>
      <w:r>
        <w:rPr>
          <w:rFonts w:ascii="仿宋_GB2312" w:hAnsi="仿宋_GB2312" w:eastAsia="仿宋_GB2312"/>
          <w:sz w:val="32"/>
        </w:rPr>
        <w:t>负责县政协全体会议、常委会会议、主席会议、党组会议的文秘工作与会务组织等工作。</w:t>
      </w:r>
    </w:p>
    <w:p w14:paraId="35628E07">
      <w:pPr>
        <w:spacing w:line="580" w:lineRule="exact"/>
        <w:ind w:firstLine="640"/>
        <w:jc w:val="both"/>
      </w:pPr>
      <w:r>
        <w:rPr>
          <w:rFonts w:ascii="仿宋_GB2312" w:hAnsi="仿宋_GB2312" w:eastAsia="仿宋_GB2312"/>
          <w:sz w:val="32"/>
        </w:rPr>
        <w:t>负责督查县政协全体会议、常委会会议、主席会议、党组会议的决议、决定的实施工作。</w:t>
      </w:r>
    </w:p>
    <w:p w14:paraId="1C4057B8">
      <w:pPr>
        <w:spacing w:line="580" w:lineRule="exact"/>
        <w:ind w:firstLine="640"/>
        <w:jc w:val="both"/>
      </w:pPr>
      <w:r>
        <w:rPr>
          <w:rFonts w:ascii="仿宋_GB2312" w:hAnsi="仿宋_GB2312" w:eastAsia="仿宋_GB2312"/>
          <w:sz w:val="32"/>
        </w:rPr>
        <w:t>研究、宣传统一战线和人民政协的理论政策，研究总结政协工作经验。组织安排政协委员集中学习，传达上级有关重要会议精神，举办报告会、通报会、座谈会等。</w:t>
      </w:r>
    </w:p>
    <w:p w14:paraId="411F9715">
      <w:pPr>
        <w:spacing w:line="580" w:lineRule="exact"/>
        <w:ind w:firstLine="640"/>
        <w:jc w:val="both"/>
      </w:pPr>
      <w:r>
        <w:rPr>
          <w:rFonts w:ascii="仿宋_GB2312" w:hAnsi="仿宋_GB2312" w:eastAsia="仿宋_GB2312"/>
          <w:sz w:val="32"/>
        </w:rPr>
        <w:t>负责各专门委员会组织的委员视察、考察、调查、座谈、研讨等活动的后勤保障工作。</w:t>
      </w:r>
    </w:p>
    <w:p w14:paraId="473DD032">
      <w:pPr>
        <w:spacing w:line="580" w:lineRule="exact"/>
        <w:ind w:firstLine="640"/>
        <w:jc w:val="both"/>
      </w:pPr>
      <w:r>
        <w:rPr>
          <w:rFonts w:ascii="仿宋_GB2312" w:hAnsi="仿宋_GB2312" w:eastAsia="仿宋_GB2312"/>
          <w:sz w:val="32"/>
        </w:rPr>
        <w:t>收集、反映社会各界人士的意见和建议。</w:t>
      </w:r>
    </w:p>
    <w:p w14:paraId="7DA016B0">
      <w:pPr>
        <w:spacing w:line="580" w:lineRule="exact"/>
        <w:ind w:firstLine="640"/>
        <w:jc w:val="both"/>
      </w:pPr>
      <w:r>
        <w:rPr>
          <w:rFonts w:ascii="仿宋_GB2312" w:hAnsi="仿宋_GB2312" w:eastAsia="仿宋_GB2312"/>
          <w:sz w:val="32"/>
        </w:rPr>
        <w:t>负责与县委</w:t>
      </w:r>
      <w:r>
        <w:rPr>
          <w:rFonts w:hint="eastAsia" w:ascii="仿宋_GB2312" w:hAnsi="仿宋_GB2312" w:eastAsia="仿宋_GB2312"/>
          <w:sz w:val="32"/>
          <w:lang w:eastAsia="zh-CN"/>
        </w:rPr>
        <w:t>、县</w:t>
      </w:r>
      <w:r>
        <w:rPr>
          <w:rFonts w:ascii="仿宋_GB2312" w:hAnsi="仿宋_GB2312" w:eastAsia="仿宋_GB2312"/>
          <w:sz w:val="32"/>
        </w:rPr>
        <w:t>人大</w:t>
      </w:r>
      <w:r>
        <w:rPr>
          <w:rFonts w:hint="eastAsia" w:ascii="仿宋_GB2312" w:hAnsi="仿宋_GB2312" w:eastAsia="仿宋_GB2312"/>
          <w:sz w:val="32"/>
          <w:lang w:eastAsia="zh-CN"/>
        </w:rPr>
        <w:t>、县</w:t>
      </w:r>
      <w:r>
        <w:rPr>
          <w:rFonts w:ascii="仿宋_GB2312" w:hAnsi="仿宋_GB2312" w:eastAsia="仿宋_GB2312"/>
          <w:sz w:val="32"/>
        </w:rPr>
        <w:t>政府</w:t>
      </w:r>
      <w:r>
        <w:rPr>
          <w:rFonts w:hint="eastAsia" w:ascii="仿宋_GB2312" w:hAnsi="仿宋_GB2312" w:eastAsia="仿宋_GB2312"/>
          <w:sz w:val="32"/>
          <w:lang w:eastAsia="zh-CN"/>
        </w:rPr>
        <w:t>、县</w:t>
      </w:r>
      <w:r>
        <w:rPr>
          <w:rFonts w:ascii="仿宋_GB2312" w:hAnsi="仿宋_GB2312" w:eastAsia="仿宋_GB2312"/>
          <w:sz w:val="32"/>
        </w:rPr>
        <w:t>纪检委的工作联系。</w:t>
      </w:r>
    </w:p>
    <w:p w14:paraId="70C669C0">
      <w:pPr>
        <w:spacing w:line="580" w:lineRule="exact"/>
        <w:ind w:firstLine="640"/>
        <w:jc w:val="both"/>
      </w:pPr>
      <w:r>
        <w:rPr>
          <w:rFonts w:ascii="仿宋_GB2312" w:hAnsi="仿宋_GB2312" w:eastAsia="仿宋_GB2312"/>
          <w:sz w:val="32"/>
        </w:rPr>
        <w:t>负责政协系统的联络接待工作。</w:t>
      </w:r>
    </w:p>
    <w:p w14:paraId="59487639">
      <w:pPr>
        <w:spacing w:line="640" w:lineRule="exact"/>
        <w:ind w:firstLine="640"/>
        <w:jc w:val="both"/>
        <w:outlineLvl w:val="2"/>
      </w:pPr>
      <w:r>
        <w:rPr>
          <w:rFonts w:ascii="黑体" w:hAnsi="黑体" w:eastAsia="黑体"/>
          <w:sz w:val="32"/>
        </w:rPr>
        <w:t>二、机构设置及人员情况</w:t>
      </w:r>
    </w:p>
    <w:p w14:paraId="688A99DA">
      <w:pPr>
        <w:spacing w:line="580" w:lineRule="exact"/>
        <w:ind w:firstLine="640"/>
        <w:jc w:val="both"/>
      </w:pPr>
      <w:r>
        <w:rPr>
          <w:rFonts w:ascii="仿宋_GB2312" w:hAnsi="仿宋_GB2312" w:eastAsia="仿宋_GB2312"/>
          <w:sz w:val="32"/>
        </w:rPr>
        <w:t>中国人民政治协商会议吉木萨尔县委员会办公室2024年度，实有人数47人，其中：在职人员17人，增加0人；离休人员0人，增加0人；退休人员30人,增加2人。</w:t>
      </w:r>
      <w:bookmarkStart w:id="0" w:name="_GoBack"/>
      <w:bookmarkEnd w:id="0"/>
    </w:p>
    <w:p w14:paraId="57C7CC80">
      <w:pPr>
        <w:spacing w:line="580" w:lineRule="exact"/>
        <w:ind w:firstLine="640"/>
        <w:jc w:val="both"/>
      </w:pPr>
      <w:r>
        <w:rPr>
          <w:rFonts w:ascii="仿宋_GB2312" w:hAnsi="仿宋_GB2312" w:eastAsia="仿宋_GB2312"/>
          <w:sz w:val="32"/>
        </w:rPr>
        <w:t>中国人民政治协商会议吉木萨尔县委员会办公室无下属预算单位，下设5个科室，分别是：政协办公室、提案法制民族宗教社会侨务委员会、经济科技资源环境委员会、教育卫生文化文史委员会、政协委员联络中心。</w:t>
      </w:r>
    </w:p>
    <w:p w14:paraId="6E1E61D1">
      <w:r>
        <w:br w:type="page"/>
      </w:r>
    </w:p>
    <w:p w14:paraId="17079820">
      <w:pPr>
        <w:spacing w:line="240" w:lineRule="auto"/>
        <w:jc w:val="center"/>
        <w:outlineLvl w:val="1"/>
      </w:pPr>
      <w:r>
        <w:rPr>
          <w:rFonts w:ascii="黑体" w:hAnsi="黑体" w:eastAsia="黑体"/>
          <w:sz w:val="32"/>
        </w:rPr>
        <w:t>第二部分 部门决算情况说明</w:t>
      </w:r>
    </w:p>
    <w:p w14:paraId="470A78C9">
      <w:pPr>
        <w:spacing w:line="640" w:lineRule="exact"/>
        <w:ind w:firstLine="640"/>
        <w:jc w:val="both"/>
        <w:outlineLvl w:val="2"/>
      </w:pPr>
      <w:r>
        <w:rPr>
          <w:rFonts w:ascii="黑体" w:hAnsi="黑体" w:eastAsia="黑体"/>
          <w:sz w:val="32"/>
        </w:rPr>
        <w:t>一、收入支出决算总体情况说明</w:t>
      </w:r>
    </w:p>
    <w:p w14:paraId="5C4B346C">
      <w:pPr>
        <w:spacing w:line="580" w:lineRule="exact"/>
        <w:ind w:firstLine="640"/>
        <w:jc w:val="both"/>
      </w:pPr>
      <w:r>
        <w:rPr>
          <w:rFonts w:ascii="仿宋_GB2312" w:hAnsi="仿宋_GB2312" w:eastAsia="仿宋_GB2312"/>
          <w:b/>
          <w:sz w:val="32"/>
        </w:rPr>
        <w:t>2024年度收入总计469.96万元，</w:t>
      </w:r>
      <w:r>
        <w:rPr>
          <w:rFonts w:ascii="仿宋_GB2312" w:hAnsi="仿宋_GB2312" w:eastAsia="仿宋_GB2312"/>
          <w:b w:val="0"/>
          <w:sz w:val="32"/>
        </w:rPr>
        <w:t>其中：本年收入合计457.58万元，使用非财政拨款结余（含专用结余）0.00万元，年初结转和结余12.38万元。</w:t>
      </w:r>
    </w:p>
    <w:p w14:paraId="2431234B">
      <w:pPr>
        <w:spacing w:line="580" w:lineRule="exact"/>
        <w:ind w:firstLine="640"/>
        <w:jc w:val="both"/>
      </w:pPr>
      <w:r>
        <w:rPr>
          <w:rFonts w:ascii="仿宋_GB2312" w:hAnsi="仿宋_GB2312" w:eastAsia="仿宋_GB2312"/>
          <w:b/>
          <w:sz w:val="32"/>
        </w:rPr>
        <w:t>2024年度支出总计469.96万元，</w:t>
      </w:r>
      <w:r>
        <w:rPr>
          <w:rFonts w:ascii="仿宋_GB2312" w:hAnsi="仿宋_GB2312" w:eastAsia="仿宋_GB2312"/>
          <w:b w:val="0"/>
          <w:sz w:val="32"/>
        </w:rPr>
        <w:t>其中：本年支出合计457.59万元，结余分配0.00万元，年末结转和结余12.37万元。</w:t>
      </w:r>
    </w:p>
    <w:p w14:paraId="3EB61D9A">
      <w:pPr>
        <w:spacing w:line="580" w:lineRule="exact"/>
        <w:ind w:firstLine="640"/>
        <w:jc w:val="both"/>
      </w:pPr>
      <w:r>
        <w:rPr>
          <w:rFonts w:ascii="仿宋_GB2312" w:hAnsi="仿宋_GB2312" w:eastAsia="仿宋_GB2312"/>
          <w:b w:val="0"/>
          <w:sz w:val="32"/>
        </w:rPr>
        <w:t>收入支出总体与上年相比，减少29.84万元，下降5.97%，主要原因是：本年减少税务退款收入；本年在职人员转退休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调入，人员职级不同，基数不同</w:t>
      </w:r>
      <w:r>
        <w:rPr>
          <w:rFonts w:ascii="仿宋_GB2312" w:hAnsi="仿宋_GB2312" w:eastAsia="仿宋_GB2312"/>
          <w:b w:val="0"/>
          <w:sz w:val="32"/>
        </w:rPr>
        <w:t>，相关经费减少；因退休人员医疗保险制度改革，退休人员基本医疗不再由单位缴纳，导致经费较上年减少。</w:t>
      </w:r>
    </w:p>
    <w:p w14:paraId="16F0AD25">
      <w:pPr>
        <w:spacing w:line="640" w:lineRule="exact"/>
        <w:ind w:firstLine="640"/>
        <w:jc w:val="both"/>
        <w:outlineLvl w:val="2"/>
      </w:pPr>
      <w:r>
        <w:rPr>
          <w:rFonts w:ascii="黑体" w:hAnsi="黑体" w:eastAsia="黑体"/>
          <w:sz w:val="32"/>
        </w:rPr>
        <w:t>二、收入决算情况说明</w:t>
      </w:r>
    </w:p>
    <w:p w14:paraId="43B65C78">
      <w:pPr>
        <w:spacing w:line="580" w:lineRule="exact"/>
        <w:ind w:firstLine="640"/>
        <w:jc w:val="both"/>
      </w:pPr>
      <w:r>
        <w:rPr>
          <w:rFonts w:ascii="仿宋_GB2312" w:hAnsi="仿宋_GB2312" w:eastAsia="仿宋_GB2312"/>
          <w:b/>
          <w:sz w:val="32"/>
        </w:rPr>
        <w:t>本年收入457.58万元，</w:t>
      </w:r>
      <w:r>
        <w:rPr>
          <w:rFonts w:ascii="仿宋_GB2312" w:hAnsi="仿宋_GB2312" w:eastAsia="仿宋_GB2312"/>
          <w:b w:val="0"/>
          <w:sz w:val="32"/>
        </w:rPr>
        <w:t>其中：财政拨款收入457.56万元，占100.00%；上级补助收入0.00万元，占0.00%；事业收入0.00万元，占0.00%；经营收入0.00万元，占0.00%；附属单位上缴收入0.00万元，占0.00%；其他收入0.02万元，占0.004%。</w:t>
      </w:r>
    </w:p>
    <w:p w14:paraId="0B31354E">
      <w:pPr>
        <w:spacing w:line="640" w:lineRule="exact"/>
        <w:ind w:firstLine="640"/>
        <w:jc w:val="both"/>
        <w:outlineLvl w:val="2"/>
      </w:pPr>
      <w:r>
        <w:rPr>
          <w:rFonts w:ascii="黑体" w:hAnsi="黑体" w:eastAsia="黑体"/>
          <w:sz w:val="32"/>
        </w:rPr>
        <w:t>三、支出决算情况说明</w:t>
      </w:r>
    </w:p>
    <w:p w14:paraId="2363D6B5">
      <w:pPr>
        <w:spacing w:line="580" w:lineRule="exact"/>
        <w:ind w:firstLine="640"/>
        <w:jc w:val="both"/>
      </w:pPr>
      <w:r>
        <w:rPr>
          <w:rFonts w:ascii="仿宋_GB2312" w:hAnsi="仿宋_GB2312" w:eastAsia="仿宋_GB2312"/>
          <w:b/>
          <w:sz w:val="32"/>
        </w:rPr>
        <w:t>本年支出457.59万元，</w:t>
      </w:r>
      <w:r>
        <w:rPr>
          <w:rFonts w:ascii="仿宋_GB2312" w:hAnsi="仿宋_GB2312" w:eastAsia="仿宋_GB2312"/>
          <w:b w:val="0"/>
          <w:sz w:val="32"/>
        </w:rPr>
        <w:t>其中：基本支出439.26万元，占95.99%；项目支出18.34万元，占4.01%；上缴上级支出0.00万元，占0.00%；经营支出0.00万元，占0.00%；对附属单位补助支出0.00万元，占0.00%。</w:t>
      </w:r>
    </w:p>
    <w:p w14:paraId="0E269DA6">
      <w:pPr>
        <w:spacing w:line="640" w:lineRule="exact"/>
        <w:ind w:firstLine="640"/>
        <w:jc w:val="both"/>
        <w:outlineLvl w:val="2"/>
      </w:pPr>
      <w:r>
        <w:rPr>
          <w:rFonts w:ascii="黑体" w:hAnsi="黑体" w:eastAsia="黑体"/>
          <w:sz w:val="32"/>
        </w:rPr>
        <w:t>四、财政拨款收入支出决算总体情况说明</w:t>
      </w:r>
    </w:p>
    <w:p w14:paraId="0DDD5275">
      <w:pPr>
        <w:spacing w:line="580" w:lineRule="exact"/>
        <w:ind w:firstLine="640"/>
        <w:jc w:val="both"/>
      </w:pPr>
      <w:r>
        <w:rPr>
          <w:rFonts w:ascii="仿宋_GB2312" w:hAnsi="仿宋_GB2312" w:eastAsia="仿宋_GB2312"/>
          <w:b/>
          <w:sz w:val="32"/>
        </w:rPr>
        <w:t>2024年度财政拨款收入总计457.56万元，</w:t>
      </w:r>
      <w:r>
        <w:rPr>
          <w:rFonts w:ascii="仿宋_GB2312" w:hAnsi="仿宋_GB2312" w:eastAsia="仿宋_GB2312"/>
          <w:b w:val="0"/>
          <w:sz w:val="32"/>
        </w:rPr>
        <w:t>其中：年初财政拨款结转和结余0.00万元，本年财政拨款收入457.56万元。</w:t>
      </w:r>
      <w:r>
        <w:rPr>
          <w:rFonts w:ascii="仿宋_GB2312" w:hAnsi="仿宋_GB2312" w:eastAsia="仿宋_GB2312"/>
          <w:b/>
          <w:sz w:val="32"/>
        </w:rPr>
        <w:t>财政拨款支出总计457.56万元，</w:t>
      </w:r>
      <w:r>
        <w:rPr>
          <w:rFonts w:ascii="仿宋_GB2312" w:hAnsi="仿宋_GB2312" w:eastAsia="仿宋_GB2312"/>
          <w:b w:val="0"/>
          <w:sz w:val="32"/>
        </w:rPr>
        <w:t>其中：年末财政拨款结转和结余0.00万元，本年财政拨款支出457.56万元。</w:t>
      </w:r>
    </w:p>
    <w:p w14:paraId="5BF7134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减少29.57万元，下降6.07%，主要原因是：本年在职人员转退休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调入，人员职级不同，基数不同</w:t>
      </w:r>
      <w:r>
        <w:rPr>
          <w:rFonts w:ascii="仿宋_GB2312" w:hAnsi="仿宋_GB2312" w:eastAsia="仿宋_GB2312"/>
          <w:b w:val="0"/>
          <w:sz w:val="32"/>
        </w:rPr>
        <w:t>，相关经费减少；因退休人员医疗保险制度改革，退休人员基本医疗不再由单位缴纳，导致经费较上年减少。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年初预算数481.51万元，决算数457.56万元，预决算差异率-4.97%，主要原因是：本年在职人员转退休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调入，人员职级不同，基数不同</w:t>
      </w:r>
      <w:r>
        <w:rPr>
          <w:rFonts w:ascii="仿宋_GB2312" w:hAnsi="仿宋_GB2312" w:eastAsia="仿宋_GB2312"/>
          <w:b w:val="0"/>
          <w:sz w:val="32"/>
        </w:rPr>
        <w:t>，</w:t>
      </w:r>
      <w:r>
        <w:rPr>
          <w:rFonts w:hint="eastAsia" w:ascii="仿宋_GB2312" w:hAnsi="仿宋_GB2312" w:eastAsia="仿宋_GB2312"/>
          <w:b w:val="0"/>
          <w:sz w:val="32"/>
          <w:lang w:val="en-US" w:eastAsia="zh-CN"/>
        </w:rPr>
        <w:t>年中调减人员经费</w:t>
      </w:r>
      <w:r>
        <w:rPr>
          <w:rFonts w:ascii="仿宋_GB2312" w:hAnsi="仿宋_GB2312" w:eastAsia="仿宋_GB2312"/>
          <w:b w:val="0"/>
          <w:sz w:val="32"/>
        </w:rPr>
        <w:t>。</w:t>
      </w:r>
    </w:p>
    <w:p w14:paraId="117B6FA5">
      <w:pPr>
        <w:spacing w:line="640" w:lineRule="exact"/>
        <w:ind w:firstLine="640"/>
        <w:jc w:val="both"/>
        <w:outlineLvl w:val="2"/>
      </w:pPr>
      <w:r>
        <w:rPr>
          <w:rFonts w:ascii="黑体" w:hAnsi="黑体" w:eastAsia="黑体"/>
          <w:sz w:val="32"/>
        </w:rPr>
        <w:t>五、一般公共预算财政拨款支出决算情况说明</w:t>
      </w:r>
    </w:p>
    <w:p w14:paraId="27DEC335">
      <w:pPr>
        <w:spacing w:line="640" w:lineRule="exact"/>
        <w:ind w:firstLine="640"/>
        <w:jc w:val="both"/>
        <w:outlineLvl w:val="3"/>
      </w:pPr>
      <w:r>
        <w:rPr>
          <w:rFonts w:ascii="楷体_GB2312" w:hAnsi="楷体_GB2312" w:eastAsia="楷体_GB2312"/>
          <w:b/>
          <w:sz w:val="32"/>
        </w:rPr>
        <w:t>（一）一般公共预算财政拨款支出决算总体情况</w:t>
      </w:r>
    </w:p>
    <w:p w14:paraId="47E2C392">
      <w:pPr>
        <w:spacing w:line="580" w:lineRule="exact"/>
        <w:ind w:firstLine="640"/>
        <w:jc w:val="both"/>
      </w:pPr>
      <w:r>
        <w:rPr>
          <w:rFonts w:ascii="仿宋_GB2312" w:hAnsi="仿宋_GB2312" w:eastAsia="仿宋_GB2312"/>
          <w:b/>
          <w:sz w:val="32"/>
        </w:rPr>
        <w:t>2024年度一般公共预算财政拨款支出457.56万元，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减少29.57万元，下降6.07%，主要原因是：本年在职人员转退休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调入，人员职级不同，基数不同</w:t>
      </w:r>
      <w:r>
        <w:rPr>
          <w:rFonts w:ascii="仿宋_GB2312" w:hAnsi="仿宋_GB2312" w:eastAsia="仿宋_GB2312"/>
          <w:b w:val="0"/>
          <w:sz w:val="32"/>
        </w:rPr>
        <w:t>，相关经费减少；因退休人员医疗保险制度改革，退休人员基本医疗不再由单位缴纳，导致经费较上年减少。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年初预算数481.51万元，决算数457.56万元，预决算差异率-4.97%，主要原因是：本年在职人员转退休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调入，人员职级不同，基数不同</w:t>
      </w:r>
      <w:r>
        <w:rPr>
          <w:rFonts w:ascii="仿宋_GB2312" w:hAnsi="仿宋_GB2312" w:eastAsia="仿宋_GB2312"/>
          <w:b w:val="0"/>
          <w:sz w:val="32"/>
        </w:rPr>
        <w:t>，</w:t>
      </w:r>
      <w:r>
        <w:rPr>
          <w:rFonts w:hint="eastAsia" w:ascii="仿宋_GB2312" w:hAnsi="仿宋_GB2312" w:eastAsia="仿宋_GB2312"/>
          <w:b w:val="0"/>
          <w:sz w:val="32"/>
          <w:lang w:val="en-US" w:eastAsia="zh-CN"/>
        </w:rPr>
        <w:t>年中调减人员经费</w:t>
      </w:r>
      <w:r>
        <w:rPr>
          <w:rFonts w:ascii="仿宋_GB2312" w:hAnsi="仿宋_GB2312" w:eastAsia="仿宋_GB2312"/>
          <w:b w:val="0"/>
          <w:sz w:val="32"/>
        </w:rPr>
        <w:t>。</w:t>
      </w:r>
    </w:p>
    <w:p w14:paraId="5A5B928B">
      <w:pPr>
        <w:spacing w:line="640" w:lineRule="exact"/>
        <w:ind w:firstLine="640"/>
        <w:jc w:val="both"/>
        <w:outlineLvl w:val="3"/>
      </w:pPr>
      <w:r>
        <w:rPr>
          <w:rFonts w:ascii="楷体_GB2312" w:hAnsi="楷体_GB2312" w:eastAsia="楷体_GB2312"/>
          <w:b/>
          <w:sz w:val="32"/>
        </w:rPr>
        <w:t>（二）一般公共预算财政拨款支出决算结构情况</w:t>
      </w:r>
    </w:p>
    <w:p w14:paraId="7D4504E8">
      <w:pPr>
        <w:spacing w:line="580" w:lineRule="exact"/>
        <w:ind w:firstLine="640"/>
        <w:jc w:val="both"/>
      </w:pPr>
      <w:r>
        <w:rPr>
          <w:rFonts w:ascii="仿宋_GB2312" w:hAnsi="仿宋_GB2312" w:eastAsia="仿宋_GB2312"/>
          <w:b w:val="0"/>
          <w:sz w:val="32"/>
        </w:rPr>
        <w:t>1.一般公共服务支出(类)342.17万元,占74.78%。</w:t>
      </w:r>
    </w:p>
    <w:p w14:paraId="4862F992">
      <w:pPr>
        <w:spacing w:line="580" w:lineRule="exact"/>
        <w:ind w:firstLine="640"/>
        <w:jc w:val="both"/>
      </w:pPr>
      <w:r>
        <w:rPr>
          <w:rFonts w:ascii="仿宋_GB2312" w:hAnsi="仿宋_GB2312" w:eastAsia="仿宋_GB2312"/>
          <w:b w:val="0"/>
          <w:sz w:val="32"/>
        </w:rPr>
        <w:t>2.科学技术支出(类)1.80万元,占0.39%。</w:t>
      </w:r>
    </w:p>
    <w:p w14:paraId="6CC4734F">
      <w:pPr>
        <w:spacing w:line="580" w:lineRule="exact"/>
        <w:ind w:firstLine="640"/>
        <w:jc w:val="both"/>
      </w:pPr>
      <w:r>
        <w:rPr>
          <w:rFonts w:ascii="仿宋_GB2312" w:hAnsi="仿宋_GB2312" w:eastAsia="仿宋_GB2312"/>
          <w:b w:val="0"/>
          <w:sz w:val="32"/>
        </w:rPr>
        <w:t>3.社会保障和就业支出(类)73.99万元,占16.17%。</w:t>
      </w:r>
    </w:p>
    <w:p w14:paraId="653140F1">
      <w:pPr>
        <w:spacing w:line="580" w:lineRule="exact"/>
        <w:ind w:firstLine="640"/>
        <w:jc w:val="both"/>
      </w:pPr>
      <w:r>
        <w:rPr>
          <w:rFonts w:ascii="仿宋_GB2312" w:hAnsi="仿宋_GB2312" w:eastAsia="仿宋_GB2312"/>
          <w:b w:val="0"/>
          <w:sz w:val="32"/>
        </w:rPr>
        <w:t>4.卫生健康支出(类)16.09万元,占3.52%。</w:t>
      </w:r>
    </w:p>
    <w:p w14:paraId="6838AC37">
      <w:pPr>
        <w:spacing w:line="580" w:lineRule="exact"/>
        <w:ind w:firstLine="640"/>
        <w:jc w:val="both"/>
      </w:pPr>
      <w:r>
        <w:rPr>
          <w:rFonts w:ascii="仿宋_GB2312" w:hAnsi="仿宋_GB2312" w:eastAsia="仿宋_GB2312"/>
          <w:b w:val="0"/>
          <w:sz w:val="32"/>
        </w:rPr>
        <w:t>5.住房保障支出(类)23.51万元,占5.14%。</w:t>
      </w:r>
    </w:p>
    <w:p w14:paraId="6AD32C2C">
      <w:pPr>
        <w:spacing w:line="640" w:lineRule="exact"/>
        <w:ind w:firstLine="640"/>
        <w:jc w:val="both"/>
        <w:outlineLvl w:val="3"/>
      </w:pPr>
      <w:r>
        <w:rPr>
          <w:rFonts w:ascii="楷体_GB2312" w:hAnsi="楷体_GB2312" w:eastAsia="楷体_GB2312"/>
          <w:b/>
          <w:sz w:val="32"/>
        </w:rPr>
        <w:t>（三）一般公共预算财政拨款支出决算具体情况</w:t>
      </w:r>
    </w:p>
    <w:p w14:paraId="78811A04">
      <w:pPr>
        <w:spacing w:line="580" w:lineRule="exact"/>
        <w:ind w:firstLine="640"/>
        <w:jc w:val="both"/>
      </w:pPr>
      <w:r>
        <w:rPr>
          <w:rFonts w:ascii="仿宋_GB2312" w:hAnsi="仿宋_GB2312" w:eastAsia="仿宋_GB2312"/>
          <w:b w:val="0"/>
          <w:sz w:val="32"/>
        </w:rPr>
        <w:t>1.一般公共服务支出(类)政协事务(款)行政运行(项):支出决算数为270.04万元，比上年决算减少34.34万元，下降11.28%,主要原因是：本年在职人员调入</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退休</w:t>
      </w:r>
      <w:r>
        <w:rPr>
          <w:rFonts w:ascii="仿宋_GB2312" w:hAnsi="仿宋_GB2312" w:eastAsia="仿宋_GB2312"/>
          <w:b w:val="0"/>
          <w:sz w:val="32"/>
        </w:rPr>
        <w:t>，人员职级不同，工资基数不同，导致人员经费较上年减少。</w:t>
      </w:r>
    </w:p>
    <w:p w14:paraId="6255212E">
      <w:pPr>
        <w:spacing w:line="580" w:lineRule="exact"/>
        <w:ind w:firstLine="640"/>
        <w:jc w:val="both"/>
      </w:pPr>
      <w:r>
        <w:rPr>
          <w:rFonts w:ascii="仿宋_GB2312" w:hAnsi="仿宋_GB2312" w:eastAsia="仿宋_GB2312"/>
          <w:b w:val="0"/>
          <w:sz w:val="32"/>
        </w:rPr>
        <w:t>2.一般公共服务支出(类)政协事务(款)一般行政管理事务(项):支出决算数为0.78万元，比上年决算增加0.00万元，增长0.00%,主要原因是：本年政协委员活动经费与上年支出保持一致，无变化。</w:t>
      </w:r>
    </w:p>
    <w:p w14:paraId="08DA61B0">
      <w:pPr>
        <w:spacing w:line="580" w:lineRule="exact"/>
        <w:ind w:firstLine="640"/>
        <w:jc w:val="both"/>
      </w:pPr>
      <w:r>
        <w:rPr>
          <w:rFonts w:ascii="仿宋_GB2312" w:hAnsi="仿宋_GB2312" w:eastAsia="仿宋_GB2312"/>
          <w:b w:val="0"/>
          <w:sz w:val="32"/>
        </w:rPr>
        <w:t>3.一般公共服务支出(类)政协事务(款)事业运行(项):支出决算数为53.79万元，比上年决算增加0.71万元，增长1.34%,主要原因是：本年在职人员工资调增，导致相关人员经费较上年有所增加。</w:t>
      </w:r>
    </w:p>
    <w:p w14:paraId="69B70025">
      <w:pPr>
        <w:spacing w:line="580" w:lineRule="exact"/>
        <w:ind w:firstLine="640"/>
        <w:jc w:val="both"/>
      </w:pPr>
      <w:r>
        <w:rPr>
          <w:rFonts w:ascii="仿宋_GB2312" w:hAnsi="仿宋_GB2312" w:eastAsia="仿宋_GB2312"/>
          <w:b w:val="0"/>
          <w:sz w:val="32"/>
        </w:rPr>
        <w:t>4.一般公共服务支出(类)政协事务(款)其他政协事务支出(项):支出决算数为17.56万元，比上年决算增加6.21万元，增长54.71%,主要原因是：本年新增吉木萨尔县北庭文史厦门援疆篇出版印刷项目，导致经费较上年增加。</w:t>
      </w:r>
    </w:p>
    <w:p w14:paraId="5D05DB66">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5.科学技术支出(类)科技条件与服务(款)其他科技条件与服务支出(项):支出决算数为1.80万元，比上年决算增加1.80万元，增长100.00%,主要原因是：本年新增采购国产电脑打印机经费。</w:t>
      </w:r>
    </w:p>
    <w:p w14:paraId="34E66F47">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21.47万元，比上年决算增加14.12万元，增长192.11%,主要原因是：本年退休人员增加，增加退休人员基础绩效奖，退休费支出增加。</w:t>
      </w:r>
    </w:p>
    <w:p w14:paraId="21544059">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7.社会保障和就业支出(类)行政事业单位养老支出(款)机关事业单位基本养老保险缴费支出(项):支出决算数为29.31万元，比上年决算减少0.87万元，下降2.88%,主要原因是：本年在职人员调入</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退休</w:t>
      </w:r>
      <w:r>
        <w:rPr>
          <w:rFonts w:ascii="仿宋_GB2312" w:hAnsi="仿宋_GB2312" w:eastAsia="仿宋_GB2312"/>
          <w:b w:val="0"/>
          <w:sz w:val="32"/>
        </w:rPr>
        <w:t>，人员职级不同，缴费基数不同，导致养老保险缴费较上年减少。</w:t>
      </w:r>
    </w:p>
    <w:p w14:paraId="48EB6CD9">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8.社会保障和就业支出(类)行政事业单位养老支出(款)机关事业单位职业年金缴费支出(项):支出决算数为23.21万元，比上年决算减少1.25万元，下降5.11%,主要原因是：本年在职人员调入</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退休</w:t>
      </w:r>
      <w:r>
        <w:rPr>
          <w:rFonts w:ascii="仿宋_GB2312" w:hAnsi="仿宋_GB2312" w:eastAsia="仿宋_GB2312"/>
          <w:b w:val="0"/>
          <w:sz w:val="32"/>
        </w:rPr>
        <w:t>，人员职级不同，缴费基数不同，导致职业年金缴费较上年减少。</w:t>
      </w:r>
    </w:p>
    <w:p w14:paraId="2DBA19F9">
      <w:pPr>
        <w:spacing w:line="580" w:lineRule="exact"/>
        <w:ind w:firstLine="640"/>
        <w:jc w:val="both"/>
      </w:pPr>
      <w:r>
        <w:rPr>
          <w:rFonts w:ascii="仿宋_GB2312" w:hAnsi="仿宋_GB2312" w:eastAsia="仿宋_GB2312"/>
          <w:b w:val="0"/>
          <w:sz w:val="32"/>
        </w:rPr>
        <w:t>9.卫生健康支出(类)行政事业单位医疗(款)行政单位医疗(项):支出决算数为11.45万元，比上年决算减少15.92万元，下降58.17%,主要原因是：因退休人员医疗保险制度改革，退休人员基本医疗不再由单位缴纳，导致经费较上年减少。</w:t>
      </w:r>
    </w:p>
    <w:p w14:paraId="4DDB70DC">
      <w:pPr>
        <w:spacing w:line="580" w:lineRule="exact"/>
        <w:ind w:firstLine="640"/>
        <w:jc w:val="both"/>
      </w:pPr>
      <w:r>
        <w:rPr>
          <w:rFonts w:ascii="仿宋_GB2312" w:hAnsi="仿宋_GB2312" w:eastAsia="仿宋_GB2312"/>
          <w:b w:val="0"/>
          <w:sz w:val="32"/>
        </w:rPr>
        <w:t>10.卫生健康支出(类)行政事业单位医疗(款)事业单位医疗(项):支出决算数为3.69万元，比上年决算增加0.47万元，增长14.60%,主要原因是：本年在职人员工资基数调增，医疗缴费基数上涨，相应支出增加。</w:t>
      </w:r>
    </w:p>
    <w:p w14:paraId="2CAD79CF">
      <w:pPr>
        <w:spacing w:line="580" w:lineRule="exact"/>
        <w:ind w:firstLine="640"/>
        <w:jc w:val="both"/>
      </w:pPr>
      <w:r>
        <w:rPr>
          <w:rFonts w:ascii="仿宋_GB2312" w:hAnsi="仿宋_GB2312" w:eastAsia="仿宋_GB2312"/>
          <w:b w:val="0"/>
          <w:sz w:val="32"/>
        </w:rPr>
        <w:t>11.卫生健康支出(类)行政事业单位医疗(款)公务员医疗补助(项):支出决算数为0.95万元，比上年决算减少0.05万元，下降5.00%,主要原因是：本年在职人员调入</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退休</w:t>
      </w:r>
      <w:r>
        <w:rPr>
          <w:rFonts w:ascii="仿宋_GB2312" w:hAnsi="仿宋_GB2312" w:eastAsia="仿宋_GB2312"/>
          <w:b w:val="0"/>
          <w:sz w:val="32"/>
        </w:rPr>
        <w:t>，人员职级不同，缴费基数不同，导致公务员医疗补助较上年减少。</w:t>
      </w:r>
    </w:p>
    <w:p w14:paraId="4750A10C">
      <w:pPr>
        <w:spacing w:line="580" w:lineRule="exact"/>
        <w:ind w:firstLine="640"/>
        <w:jc w:val="both"/>
      </w:pPr>
      <w:r>
        <w:rPr>
          <w:rFonts w:ascii="仿宋_GB2312" w:hAnsi="仿宋_GB2312" w:eastAsia="仿宋_GB2312"/>
          <w:b w:val="0"/>
          <w:sz w:val="32"/>
        </w:rPr>
        <w:t>12.住房保障支出(类)住房改革支出(款)住房公积金(项):支出决算数为23.51万元，比上年决算减少0.46万元，下降1.92%,主要原因是：本年在职人员调入</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退休</w:t>
      </w:r>
      <w:r>
        <w:rPr>
          <w:rFonts w:ascii="仿宋_GB2312" w:hAnsi="仿宋_GB2312" w:eastAsia="仿宋_GB2312"/>
          <w:b w:val="0"/>
          <w:sz w:val="32"/>
        </w:rPr>
        <w:t>，人员职级不同，缴费基数不同，导致住房公积金较上年减少。</w:t>
      </w:r>
    </w:p>
    <w:p w14:paraId="2A4208A0">
      <w:pPr>
        <w:spacing w:line="640" w:lineRule="exact"/>
        <w:ind w:firstLine="640"/>
        <w:jc w:val="both"/>
        <w:outlineLvl w:val="2"/>
      </w:pPr>
      <w:r>
        <w:rPr>
          <w:rFonts w:ascii="黑体" w:hAnsi="黑体" w:eastAsia="黑体"/>
          <w:sz w:val="32"/>
        </w:rPr>
        <w:t>六、一般公共预算财政拨款基本支出决算情况说明</w:t>
      </w:r>
    </w:p>
    <w:p w14:paraId="00A65139">
      <w:pPr>
        <w:spacing w:line="580" w:lineRule="exact"/>
        <w:ind w:firstLine="640"/>
        <w:jc w:val="both"/>
      </w:pPr>
      <w:r>
        <w:rPr>
          <w:rFonts w:ascii="仿宋_GB2312" w:hAnsi="仿宋_GB2312" w:eastAsia="仿宋_GB2312"/>
          <w:b w:val="0"/>
          <w:sz w:val="32"/>
        </w:rPr>
        <w:t>2024年度一般公共预算财政拨款基本支出439.22万元，其中：</w:t>
      </w:r>
      <w:r>
        <w:rPr>
          <w:rFonts w:ascii="仿宋_GB2312" w:hAnsi="仿宋_GB2312" w:eastAsia="仿宋_GB2312"/>
          <w:b/>
          <w:sz w:val="32"/>
        </w:rPr>
        <w:t>人员经费354.33万元，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其他对个人和家庭的补助。</w:t>
      </w:r>
    </w:p>
    <w:p w14:paraId="0BF0EE8F">
      <w:pPr>
        <w:spacing w:line="580" w:lineRule="exact"/>
        <w:ind w:firstLine="640"/>
        <w:jc w:val="both"/>
      </w:pPr>
      <w:r>
        <w:rPr>
          <w:rFonts w:ascii="仿宋_GB2312" w:hAnsi="仿宋_GB2312" w:eastAsia="仿宋_GB2312"/>
          <w:b/>
          <w:sz w:val="32"/>
        </w:rPr>
        <w:t>公用经费84.90万元，</w:t>
      </w:r>
      <w:r>
        <w:rPr>
          <w:rFonts w:ascii="仿宋_GB2312" w:hAnsi="仿宋_GB2312" w:eastAsia="仿宋_GB2312"/>
          <w:b w:val="0"/>
          <w:sz w:val="32"/>
        </w:rPr>
        <w:t>包括：办公费、印刷费、邮电费、差旅费、维修（护）费、会议费、培训费、劳务费、工会经费、公务用车运行维护费、其他交通费用、其他商品和服务支出、办公设备购置。</w:t>
      </w:r>
    </w:p>
    <w:p w14:paraId="786BA03A">
      <w:pPr>
        <w:spacing w:line="640" w:lineRule="exact"/>
        <w:ind w:firstLine="640"/>
        <w:jc w:val="both"/>
        <w:outlineLvl w:val="2"/>
      </w:pPr>
      <w:r>
        <w:rPr>
          <w:rFonts w:ascii="黑体" w:hAnsi="黑体" w:eastAsia="黑体"/>
          <w:sz w:val="32"/>
        </w:rPr>
        <w:t>七、政府性基金预算财政拨款收入支出决算情况说明</w:t>
      </w:r>
    </w:p>
    <w:p w14:paraId="2D04AFA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B285A46">
      <w:pPr>
        <w:spacing w:line="640" w:lineRule="exact"/>
        <w:ind w:firstLine="640"/>
        <w:jc w:val="both"/>
        <w:outlineLvl w:val="2"/>
      </w:pPr>
      <w:r>
        <w:rPr>
          <w:rFonts w:ascii="黑体" w:hAnsi="黑体" w:eastAsia="黑体"/>
          <w:sz w:val="32"/>
        </w:rPr>
        <w:t>八、国有资本经营预算财政拨款收入支出决算情况说明</w:t>
      </w:r>
    </w:p>
    <w:p w14:paraId="297264B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412322F">
      <w:pPr>
        <w:spacing w:line="640" w:lineRule="exact"/>
        <w:ind w:firstLine="640"/>
        <w:jc w:val="both"/>
        <w:outlineLvl w:val="2"/>
      </w:pPr>
      <w:r>
        <w:rPr>
          <w:rFonts w:ascii="黑体" w:hAnsi="黑体" w:eastAsia="黑体"/>
          <w:sz w:val="32"/>
        </w:rPr>
        <w:t>九、财政拨款“三公”经费支出决算情况说明</w:t>
      </w:r>
    </w:p>
    <w:p w14:paraId="12375210">
      <w:pPr>
        <w:spacing w:line="580" w:lineRule="exact"/>
        <w:ind w:firstLine="640"/>
        <w:jc w:val="both"/>
      </w:pPr>
      <w:r>
        <w:rPr>
          <w:rFonts w:ascii="仿宋_GB2312" w:hAnsi="仿宋_GB2312" w:eastAsia="仿宋_GB2312"/>
          <w:b/>
          <w:sz w:val="32"/>
        </w:rPr>
        <w:t>2024年度财政拨款“三公”经费支出13.89万元，</w:t>
      </w:r>
      <w:r>
        <w:rPr>
          <w:rFonts w:ascii="仿宋_GB2312" w:hAnsi="仿宋_GB2312" w:eastAsia="仿宋_GB2312"/>
          <w:b w:val="0"/>
          <w:sz w:val="32"/>
        </w:rPr>
        <w:t>比上年增加13.89万元，增长100.00%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13.89万元，占100.00%，比上年增加13.89万元，增长100.00%，主要原因是：本年因业务需求，用车次数增加，燃油费增加，导致公务用车运行维护费较上年增加。公务接待费支出0.00万元，占0.00%，比上年增加0.00万元，增长0.00%，主要原因是：2023年与2024年均未安排公务接待费支出。</w:t>
      </w:r>
    </w:p>
    <w:p w14:paraId="28706FB0">
      <w:pPr>
        <w:spacing w:line="580" w:lineRule="exact"/>
        <w:ind w:firstLine="640"/>
        <w:jc w:val="both"/>
      </w:pPr>
      <w:r>
        <w:rPr>
          <w:rFonts w:ascii="仿宋_GB2312" w:hAnsi="仿宋_GB2312" w:eastAsia="仿宋_GB2312"/>
          <w:b/>
          <w:sz w:val="32"/>
        </w:rPr>
        <w:t>具体情况如下：</w:t>
      </w:r>
    </w:p>
    <w:p w14:paraId="5681BD8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9AC2176">
      <w:pPr>
        <w:spacing w:line="580" w:lineRule="exact"/>
        <w:ind w:firstLine="640"/>
        <w:jc w:val="both"/>
      </w:pPr>
      <w:r>
        <w:rPr>
          <w:rFonts w:ascii="仿宋_GB2312" w:hAnsi="仿宋_GB2312" w:eastAsia="仿宋_GB2312"/>
          <w:b w:val="0"/>
          <w:sz w:val="32"/>
        </w:rPr>
        <w:t>公务用车购置及运行维护费13.89万元，其中：公务用车购置费0.00万元，公务用车运行维护费13.89万元。公务用车运行维护费开支内容包括车辆加油费、维修费、保险费、审车费、过路费等。公务用车购置数0辆，公务用车保有量6辆。国有资产占用情况中固定资产车辆0辆，与公务用车保有量差异原因是：借用其他单位车辆，车辆费用由本单位支付。</w:t>
      </w:r>
    </w:p>
    <w:p w14:paraId="1EBCA74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D74502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14.00万元，决算数13.89万元，预决算差异率-0.79%，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14.00万元，决算数13.89万元，预决算差异率-0.79%，主要原因是：严格落实中央八项规定精神，厉行节约，减少经费支出。公务接待费全年预算数0.00万元，决算数0.00万元，预决算差异率0.00%，主要原因是：本单位无公务接待费。</w:t>
      </w:r>
    </w:p>
    <w:p w14:paraId="6EFFA296">
      <w:pPr>
        <w:spacing w:line="640" w:lineRule="exact"/>
        <w:ind w:firstLine="640"/>
        <w:jc w:val="both"/>
        <w:outlineLvl w:val="2"/>
      </w:pPr>
      <w:r>
        <w:rPr>
          <w:rFonts w:ascii="黑体" w:hAnsi="黑体" w:eastAsia="黑体"/>
          <w:sz w:val="32"/>
        </w:rPr>
        <w:t>十、其他重要事项的情况说明</w:t>
      </w:r>
    </w:p>
    <w:p w14:paraId="3EC2D691">
      <w:pPr>
        <w:spacing w:line="640" w:lineRule="exact"/>
        <w:ind w:firstLine="640"/>
        <w:jc w:val="both"/>
        <w:outlineLvl w:val="3"/>
      </w:pPr>
      <w:r>
        <w:rPr>
          <w:rFonts w:ascii="楷体_GB2312" w:hAnsi="楷体_GB2312" w:eastAsia="楷体_GB2312"/>
          <w:b/>
          <w:sz w:val="32"/>
        </w:rPr>
        <w:t>（一）机关运行经费及公用经费支出情况</w:t>
      </w:r>
    </w:p>
    <w:p w14:paraId="2CBD7355">
      <w:pPr>
        <w:spacing w:line="580" w:lineRule="exact"/>
        <w:ind w:firstLine="640"/>
        <w:jc w:val="both"/>
      </w:pPr>
      <w:r>
        <w:rPr>
          <w:rFonts w:ascii="仿宋_GB2312" w:hAnsi="仿宋_GB2312" w:eastAsia="仿宋_GB2312"/>
          <w:b w:val="0"/>
          <w:sz w:val="32"/>
        </w:rPr>
        <w:t>2024年度中国人民政治协商会议吉木萨尔县委员会办公室（行政单位和参照公务员法管理事业单位）机关运行经费支出84.90万元，比上年增加12.99万元，增长18.06%，主要原因是：本年增加印刷费、会议费、劳务经费，导致机关运行经费增加。</w:t>
      </w:r>
    </w:p>
    <w:p w14:paraId="67E84363">
      <w:pPr>
        <w:spacing w:line="640" w:lineRule="exact"/>
        <w:ind w:firstLine="640"/>
        <w:jc w:val="both"/>
        <w:outlineLvl w:val="3"/>
      </w:pPr>
      <w:r>
        <w:rPr>
          <w:rFonts w:ascii="楷体_GB2312" w:hAnsi="楷体_GB2312" w:eastAsia="楷体_GB2312"/>
          <w:b/>
          <w:sz w:val="32"/>
        </w:rPr>
        <w:t>（二）政府采购情况</w:t>
      </w:r>
    </w:p>
    <w:p w14:paraId="521F3C1B">
      <w:pPr>
        <w:spacing w:line="580" w:lineRule="exact"/>
        <w:ind w:firstLine="640"/>
        <w:jc w:val="both"/>
      </w:pPr>
      <w:r>
        <w:rPr>
          <w:rFonts w:ascii="仿宋_GB2312" w:hAnsi="仿宋_GB2312" w:eastAsia="仿宋_GB2312"/>
          <w:b w:val="0"/>
          <w:sz w:val="32"/>
        </w:rPr>
        <w:t>2024年度政府采购支出总额26.86万元，其中：政府采购货物支出7.60万元、政府采购工程支出0.18万元、政府采购服务支出19.08万元。</w:t>
      </w:r>
    </w:p>
    <w:p w14:paraId="253AD57F">
      <w:pPr>
        <w:spacing w:line="580" w:lineRule="exact"/>
        <w:ind w:firstLine="640"/>
        <w:jc w:val="both"/>
      </w:pPr>
      <w:r>
        <w:rPr>
          <w:rFonts w:ascii="仿宋_GB2312" w:hAnsi="仿宋_GB2312" w:eastAsia="仿宋_GB2312"/>
          <w:b w:val="0"/>
          <w:sz w:val="32"/>
        </w:rPr>
        <w:t>授予中小企业合同金额12.50万元，占政府采购支出总额的46.54%，其中：授予小微企业合同金额12.50万元，占政府采购支出总额的46.54%。</w:t>
      </w:r>
    </w:p>
    <w:p w14:paraId="3D133F08">
      <w:pPr>
        <w:spacing w:line="640" w:lineRule="exact"/>
        <w:ind w:firstLine="640"/>
        <w:jc w:val="both"/>
        <w:outlineLvl w:val="3"/>
      </w:pPr>
      <w:r>
        <w:rPr>
          <w:rFonts w:ascii="楷体_GB2312" w:hAnsi="楷体_GB2312" w:eastAsia="楷体_GB2312"/>
          <w:b/>
          <w:sz w:val="32"/>
        </w:rPr>
        <w:t>（三）国有资产占用情况说明</w:t>
      </w:r>
    </w:p>
    <w:p w14:paraId="0AACBD9C">
      <w:pPr>
        <w:spacing w:line="580" w:lineRule="exact"/>
        <w:ind w:firstLine="640"/>
        <w:jc w:val="both"/>
      </w:pPr>
      <w:r>
        <w:rPr>
          <w:rFonts w:ascii="仿宋_GB2312" w:hAnsi="仿宋_GB2312" w:eastAsia="仿宋_GB2312"/>
          <w:b w:val="0"/>
          <w:sz w:val="32"/>
        </w:rPr>
        <w:t>截至2024年12月31日，房屋100.00平方米，价值1.00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5297E7A9">
      <w:pPr>
        <w:spacing w:line="640" w:lineRule="exact"/>
        <w:ind w:firstLine="640"/>
        <w:jc w:val="both"/>
        <w:outlineLvl w:val="2"/>
      </w:pPr>
      <w:r>
        <w:rPr>
          <w:rFonts w:ascii="黑体" w:hAnsi="黑体" w:eastAsia="黑体"/>
          <w:sz w:val="32"/>
        </w:rPr>
        <w:t>十一、预算绩效的情况说明</w:t>
      </w:r>
    </w:p>
    <w:p w14:paraId="13893BB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469.96万元，实际执行总额457.59万元；预算绩效评价项目4个，全年预算数18.33万元，全年执行数18.33万元。预算绩效管理取得的成效：一是县政协十三届四次会议立案的83件提案均办理完毕，答复率100%、办结率89.2%、满意率100%。二是基层民主协商红利持续释放。县政协坚持协商于民、协商为民，持续发挥基层民主协商阵地功能，优化完善“1234567”基层民主协商新模式，班子成员组织下沉政协委员联动有关行业部门，与群众面对面开展微协商104场次，反映社情民意信息93条，现场答复23件，提交县委转有关部门办理70件。三是依托乡镇政协工作站和社区政协民主协商室阵地功能，组织各界政协委员会同科技、司法、文旅、妇联、农业农村等相关行业部门深入基层、深入群众，开展“五送助力五疆同治”活动14场次，切实凝聚了万千群众的中国心，广大群众</w:t>
      </w:r>
      <w:r>
        <w:rPr>
          <w:rFonts w:hint="eastAsia" w:ascii="仿宋_GB2312" w:hAnsi="仿宋_GB2312" w:eastAsia="仿宋_GB2312"/>
          <w:b w:val="0"/>
          <w:sz w:val="32"/>
          <w:lang w:eastAsia="zh-CN"/>
        </w:rPr>
        <w:t>听党话、感党恩、跟党走</w:t>
      </w:r>
      <w:r>
        <w:rPr>
          <w:rFonts w:ascii="仿宋_GB2312" w:hAnsi="仿宋_GB2312" w:eastAsia="仿宋_GB2312"/>
          <w:b w:val="0"/>
          <w:sz w:val="32"/>
        </w:rPr>
        <w:t>的信心更加坚定。四是严格执行政协常委履职报告制度和委员履职管理办法，以委员作业清单化推动履职成效精准化，委员履职积极性被充分激发。加强委员教育培训，将党内委员积极主动参加所在支部和单位政治理论及业务学习作为委员必修课，同时扎实组织体制外委员分别在县委党校和厦门有关学院开展能力提升培训80余人次，进一步提升了委员们的履职能力。发现的问题及原因：一是发挥政协委员密切联系群众优势助力县域社会稳定还有欠缺；二是发挥基层民主协商阵地优势</w:t>
      </w:r>
      <w:r>
        <w:rPr>
          <w:rFonts w:hint="eastAsia" w:ascii="仿宋_GB2312" w:hAnsi="仿宋_GB2312" w:eastAsia="仿宋_GB2312"/>
          <w:b w:val="0"/>
          <w:sz w:val="32"/>
          <w:lang w:eastAsia="zh-CN"/>
        </w:rPr>
        <w:t>，在</w:t>
      </w:r>
      <w:r>
        <w:rPr>
          <w:rFonts w:ascii="仿宋_GB2312" w:hAnsi="仿宋_GB2312" w:eastAsia="仿宋_GB2312"/>
          <w:b w:val="0"/>
          <w:sz w:val="32"/>
        </w:rPr>
        <w:t>助力社会化治理方面有一定的短板，对协商成果的落实还需要进一步加强。三是对干部职工业务工作能力水平提升帮教不够，部分干部落实工作能力还不够高，与新时代政协工作新要求还有一定差距。下一步改进措施：一是加强政协委员培训，开展大走访活动，密切联系群众，充分发挥委员的作用，调动各界委员发挥优势，助力县域经济社会发展。二是提升提案工作质效，发挥委员优势、改进基层民主协商模式。三是加强政协队伍建设，增强干部职工</w:t>
      </w:r>
      <w:r>
        <w:rPr>
          <w:rFonts w:hint="eastAsia" w:ascii="仿宋_GB2312" w:hAnsi="仿宋_GB2312" w:eastAsia="仿宋_GB2312"/>
          <w:b w:val="0"/>
          <w:sz w:val="32"/>
          <w:lang w:eastAsia="zh-CN"/>
        </w:rPr>
        <w:t>政治意识、大局意识、核心意识、看齐意识</w:t>
      </w:r>
      <w:r>
        <w:rPr>
          <w:rFonts w:ascii="仿宋_GB2312" w:hAnsi="仿宋_GB2312" w:eastAsia="仿宋_GB2312"/>
          <w:b w:val="0"/>
          <w:sz w:val="32"/>
        </w:rPr>
        <w:t>，汇聚力量，打造一支“懂政协、能协商、善议政、守纪律、讲规矩、重品行”的政协队伍。具体附整体支出绩效自评表，项目支出绩效自评表。</w:t>
      </w:r>
    </w:p>
    <w:p w14:paraId="7C0F18D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C2804B">
        <w:tblPrEx>
          <w:tblCellMar>
            <w:top w:w="0" w:type="dxa"/>
            <w:left w:w="108" w:type="dxa"/>
            <w:bottom w:w="0" w:type="dxa"/>
            <w:right w:w="108" w:type="dxa"/>
          </w:tblCellMar>
        </w:tblPrEx>
        <w:tc>
          <w:tcPr>
            <w:tcW w:w="8847" w:type="dxa"/>
            <w:gridSpan w:val="9"/>
            <w:vAlign w:val="center"/>
          </w:tcPr>
          <w:p w14:paraId="6CDC8342">
            <w:pPr>
              <w:jc w:val="center"/>
            </w:pPr>
            <w:r>
              <w:rPr>
                <w:rFonts w:ascii="宋体" w:hAnsi="宋体" w:eastAsia="宋体"/>
                <w:sz w:val="24"/>
              </w:rPr>
              <w:t>单位整体支出绩效自评表</w:t>
            </w:r>
          </w:p>
        </w:tc>
      </w:tr>
      <w:tr w14:paraId="5BF2517A">
        <w:tblPrEx>
          <w:tblCellMar>
            <w:top w:w="0" w:type="dxa"/>
            <w:left w:w="108" w:type="dxa"/>
            <w:bottom w:w="0" w:type="dxa"/>
            <w:right w:w="108" w:type="dxa"/>
          </w:tblCellMar>
        </w:tblPrEx>
        <w:tc>
          <w:tcPr>
            <w:tcW w:w="8847" w:type="dxa"/>
            <w:gridSpan w:val="9"/>
            <w:vAlign w:val="center"/>
          </w:tcPr>
          <w:p w14:paraId="07DE0A02">
            <w:pPr>
              <w:jc w:val="center"/>
            </w:pPr>
            <w:r>
              <w:rPr>
                <w:rFonts w:ascii="宋体" w:hAnsi="宋体" w:eastAsia="宋体"/>
                <w:sz w:val="24"/>
              </w:rPr>
              <w:t>（2024年度）</w:t>
            </w:r>
          </w:p>
        </w:tc>
      </w:tr>
      <w:tr w14:paraId="2ABC75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BF40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11E71F">
            <w:pPr>
              <w:jc w:val="center"/>
            </w:pPr>
            <w:r>
              <w:rPr>
                <w:rFonts w:ascii="宋体" w:hAnsi="宋体" w:eastAsia="宋体"/>
                <w:sz w:val="16"/>
              </w:rPr>
              <w:t>中国人民政治协商会议吉木萨尔县委员会办公室</w:t>
            </w:r>
          </w:p>
        </w:tc>
      </w:tr>
      <w:tr w14:paraId="55F5E1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A8CDA">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662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CDD5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3C7D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6771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363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CA44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786FD">
            <w:pPr>
              <w:jc w:val="center"/>
            </w:pPr>
            <w:r>
              <w:rPr>
                <w:rFonts w:ascii="宋体" w:hAnsi="宋体" w:eastAsia="宋体"/>
                <w:sz w:val="16"/>
              </w:rPr>
              <w:t>得分</w:t>
            </w:r>
          </w:p>
        </w:tc>
      </w:tr>
      <w:tr w14:paraId="38F4B9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D5E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9527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48D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4B3A4">
            <w:pPr>
              <w:jc w:val="center"/>
            </w:pPr>
            <w:r>
              <w:rPr>
                <w:rFonts w:ascii="宋体" w:hAnsi="宋体" w:eastAsia="宋体"/>
                <w:sz w:val="16"/>
              </w:rPr>
              <w:t>5.78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85DD0">
            <w:pPr>
              <w:jc w:val="center"/>
            </w:pPr>
            <w:r>
              <w:rPr>
                <w:rFonts w:ascii="宋体" w:hAnsi="宋体" w:eastAsia="宋体"/>
                <w:sz w:val="16"/>
              </w:rPr>
              <w:t>5.78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E66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1B0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84264">
            <w:pPr>
              <w:jc w:val="center"/>
            </w:pPr>
            <w:r>
              <w:rPr>
                <w:rFonts w:ascii="宋体" w:hAnsi="宋体" w:eastAsia="宋体"/>
                <w:sz w:val="16"/>
              </w:rPr>
              <w:t>-</w:t>
            </w:r>
          </w:p>
        </w:tc>
      </w:tr>
      <w:tr w14:paraId="134FFA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300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6C7B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2B1CC">
            <w:pPr>
              <w:jc w:val="center"/>
            </w:pPr>
            <w:r>
              <w:rPr>
                <w:rFonts w:ascii="宋体" w:hAnsi="宋体" w:eastAsia="宋体"/>
                <w:sz w:val="16"/>
              </w:rPr>
              <w:t>476.51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FBF42">
            <w:pPr>
              <w:jc w:val="center"/>
            </w:pPr>
            <w:r>
              <w:rPr>
                <w:rFonts w:ascii="宋体" w:hAnsi="宋体" w:eastAsia="宋体"/>
                <w:sz w:val="16"/>
              </w:rPr>
              <w:t>464.18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AEDD2">
            <w:pPr>
              <w:jc w:val="center"/>
            </w:pPr>
            <w:r>
              <w:rPr>
                <w:rFonts w:ascii="宋体" w:hAnsi="宋体" w:eastAsia="宋体"/>
                <w:sz w:val="16"/>
              </w:rPr>
              <w:t>451.81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15E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63A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1CC98">
            <w:pPr>
              <w:jc w:val="center"/>
            </w:pPr>
            <w:r>
              <w:rPr>
                <w:rFonts w:ascii="宋体" w:hAnsi="宋体" w:eastAsia="宋体"/>
                <w:sz w:val="16"/>
              </w:rPr>
              <w:t>-</w:t>
            </w:r>
          </w:p>
        </w:tc>
      </w:tr>
      <w:tr w14:paraId="3EE63D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A27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449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9E7B">
            <w:pPr>
              <w:jc w:val="center"/>
            </w:pPr>
            <w:r>
              <w:rPr>
                <w:rFonts w:ascii="宋体" w:hAnsi="宋体" w:eastAsia="宋体"/>
                <w:sz w:val="16"/>
              </w:rPr>
              <w:t>12.38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406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1A9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78F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F61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DEED1">
            <w:pPr>
              <w:jc w:val="center"/>
            </w:pPr>
            <w:r>
              <w:rPr>
                <w:rFonts w:ascii="宋体" w:hAnsi="宋体" w:eastAsia="宋体"/>
                <w:sz w:val="16"/>
              </w:rPr>
              <w:t>-</w:t>
            </w:r>
          </w:p>
        </w:tc>
      </w:tr>
      <w:tr w14:paraId="5C7CA4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FAA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5115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FC2E">
            <w:pPr>
              <w:jc w:val="center"/>
            </w:pPr>
            <w:r>
              <w:rPr>
                <w:rFonts w:ascii="宋体" w:hAnsi="宋体" w:eastAsia="宋体"/>
                <w:sz w:val="16"/>
              </w:rPr>
              <w:t>488.89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A7BA8">
            <w:pPr>
              <w:jc w:val="center"/>
            </w:pPr>
            <w:r>
              <w:rPr>
                <w:rFonts w:ascii="宋体" w:hAnsi="宋体" w:eastAsia="宋体"/>
                <w:sz w:val="16"/>
              </w:rPr>
              <w:t>469.96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B00A5">
            <w:pPr>
              <w:jc w:val="center"/>
            </w:pPr>
            <w:r>
              <w:rPr>
                <w:rFonts w:ascii="宋体" w:hAnsi="宋体" w:eastAsia="宋体"/>
                <w:sz w:val="16"/>
              </w:rPr>
              <w:t>457.59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7C1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6318">
            <w:pPr>
              <w:jc w:val="center"/>
            </w:pPr>
            <w:r>
              <w:rPr>
                <w:rFonts w:ascii="宋体" w:hAnsi="宋体" w:eastAsia="宋体"/>
                <w:sz w:val="16"/>
              </w:rPr>
              <w:t>97.37%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594F3">
            <w:pPr>
              <w:jc w:val="center"/>
            </w:pPr>
            <w:r>
              <w:rPr>
                <w:rFonts w:ascii="宋体" w:hAnsi="宋体" w:eastAsia="宋体"/>
                <w:sz w:val="16"/>
              </w:rPr>
              <w:t>9.73</w:t>
            </w:r>
          </w:p>
        </w:tc>
      </w:tr>
      <w:tr w14:paraId="3200F3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2F7C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145F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9540F8">
            <w:pPr>
              <w:jc w:val="center"/>
            </w:pPr>
            <w:r>
              <w:rPr>
                <w:rFonts w:ascii="宋体" w:hAnsi="宋体" w:eastAsia="宋体"/>
                <w:sz w:val="16"/>
              </w:rPr>
              <w:t>实际完成情况</w:t>
            </w:r>
          </w:p>
        </w:tc>
      </w:tr>
      <w:tr w14:paraId="3582DA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B2CA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45121F">
            <w:pPr>
              <w:jc w:val="both"/>
            </w:pPr>
            <w:r>
              <w:rPr>
                <w:rFonts w:ascii="宋体" w:hAnsi="宋体" w:eastAsia="宋体"/>
                <w:sz w:val="16"/>
              </w:rPr>
              <w:t>保障本单位在职人员工资、津贴、社保、医疗、住房公积金和4名政府购买服务工资、社保、医疗和退休人员独生子女奖励金；保障本单位办公费、车辆运行维护费、会议费、工会经费等行政运行费用正常运转；保障政协委员视察、调研、政协全体会议正常开展,“政治协商、民主监督、参政议政”</w:t>
            </w:r>
            <w:r>
              <w:rPr>
                <w:rFonts w:hint="eastAsia" w:ascii="宋体" w:hAnsi="宋体"/>
                <w:sz w:val="16"/>
                <w:lang w:eastAsia="zh-CN"/>
              </w:rPr>
              <w:t>履好职、尽好责</w:t>
            </w:r>
            <w:r>
              <w:rPr>
                <w:rFonts w:ascii="宋体" w:hAnsi="宋体" w:eastAsia="宋体"/>
                <w:sz w:val="16"/>
              </w:rPr>
              <w:t>，充分发挥民主协商在基层社会治理中的作用，提高参政议政能力。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A91875">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469.96万元，全年执行数457.59万元，主要完成任务内容如下：1.实际完成组织政协委员开展调研、视察、观摩、协商等履职活动19场次，倾心助力县委、县政府科学决策、有效施政。2.实际完成召开一次政协吉木萨尔县第十三届委员会第四次全体会议，凝聚了全体政协委员的力量和智慧，提高和统一了全体政协委员的思想认识。3.实际完成组织政协委员培训1次，扎实组织体制外委员分别在县委党校和厦门有关学院开展能力提升培训80余人次，进一步加强了委员教育培训，提高了政协委员的履职能力和水平。4.实际完成与群众面对面开展微协商104场次，反映社情民意信息93条，现场答复23件，提交县委转有关部门办理70件，助推人民群众</w:t>
            </w:r>
            <w:r>
              <w:rPr>
                <w:rFonts w:hint="eastAsia" w:ascii="宋体" w:hAnsi="宋体"/>
                <w:sz w:val="16"/>
                <w:lang w:eastAsia="zh-CN"/>
              </w:rPr>
              <w:t>获得感、幸福感、安全感</w:t>
            </w:r>
            <w:r>
              <w:rPr>
                <w:rFonts w:ascii="宋体" w:hAnsi="宋体" w:eastAsia="宋体"/>
                <w:sz w:val="16"/>
              </w:rPr>
              <w:t>持续提升。</w:t>
            </w:r>
          </w:p>
        </w:tc>
      </w:tr>
      <w:tr w14:paraId="6CEA63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535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4F2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9EDD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499F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70A7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85E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7BE3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4A864">
            <w:pPr>
              <w:jc w:val="center"/>
            </w:pPr>
            <w:r>
              <w:rPr>
                <w:rFonts w:ascii="宋体" w:hAnsi="宋体" w:eastAsia="宋体"/>
                <w:sz w:val="16"/>
              </w:rPr>
              <w:t>得分</w:t>
            </w:r>
          </w:p>
        </w:tc>
      </w:tr>
      <w:tr w14:paraId="111E60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9E8E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839D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B696">
            <w:pPr>
              <w:jc w:val="center"/>
            </w:pPr>
            <w:r>
              <w:rPr>
                <w:rFonts w:ascii="宋体" w:hAnsi="宋体" w:eastAsia="宋体"/>
                <w:sz w:val="16"/>
              </w:rPr>
              <w:t>开展观摩、调研、视察、专题协商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DFAEF">
            <w:pPr>
              <w:jc w:val="center"/>
            </w:pPr>
            <w:r>
              <w:rPr>
                <w:rFonts w:ascii="宋体" w:hAnsi="宋体" w:eastAsia="宋体"/>
                <w:sz w:val="16"/>
              </w:rPr>
              <w:t>&gt;=6次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881DC">
            <w:pPr>
              <w:jc w:val="center"/>
            </w:pPr>
            <w:r>
              <w:rPr>
                <w:rFonts w:ascii="宋体" w:hAnsi="宋体" w:eastAsia="宋体"/>
                <w:sz w:val="16"/>
              </w:rPr>
              <w:t>工作总结、政协吉木萨尔县委员会常务委员会工作报告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54CC4">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B07B">
            <w:pPr>
              <w:jc w:val="center"/>
            </w:pPr>
            <w:r>
              <w:rPr>
                <w:rFonts w:ascii="宋体" w:hAnsi="宋体" w:eastAsia="宋体"/>
                <w:sz w:val="16"/>
              </w:rPr>
              <w:t>=19次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397E4">
            <w:pPr>
              <w:jc w:val="center"/>
            </w:pPr>
            <w:r>
              <w:rPr>
                <w:rFonts w:ascii="宋体" w:hAnsi="宋体" w:eastAsia="宋体"/>
                <w:sz w:val="16"/>
              </w:rPr>
              <w:t>25</w:t>
            </w:r>
          </w:p>
        </w:tc>
      </w:tr>
      <w:tr w14:paraId="6AE608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A25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E3C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02C4">
            <w:pPr>
              <w:jc w:val="center"/>
            </w:pPr>
            <w:r>
              <w:rPr>
                <w:rFonts w:ascii="宋体" w:hAnsi="宋体" w:eastAsia="宋体"/>
                <w:sz w:val="16"/>
              </w:rPr>
              <w:t>召开政协全会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E0FE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C338D">
            <w:pPr>
              <w:jc w:val="center"/>
            </w:pPr>
            <w:r>
              <w:rPr>
                <w:rFonts w:ascii="宋体" w:hAnsi="宋体" w:eastAsia="宋体"/>
                <w:sz w:val="16"/>
              </w:rPr>
              <w:t>政协吉木萨尔县第十三届委员会第四次</w:t>
            </w:r>
            <w:r>
              <w:rPr>
                <w:rFonts w:hint="eastAsia" w:ascii="宋体" w:hAnsi="宋体"/>
                <w:sz w:val="16"/>
                <w:lang w:eastAsia="zh-CN"/>
              </w:rPr>
              <w:t>会议指南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4F3F5">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C5D4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2987A">
            <w:pPr>
              <w:jc w:val="center"/>
            </w:pPr>
            <w:r>
              <w:rPr>
                <w:rFonts w:ascii="宋体" w:hAnsi="宋体" w:eastAsia="宋体"/>
                <w:sz w:val="16"/>
              </w:rPr>
              <w:t>22</w:t>
            </w:r>
          </w:p>
        </w:tc>
      </w:tr>
      <w:tr w14:paraId="353B9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E0B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6C3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64732">
            <w:pPr>
              <w:jc w:val="center"/>
            </w:pPr>
            <w:r>
              <w:rPr>
                <w:rFonts w:ascii="宋体" w:hAnsi="宋体" w:eastAsia="宋体"/>
                <w:sz w:val="16"/>
              </w:rPr>
              <w:t>组织委员培训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8C521">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42A71">
            <w:pPr>
              <w:jc w:val="center"/>
            </w:pPr>
            <w:r>
              <w:rPr>
                <w:rFonts w:ascii="宋体" w:hAnsi="宋体" w:eastAsia="宋体"/>
                <w:sz w:val="16"/>
              </w:rPr>
              <w:t>工作总结、政协吉木萨尔县委员会常务委员会工作报告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0F9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E3C8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9E10B">
            <w:pPr>
              <w:jc w:val="center"/>
            </w:pPr>
            <w:r>
              <w:rPr>
                <w:rFonts w:ascii="宋体" w:hAnsi="宋体" w:eastAsia="宋体"/>
                <w:sz w:val="16"/>
              </w:rPr>
              <w:t>20</w:t>
            </w:r>
          </w:p>
        </w:tc>
      </w:tr>
      <w:tr w14:paraId="5182EE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10D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964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78B10">
            <w:pPr>
              <w:jc w:val="center"/>
            </w:pPr>
            <w:r>
              <w:rPr>
                <w:rFonts w:ascii="宋体" w:hAnsi="宋体" w:eastAsia="宋体"/>
                <w:sz w:val="16"/>
              </w:rPr>
              <w:t>开展微协商活动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D354">
            <w:pPr>
              <w:jc w:val="center"/>
            </w:pPr>
            <w:r>
              <w:rPr>
                <w:rFonts w:ascii="宋体" w:hAnsi="宋体" w:eastAsia="宋体"/>
                <w:sz w:val="16"/>
              </w:rPr>
              <w:t>&gt;=60场次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49F22">
            <w:pPr>
              <w:jc w:val="center"/>
            </w:pPr>
            <w:r>
              <w:rPr>
                <w:rFonts w:ascii="宋体" w:hAnsi="宋体" w:eastAsia="宋体"/>
                <w:sz w:val="16"/>
              </w:rPr>
              <w:t>工作总结、政协吉木萨尔县委员会常务委员会工作报告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9B90A">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E2427">
            <w:pPr>
              <w:jc w:val="center"/>
            </w:pPr>
            <w:r>
              <w:rPr>
                <w:rFonts w:ascii="宋体" w:hAnsi="宋体" w:eastAsia="宋体"/>
                <w:sz w:val="16"/>
              </w:rPr>
              <w:t>=104场次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CAE43">
            <w:pPr>
              <w:jc w:val="center"/>
            </w:pPr>
            <w:r>
              <w:rPr>
                <w:rFonts w:ascii="宋体" w:hAnsi="宋体" w:eastAsia="宋体"/>
                <w:sz w:val="16"/>
              </w:rPr>
              <w:t>23</w:t>
            </w:r>
          </w:p>
        </w:tc>
      </w:tr>
    </w:tbl>
    <w:p w14:paraId="77B188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76DC924">
        <w:tblPrEx>
          <w:tblCellMar>
            <w:top w:w="0" w:type="dxa"/>
            <w:left w:w="108" w:type="dxa"/>
            <w:bottom w:w="0" w:type="dxa"/>
            <w:right w:w="108" w:type="dxa"/>
          </w:tblCellMar>
        </w:tblPrEx>
        <w:tc>
          <w:tcPr>
            <w:tcW w:w="8848" w:type="dxa"/>
            <w:gridSpan w:val="14"/>
            <w:vAlign w:val="center"/>
          </w:tcPr>
          <w:p w14:paraId="48AD54BA">
            <w:pPr>
              <w:jc w:val="center"/>
            </w:pPr>
            <w:r>
              <w:rPr>
                <w:rFonts w:ascii="宋体" w:hAnsi="宋体" w:eastAsia="宋体"/>
                <w:sz w:val="24"/>
              </w:rPr>
              <w:t>项目支出绩效自评表</w:t>
            </w:r>
          </w:p>
        </w:tc>
      </w:tr>
      <w:tr w14:paraId="6EE64E1F">
        <w:tblPrEx>
          <w:tblCellMar>
            <w:top w:w="0" w:type="dxa"/>
            <w:left w:w="108" w:type="dxa"/>
            <w:bottom w:w="0" w:type="dxa"/>
            <w:right w:w="108" w:type="dxa"/>
          </w:tblCellMar>
        </w:tblPrEx>
        <w:tc>
          <w:tcPr>
            <w:tcW w:w="8848" w:type="dxa"/>
            <w:gridSpan w:val="14"/>
            <w:vAlign w:val="center"/>
          </w:tcPr>
          <w:p w14:paraId="588DEB68">
            <w:pPr>
              <w:jc w:val="center"/>
            </w:pPr>
            <w:r>
              <w:rPr>
                <w:rFonts w:ascii="宋体" w:hAnsi="宋体" w:eastAsia="宋体"/>
                <w:sz w:val="24"/>
              </w:rPr>
              <w:t>(2024年度)</w:t>
            </w:r>
          </w:p>
        </w:tc>
      </w:tr>
      <w:tr w14:paraId="454A6F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C5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C3BF68">
            <w:pPr>
              <w:jc w:val="center"/>
            </w:pPr>
            <w:r>
              <w:rPr>
                <w:rFonts w:ascii="宋体" w:hAnsi="宋体" w:eastAsia="宋体"/>
                <w:sz w:val="16"/>
              </w:rPr>
              <w:t>2024年吉木萨尔县政协委员活动经费</w:t>
            </w:r>
          </w:p>
        </w:tc>
      </w:tr>
      <w:tr w14:paraId="5647E4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8F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4411F">
            <w:pPr>
              <w:jc w:val="center"/>
            </w:pPr>
            <w:r>
              <w:rPr>
                <w:rFonts w:ascii="宋体" w:hAnsi="宋体" w:eastAsia="宋体"/>
                <w:sz w:val="16"/>
              </w:rPr>
              <w:t>中国人民政治协商会议吉木萨尔县委员会办公室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B0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826E46">
            <w:pPr>
              <w:jc w:val="center"/>
            </w:pPr>
            <w:r>
              <w:rPr>
                <w:rFonts w:ascii="宋体" w:hAnsi="宋体" w:eastAsia="宋体"/>
                <w:sz w:val="16"/>
              </w:rPr>
              <w:t>中国人民政治协商会议吉木萨尔县委员会办公室</w:t>
            </w:r>
          </w:p>
        </w:tc>
      </w:tr>
      <w:tr w14:paraId="672231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37C5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C4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0F3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6A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78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91F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39A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EE15">
            <w:pPr>
              <w:jc w:val="center"/>
            </w:pPr>
            <w:r>
              <w:rPr>
                <w:rFonts w:ascii="宋体" w:hAnsi="宋体" w:eastAsia="宋体"/>
                <w:sz w:val="16"/>
              </w:rPr>
              <w:t>得分</w:t>
            </w:r>
          </w:p>
        </w:tc>
      </w:tr>
      <w:tr w14:paraId="0C341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22A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3A1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D567B">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ECEB8">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B7C52">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92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430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82D6">
            <w:pPr>
              <w:jc w:val="center"/>
            </w:pPr>
            <w:r>
              <w:rPr>
                <w:rFonts w:ascii="宋体" w:hAnsi="宋体" w:eastAsia="宋体"/>
                <w:sz w:val="16"/>
              </w:rPr>
              <w:t>10.00</w:t>
            </w:r>
          </w:p>
        </w:tc>
      </w:tr>
      <w:tr w14:paraId="43A66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11E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6C5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C9DF">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EA98A">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E551">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30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BEF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F514">
            <w:pPr>
              <w:jc w:val="center"/>
            </w:pPr>
            <w:r>
              <w:rPr>
                <w:rFonts w:ascii="宋体" w:hAnsi="宋体" w:eastAsia="宋体"/>
                <w:sz w:val="16"/>
              </w:rPr>
              <w:t>—</w:t>
            </w:r>
          </w:p>
        </w:tc>
      </w:tr>
      <w:tr w14:paraId="3AF98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DE9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239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3F2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652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375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7E8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9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03E1">
            <w:pPr>
              <w:jc w:val="center"/>
            </w:pPr>
            <w:r>
              <w:rPr>
                <w:rFonts w:ascii="宋体" w:hAnsi="宋体" w:eastAsia="宋体"/>
                <w:sz w:val="16"/>
              </w:rPr>
              <w:t>—</w:t>
            </w:r>
          </w:p>
        </w:tc>
      </w:tr>
      <w:tr w14:paraId="3FD910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F84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0E1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10BA90">
            <w:pPr>
              <w:jc w:val="center"/>
            </w:pPr>
            <w:r>
              <w:rPr>
                <w:rFonts w:ascii="宋体" w:hAnsi="宋体" w:eastAsia="宋体"/>
                <w:sz w:val="16"/>
              </w:rPr>
              <w:t>实际完成情况</w:t>
            </w:r>
          </w:p>
        </w:tc>
      </w:tr>
      <w:tr w14:paraId="3BF86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972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950CB">
            <w:pPr>
              <w:jc w:val="both"/>
            </w:pPr>
            <w:r>
              <w:rPr>
                <w:rFonts w:ascii="宋体" w:hAnsi="宋体" w:eastAsia="宋体"/>
                <w:sz w:val="16"/>
              </w:rPr>
              <w:t>根据昌州财行</w:t>
            </w:r>
            <w:r>
              <w:rPr>
                <w:rFonts w:hint="eastAsia" w:ascii="宋体" w:hAnsi="宋体"/>
                <w:sz w:val="16"/>
                <w:lang w:eastAsia="zh-CN"/>
              </w:rPr>
              <w:t>〔2024〕2号</w:t>
            </w:r>
            <w:r>
              <w:rPr>
                <w:rFonts w:ascii="宋体" w:hAnsi="宋体" w:eastAsia="宋体"/>
                <w:sz w:val="16"/>
              </w:rPr>
              <w:t>关于下达2024年吉木萨尔县政协委员活动经费的通知文件精神，拨付吉木萨尔县政协2024年政协委员活动经费0.78万元。通过项目的实施，保障政协委员履职</w:t>
            </w:r>
            <w:r>
              <w:rPr>
                <w:rFonts w:hint="eastAsia" w:ascii="宋体" w:hAnsi="宋体"/>
                <w:sz w:val="16"/>
                <w:lang w:eastAsia="zh-CN"/>
              </w:rPr>
              <w:t>工作</w:t>
            </w:r>
            <w:r>
              <w:rPr>
                <w:rFonts w:ascii="宋体" w:hAnsi="宋体" w:eastAsia="宋体"/>
                <w:sz w:val="16"/>
              </w:rPr>
              <w:t>有效落实，使政治协商、民主监督、参政议政三大主要职能得到贯彻和执行，围绕县委中心工作开展调研、视察工作，为县委决策提供依据。项目经费计划用于支付政协委员组织开展学习活动、“五送助力五疆同治”活动、贺新春视频拍摄活动，用于采购学习、活动期间道具，学习资料印刷，知识竞答奖品、活动租车费用，提高政协委员参政议政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29C3F7">
            <w:pPr>
              <w:jc w:val="both"/>
            </w:pPr>
            <w:r>
              <w:rPr>
                <w:rFonts w:hint="eastAsia" w:ascii="宋体" w:hAnsi="宋体"/>
                <w:sz w:val="16"/>
                <w:lang w:eastAsia="zh-CN"/>
              </w:rPr>
              <w:t>截至</w:t>
            </w:r>
            <w:r>
              <w:rPr>
                <w:rFonts w:ascii="宋体" w:hAnsi="宋体" w:eastAsia="宋体"/>
                <w:sz w:val="16"/>
              </w:rPr>
              <w:t>2024年12月31日，本项目实际支出资金0.78万元，预算执行率100%，实际已完成组织政协委员到村开展“五送助力五疆同治”活动1次，组织政协委员开展贺新春视频拍摄活动1次，组织政协委员开展培训1次。通过实施本项目，加强政协委员学习，提高政协委员履职能力和参政议政的能力。</w:t>
            </w:r>
          </w:p>
        </w:tc>
      </w:tr>
      <w:tr w14:paraId="546C7C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C00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50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86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73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A7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AC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5ED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85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67A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C8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00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F6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1F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08A1">
            <w:pPr>
              <w:jc w:val="center"/>
            </w:pPr>
            <w:r>
              <w:rPr>
                <w:rFonts w:ascii="宋体" w:hAnsi="宋体" w:eastAsia="宋体"/>
                <w:sz w:val="16"/>
              </w:rPr>
              <w:t>偏差原因分析及改进措施</w:t>
            </w:r>
          </w:p>
        </w:tc>
      </w:tr>
      <w:tr w14:paraId="1EAC48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BF4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979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B2F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BDCC">
            <w:pPr>
              <w:jc w:val="center"/>
            </w:pPr>
            <w:r>
              <w:rPr>
                <w:rFonts w:ascii="宋体" w:hAnsi="宋体" w:eastAsia="宋体"/>
                <w:sz w:val="16"/>
              </w:rPr>
              <w:t>组织委员开展贺新春视频拍摄活动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1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890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EA8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5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7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2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A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B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39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7D23">
            <w:pPr>
              <w:jc w:val="center"/>
            </w:pPr>
          </w:p>
        </w:tc>
      </w:tr>
      <w:tr w14:paraId="1630C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04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FC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17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D231">
            <w:pPr>
              <w:jc w:val="center"/>
            </w:pPr>
            <w:r>
              <w:rPr>
                <w:rFonts w:ascii="宋体" w:hAnsi="宋体" w:eastAsia="宋体"/>
                <w:sz w:val="16"/>
              </w:rPr>
              <w:t>组织政协委员培训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38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DE1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09D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B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5C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D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0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9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7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2A5D">
            <w:pPr>
              <w:jc w:val="center"/>
            </w:pPr>
          </w:p>
        </w:tc>
      </w:tr>
      <w:tr w14:paraId="4C616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01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78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95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BB6E">
            <w:pPr>
              <w:jc w:val="center"/>
            </w:pPr>
            <w:r>
              <w:rPr>
                <w:rFonts w:ascii="宋体" w:hAnsi="宋体" w:eastAsia="宋体"/>
                <w:sz w:val="16"/>
              </w:rPr>
              <w:t>开展“五送助力五疆同治”活动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623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AD8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F22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C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2AC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B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4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0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B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031E">
            <w:pPr>
              <w:jc w:val="center"/>
            </w:pPr>
          </w:p>
        </w:tc>
      </w:tr>
      <w:tr w14:paraId="49D61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46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B6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06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1207">
            <w:pPr>
              <w:jc w:val="center"/>
            </w:pPr>
            <w:r>
              <w:rPr>
                <w:rFonts w:ascii="宋体" w:hAnsi="宋体" w:eastAsia="宋体"/>
                <w:sz w:val="16"/>
              </w:rPr>
              <w:t>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A1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B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F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A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76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D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5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D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C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526E">
            <w:pPr>
              <w:jc w:val="center"/>
            </w:pPr>
          </w:p>
        </w:tc>
      </w:tr>
      <w:tr w14:paraId="5D593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15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55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6A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D1A1">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76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0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E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6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AE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B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0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B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E1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5B9F">
            <w:pPr>
              <w:jc w:val="center"/>
            </w:pPr>
          </w:p>
        </w:tc>
      </w:tr>
      <w:tr w14:paraId="44CB1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E8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B5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37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6534">
            <w:pPr>
              <w:jc w:val="center"/>
            </w:pPr>
            <w:r>
              <w:rPr>
                <w:rFonts w:ascii="宋体" w:hAnsi="宋体" w:eastAsia="宋体"/>
                <w:sz w:val="16"/>
              </w:rPr>
              <w:t>组织活动保障经费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BC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F023">
            <w:pPr>
              <w:jc w:val="center"/>
            </w:pPr>
            <w:r>
              <w:rPr>
                <w:rFonts w:ascii="宋体" w:hAnsi="宋体" w:eastAsia="宋体"/>
                <w:sz w:val="16"/>
              </w:rPr>
              <w:t>&lt;=0.78万元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9993">
            <w:pPr>
              <w:jc w:val="center"/>
            </w:pPr>
            <w:r>
              <w:rPr>
                <w:rFonts w:ascii="宋体" w:hAnsi="宋体" w:eastAsia="宋体"/>
                <w:sz w:val="16"/>
              </w:rPr>
              <w:t>=0.78万元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4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AF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A4A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32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2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938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7C31">
            <w:pPr>
              <w:jc w:val="center"/>
            </w:pPr>
          </w:p>
        </w:tc>
      </w:tr>
      <w:tr w14:paraId="72857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0EF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36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5B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75E2">
            <w:pPr>
              <w:jc w:val="center"/>
            </w:pPr>
            <w:r>
              <w:rPr>
                <w:rFonts w:ascii="宋体" w:hAnsi="宋体" w:eastAsia="宋体"/>
                <w:sz w:val="16"/>
              </w:rPr>
              <w:t>提升政协委员履职能力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3EA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5A9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C81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3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638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D85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2E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86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CA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E47C">
            <w:pPr>
              <w:jc w:val="center"/>
            </w:pPr>
          </w:p>
        </w:tc>
      </w:tr>
      <w:tr w14:paraId="748FC2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F82D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C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B1F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0AB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B12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663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214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FB9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E83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D28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9D9B3"/>
        </w:tc>
      </w:tr>
    </w:tbl>
    <w:p w14:paraId="74184A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F126C54">
        <w:tblPrEx>
          <w:tblCellMar>
            <w:top w:w="0" w:type="dxa"/>
            <w:left w:w="108" w:type="dxa"/>
            <w:bottom w:w="0" w:type="dxa"/>
            <w:right w:w="108" w:type="dxa"/>
          </w:tblCellMar>
        </w:tblPrEx>
        <w:tc>
          <w:tcPr>
            <w:tcW w:w="8848" w:type="dxa"/>
            <w:gridSpan w:val="14"/>
            <w:vAlign w:val="center"/>
          </w:tcPr>
          <w:p w14:paraId="02B91DDC">
            <w:pPr>
              <w:jc w:val="center"/>
            </w:pPr>
            <w:r>
              <w:rPr>
                <w:rFonts w:ascii="宋体" w:hAnsi="宋体" w:eastAsia="宋体"/>
                <w:sz w:val="24"/>
              </w:rPr>
              <w:t>项目支出绩效自评表</w:t>
            </w:r>
          </w:p>
        </w:tc>
      </w:tr>
      <w:tr w14:paraId="599C223F">
        <w:tblPrEx>
          <w:tblCellMar>
            <w:top w:w="0" w:type="dxa"/>
            <w:left w:w="108" w:type="dxa"/>
            <w:bottom w:w="0" w:type="dxa"/>
            <w:right w:w="108" w:type="dxa"/>
          </w:tblCellMar>
        </w:tblPrEx>
        <w:tc>
          <w:tcPr>
            <w:tcW w:w="8848" w:type="dxa"/>
            <w:gridSpan w:val="14"/>
            <w:vAlign w:val="center"/>
          </w:tcPr>
          <w:p w14:paraId="2FF63A7A">
            <w:pPr>
              <w:jc w:val="center"/>
            </w:pPr>
            <w:r>
              <w:rPr>
                <w:rFonts w:ascii="宋体" w:hAnsi="宋体" w:eastAsia="宋体"/>
                <w:sz w:val="24"/>
              </w:rPr>
              <w:t>(2024年度)</w:t>
            </w:r>
          </w:p>
        </w:tc>
      </w:tr>
      <w:tr w14:paraId="167653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4C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A365CD">
            <w:pPr>
              <w:jc w:val="center"/>
            </w:pPr>
            <w:r>
              <w:rPr>
                <w:rFonts w:ascii="宋体" w:hAnsi="宋体" w:eastAsia="宋体"/>
                <w:sz w:val="16"/>
              </w:rPr>
              <w:t>吉木萨尔县北庭文史厦门援疆篇（2020-2022）出版印刷费用</w:t>
            </w:r>
          </w:p>
        </w:tc>
      </w:tr>
      <w:tr w14:paraId="47458D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92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24924">
            <w:pPr>
              <w:jc w:val="center"/>
            </w:pPr>
            <w:r>
              <w:rPr>
                <w:rFonts w:ascii="宋体" w:hAnsi="宋体" w:eastAsia="宋体"/>
                <w:sz w:val="16"/>
              </w:rPr>
              <w:t>中国人民政治协商会议吉木萨尔县委员会办公室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89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BF5151">
            <w:pPr>
              <w:jc w:val="center"/>
            </w:pPr>
            <w:r>
              <w:rPr>
                <w:rFonts w:ascii="宋体" w:hAnsi="宋体" w:eastAsia="宋体"/>
                <w:sz w:val="16"/>
              </w:rPr>
              <w:t>中国人民政治协商会议吉木萨尔县委员会办公室</w:t>
            </w:r>
          </w:p>
        </w:tc>
      </w:tr>
      <w:tr w14:paraId="5AD036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5609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1A0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723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531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171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D8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6C5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BC94">
            <w:pPr>
              <w:jc w:val="center"/>
            </w:pPr>
            <w:r>
              <w:rPr>
                <w:rFonts w:ascii="宋体" w:hAnsi="宋体" w:eastAsia="宋体"/>
                <w:sz w:val="16"/>
              </w:rPr>
              <w:t>得分</w:t>
            </w:r>
          </w:p>
        </w:tc>
      </w:tr>
      <w:tr w14:paraId="0A1E8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F3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0F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4C9A0">
            <w:pPr>
              <w:jc w:val="center"/>
            </w:pPr>
            <w:r>
              <w:rPr>
                <w:rFonts w:ascii="宋体" w:hAnsi="宋体" w:eastAsia="宋体"/>
                <w:sz w:val="16"/>
              </w:rPr>
              <w:t>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550BD">
            <w:pPr>
              <w:jc w:val="center"/>
            </w:pPr>
            <w:r>
              <w:rPr>
                <w:rFonts w:ascii="宋体" w:hAnsi="宋体" w:eastAsia="宋体"/>
                <w:sz w:val="16"/>
              </w:rPr>
              <w:t>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A2212">
            <w:pPr>
              <w:jc w:val="center"/>
            </w:pPr>
            <w:r>
              <w:rPr>
                <w:rFonts w:ascii="宋体" w:hAnsi="宋体" w:eastAsia="宋体"/>
                <w:sz w:val="16"/>
              </w:rPr>
              <w:t>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B2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F3A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77D4">
            <w:pPr>
              <w:jc w:val="center"/>
            </w:pPr>
            <w:r>
              <w:rPr>
                <w:rFonts w:ascii="宋体" w:hAnsi="宋体" w:eastAsia="宋体"/>
                <w:sz w:val="16"/>
              </w:rPr>
              <w:t>10.00</w:t>
            </w:r>
          </w:p>
        </w:tc>
      </w:tr>
      <w:tr w14:paraId="42868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610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CFD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EF891">
            <w:pPr>
              <w:jc w:val="center"/>
            </w:pPr>
            <w:r>
              <w:rPr>
                <w:rFonts w:ascii="宋体" w:hAnsi="宋体" w:eastAsia="宋体"/>
                <w:sz w:val="16"/>
              </w:rPr>
              <w:t>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766B1">
            <w:pPr>
              <w:jc w:val="center"/>
            </w:pPr>
            <w:r>
              <w:rPr>
                <w:rFonts w:ascii="宋体" w:hAnsi="宋体" w:eastAsia="宋体"/>
                <w:sz w:val="16"/>
              </w:rPr>
              <w:t>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0C274">
            <w:pPr>
              <w:jc w:val="center"/>
            </w:pPr>
            <w:r>
              <w:rPr>
                <w:rFonts w:ascii="宋体" w:hAnsi="宋体" w:eastAsia="宋体"/>
                <w:sz w:val="16"/>
              </w:rPr>
              <w:t>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455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E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2F0F">
            <w:pPr>
              <w:jc w:val="center"/>
            </w:pPr>
            <w:r>
              <w:rPr>
                <w:rFonts w:ascii="宋体" w:hAnsi="宋体" w:eastAsia="宋体"/>
                <w:sz w:val="16"/>
              </w:rPr>
              <w:t>—</w:t>
            </w:r>
          </w:p>
        </w:tc>
      </w:tr>
      <w:tr w14:paraId="7EA46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23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507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DF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163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55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949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DB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3D44">
            <w:pPr>
              <w:jc w:val="center"/>
            </w:pPr>
            <w:r>
              <w:rPr>
                <w:rFonts w:ascii="宋体" w:hAnsi="宋体" w:eastAsia="宋体"/>
                <w:sz w:val="16"/>
              </w:rPr>
              <w:t>—</w:t>
            </w:r>
          </w:p>
        </w:tc>
      </w:tr>
      <w:tr w14:paraId="551AC4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D29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3C0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D8204">
            <w:pPr>
              <w:jc w:val="center"/>
            </w:pPr>
            <w:r>
              <w:rPr>
                <w:rFonts w:ascii="宋体" w:hAnsi="宋体" w:eastAsia="宋体"/>
                <w:sz w:val="16"/>
              </w:rPr>
              <w:t>实际完成情况</w:t>
            </w:r>
          </w:p>
        </w:tc>
      </w:tr>
      <w:tr w14:paraId="68560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1B7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9EA4F5">
            <w:pPr>
              <w:jc w:val="both"/>
            </w:pPr>
            <w:r>
              <w:rPr>
                <w:rFonts w:ascii="宋体" w:hAnsi="宋体" w:eastAsia="宋体"/>
                <w:sz w:val="16"/>
              </w:rPr>
              <w:t>通过编辑吉木萨尔县北庭文史厦门援疆篇（2020-2022）文史资料，从不同角度和层面翔实记录了2020</w:t>
            </w:r>
            <w:r>
              <w:rPr>
                <w:rFonts w:hint="eastAsia" w:ascii="宋体" w:hAnsi="宋体"/>
                <w:sz w:val="16"/>
                <w:lang w:eastAsia="zh-CN"/>
              </w:rPr>
              <w:t>—2022年</w:t>
            </w:r>
            <w:r>
              <w:rPr>
                <w:rFonts w:ascii="宋体" w:hAnsi="宋体" w:eastAsia="宋体"/>
                <w:sz w:val="16"/>
              </w:rPr>
              <w:t>厦门市对口援建吉木萨尔县的非凡历程，有效发挥了存史、资政、团结、育人的社会功能，传播了文化润疆社会正能量，对于提升吉木萨尔历史文化品位，进一步推动厦吉两地往来互动，促进吉木萨尔县文化事业繁荣发展，具有极其深远的意义。印刷1000本，每本42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D084A7">
            <w:pPr>
              <w:jc w:val="both"/>
            </w:pPr>
            <w:r>
              <w:rPr>
                <w:rFonts w:hint="eastAsia" w:ascii="宋体" w:hAnsi="宋体"/>
                <w:sz w:val="16"/>
                <w:lang w:eastAsia="zh-CN"/>
              </w:rPr>
              <w:t>截至2024</w:t>
            </w:r>
            <w:r>
              <w:rPr>
                <w:rFonts w:ascii="宋体" w:hAnsi="宋体" w:eastAsia="宋体"/>
                <w:sz w:val="16"/>
              </w:rPr>
              <w:t>年12月31日，本项目实际支出资金9.94万元，预算执行率100%，实际已完成1000册吉木萨尔县北庭文史厦门援疆篇（2020-2022）书的印刷出版工作，通过实施本项目，出版北庭文史厦门援疆篇书籍，从不同角度和层面翔实记录了2020</w:t>
            </w:r>
            <w:r>
              <w:rPr>
                <w:rFonts w:hint="eastAsia" w:ascii="宋体" w:hAnsi="宋体"/>
                <w:sz w:val="16"/>
                <w:lang w:eastAsia="zh-CN"/>
              </w:rPr>
              <w:t>—2022年</w:t>
            </w:r>
            <w:r>
              <w:rPr>
                <w:rFonts w:ascii="宋体" w:hAnsi="宋体" w:eastAsia="宋体"/>
                <w:sz w:val="16"/>
              </w:rPr>
              <w:t>厦门市对口援建吉木萨尔县的非凡历程，有效发挥了存史、资政、团结、育人的社会功能，传播了文化润疆社会正能量，进一步提升吉木萨尔历史文化品位，有力推动厦吉两地往来互动，在促进吉木萨尔县文化事业繁荣发展方面发挥了积极作用。</w:t>
            </w:r>
          </w:p>
        </w:tc>
      </w:tr>
      <w:tr w14:paraId="6054D8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A6D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48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0D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7D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B0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2B8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C2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40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78C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00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69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42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D8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B1CB">
            <w:pPr>
              <w:jc w:val="center"/>
            </w:pPr>
            <w:r>
              <w:rPr>
                <w:rFonts w:ascii="宋体" w:hAnsi="宋体" w:eastAsia="宋体"/>
                <w:sz w:val="16"/>
              </w:rPr>
              <w:t>偏差原因分析及改进措施</w:t>
            </w:r>
          </w:p>
        </w:tc>
      </w:tr>
      <w:tr w14:paraId="7B695A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069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045D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73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92F5">
            <w:pPr>
              <w:jc w:val="center"/>
            </w:pPr>
            <w:r>
              <w:rPr>
                <w:rFonts w:ascii="宋体" w:hAnsi="宋体" w:eastAsia="宋体"/>
                <w:sz w:val="16"/>
              </w:rPr>
              <w:t>印刷册数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C6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9E18">
            <w:pPr>
              <w:jc w:val="center"/>
            </w:pPr>
            <w:r>
              <w:rPr>
                <w:rFonts w:ascii="宋体" w:hAnsi="宋体" w:eastAsia="宋体"/>
                <w:sz w:val="16"/>
              </w:rPr>
              <w:t>=1000本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11CD">
            <w:pPr>
              <w:jc w:val="center"/>
            </w:pPr>
            <w:r>
              <w:rPr>
                <w:rFonts w:ascii="宋体" w:hAnsi="宋体" w:eastAsia="宋体"/>
                <w:sz w:val="16"/>
              </w:rPr>
              <w:t>=1000本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3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68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D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2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0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3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848B">
            <w:pPr>
              <w:jc w:val="center"/>
            </w:pPr>
          </w:p>
        </w:tc>
      </w:tr>
      <w:tr w14:paraId="774E0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D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F3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40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A50C">
            <w:pPr>
              <w:jc w:val="center"/>
            </w:pPr>
            <w:r>
              <w:rPr>
                <w:rFonts w:ascii="宋体" w:hAnsi="宋体" w:eastAsia="宋体"/>
                <w:sz w:val="16"/>
              </w:rPr>
              <w:t>印刷资料质量合格率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1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5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E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3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B0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516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D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D6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3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599F">
            <w:pPr>
              <w:jc w:val="center"/>
            </w:pPr>
          </w:p>
        </w:tc>
      </w:tr>
      <w:tr w14:paraId="3D683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30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A7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B9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5A9D">
            <w:pPr>
              <w:jc w:val="center"/>
            </w:pPr>
            <w:r>
              <w:rPr>
                <w:rFonts w:ascii="宋体" w:hAnsi="宋体" w:eastAsia="宋体"/>
                <w:sz w:val="16"/>
              </w:rPr>
              <w:t>文史印刷及时性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8E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3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5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8B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F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C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E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1A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113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28BF">
            <w:pPr>
              <w:jc w:val="center"/>
            </w:pPr>
          </w:p>
        </w:tc>
      </w:tr>
      <w:tr w14:paraId="6B14D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8D8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D91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B82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85F1">
            <w:pPr>
              <w:jc w:val="center"/>
            </w:pPr>
            <w:r>
              <w:rPr>
                <w:rFonts w:ascii="宋体" w:hAnsi="宋体" w:eastAsia="宋体"/>
                <w:sz w:val="16"/>
              </w:rPr>
              <w:t>每本印刷标准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B6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48C5">
            <w:pPr>
              <w:jc w:val="center"/>
            </w:pPr>
            <w:r>
              <w:rPr>
                <w:rFonts w:ascii="宋体" w:hAnsi="宋体" w:eastAsia="宋体"/>
                <w:sz w:val="16"/>
              </w:rPr>
              <w:t>=42元/本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D2FB">
            <w:pPr>
              <w:jc w:val="center"/>
            </w:pPr>
            <w:r>
              <w:rPr>
                <w:rFonts w:ascii="宋体" w:hAnsi="宋体" w:eastAsia="宋体"/>
                <w:sz w:val="16"/>
              </w:rPr>
              <w:t>=42元/本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E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3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4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6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1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9DA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D74C">
            <w:pPr>
              <w:jc w:val="center"/>
            </w:pPr>
          </w:p>
        </w:tc>
      </w:tr>
      <w:tr w14:paraId="6D4B6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EA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DD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22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34E5">
            <w:pPr>
              <w:jc w:val="center"/>
            </w:pPr>
            <w:r>
              <w:rPr>
                <w:rFonts w:ascii="宋体" w:hAnsi="宋体" w:eastAsia="宋体"/>
                <w:sz w:val="16"/>
              </w:rPr>
              <w:t>书号费用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5A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C14D">
            <w:pPr>
              <w:jc w:val="center"/>
            </w:pPr>
            <w:r>
              <w:rPr>
                <w:rFonts w:ascii="宋体" w:hAnsi="宋体" w:eastAsia="宋体"/>
                <w:sz w:val="16"/>
              </w:rPr>
              <w: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B63B">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E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EC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F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7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0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C28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C2C4">
            <w:pPr>
              <w:jc w:val="center"/>
            </w:pPr>
          </w:p>
        </w:tc>
      </w:tr>
      <w:tr w14:paraId="5E69A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B5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D8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65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6A53">
            <w:pPr>
              <w:jc w:val="center"/>
            </w:pPr>
            <w:r>
              <w:rPr>
                <w:rFonts w:ascii="宋体" w:hAnsi="宋体" w:eastAsia="宋体"/>
                <w:sz w:val="16"/>
              </w:rPr>
              <w:t>审校费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9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D14B">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B071">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2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7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D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C1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8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3C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B5ED">
            <w:pPr>
              <w:jc w:val="center"/>
            </w:pPr>
          </w:p>
        </w:tc>
      </w:tr>
      <w:tr w14:paraId="32A38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1A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5E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93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9FE3">
            <w:pPr>
              <w:jc w:val="center"/>
            </w:pPr>
            <w:r>
              <w:rPr>
                <w:rFonts w:ascii="宋体" w:hAnsi="宋体" w:eastAsia="宋体"/>
                <w:sz w:val="16"/>
              </w:rPr>
              <w:t>出版文史发挥的重要作用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72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AE76">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A8DD">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C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6E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7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2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EB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0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F72E">
            <w:pPr>
              <w:jc w:val="center"/>
            </w:pPr>
          </w:p>
        </w:tc>
      </w:tr>
      <w:tr w14:paraId="0B0D30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E832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1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4BA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AB2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56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B8C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827F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406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FFB6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3F0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4D318"/>
        </w:tc>
      </w:tr>
    </w:tbl>
    <w:p w14:paraId="31C305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60F49539">
        <w:tblPrEx>
          <w:tblCellMar>
            <w:top w:w="0" w:type="dxa"/>
            <w:left w:w="108" w:type="dxa"/>
            <w:bottom w:w="0" w:type="dxa"/>
            <w:right w:w="108" w:type="dxa"/>
          </w:tblCellMar>
        </w:tblPrEx>
        <w:tc>
          <w:tcPr>
            <w:tcW w:w="8848" w:type="dxa"/>
            <w:gridSpan w:val="14"/>
            <w:vAlign w:val="center"/>
          </w:tcPr>
          <w:p w14:paraId="12AE8D03">
            <w:pPr>
              <w:jc w:val="center"/>
            </w:pPr>
            <w:r>
              <w:rPr>
                <w:rFonts w:ascii="宋体" w:hAnsi="宋体" w:eastAsia="宋体"/>
                <w:sz w:val="24"/>
              </w:rPr>
              <w:t>项目支出绩效自评表</w:t>
            </w:r>
          </w:p>
        </w:tc>
      </w:tr>
      <w:tr w14:paraId="2C7BB3D9">
        <w:tblPrEx>
          <w:tblCellMar>
            <w:top w:w="0" w:type="dxa"/>
            <w:left w:w="108" w:type="dxa"/>
            <w:bottom w:w="0" w:type="dxa"/>
            <w:right w:w="108" w:type="dxa"/>
          </w:tblCellMar>
        </w:tblPrEx>
        <w:tc>
          <w:tcPr>
            <w:tcW w:w="8848" w:type="dxa"/>
            <w:gridSpan w:val="14"/>
            <w:vAlign w:val="center"/>
          </w:tcPr>
          <w:p w14:paraId="4EB7F407">
            <w:pPr>
              <w:jc w:val="center"/>
            </w:pPr>
            <w:r>
              <w:rPr>
                <w:rFonts w:ascii="宋体" w:hAnsi="宋体" w:eastAsia="宋体"/>
                <w:sz w:val="24"/>
              </w:rPr>
              <w:t>(2024年度)</w:t>
            </w:r>
          </w:p>
        </w:tc>
      </w:tr>
      <w:tr w14:paraId="50152B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E1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9A5D21">
            <w:pPr>
              <w:jc w:val="center"/>
            </w:pPr>
            <w:r>
              <w:rPr>
                <w:rFonts w:ascii="宋体" w:hAnsi="宋体" w:eastAsia="宋体"/>
                <w:sz w:val="16"/>
              </w:rPr>
              <w:t>吉木萨尔县政协办关于吉木萨尔县北庭文史厦门援疆篇（2020-2022）稿酬和编辑费</w:t>
            </w:r>
          </w:p>
        </w:tc>
      </w:tr>
      <w:tr w14:paraId="70544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98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338E61">
            <w:pPr>
              <w:jc w:val="center"/>
            </w:pPr>
            <w:r>
              <w:rPr>
                <w:rFonts w:ascii="宋体" w:hAnsi="宋体" w:eastAsia="宋体"/>
                <w:sz w:val="16"/>
              </w:rPr>
              <w:t>中国人民政治协商会议吉木萨尔县委员会办公室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24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460222">
            <w:pPr>
              <w:jc w:val="center"/>
            </w:pPr>
            <w:r>
              <w:rPr>
                <w:rFonts w:ascii="宋体" w:hAnsi="宋体" w:eastAsia="宋体"/>
                <w:sz w:val="16"/>
              </w:rPr>
              <w:t>中国人民政治协商会议吉木萨尔县委员会办公室</w:t>
            </w:r>
          </w:p>
        </w:tc>
      </w:tr>
      <w:tr w14:paraId="31130A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BEFD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BCA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8F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03C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EE9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034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F7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7252">
            <w:pPr>
              <w:jc w:val="center"/>
            </w:pPr>
            <w:r>
              <w:rPr>
                <w:rFonts w:ascii="宋体" w:hAnsi="宋体" w:eastAsia="宋体"/>
                <w:sz w:val="16"/>
              </w:rPr>
              <w:t>得分</w:t>
            </w:r>
          </w:p>
        </w:tc>
      </w:tr>
      <w:tr w14:paraId="131F6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471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39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0393">
            <w:pPr>
              <w:jc w:val="center"/>
            </w:pPr>
            <w:r>
              <w:rPr>
                <w:rFonts w:ascii="宋体" w:hAnsi="宋体" w:eastAsia="宋体"/>
                <w:sz w:val="16"/>
              </w:rPr>
              <w:t>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7AA12">
            <w:pPr>
              <w:jc w:val="center"/>
            </w:pPr>
            <w:r>
              <w:rPr>
                <w:rFonts w:ascii="宋体" w:hAnsi="宋体" w:eastAsia="宋体"/>
                <w:sz w:val="16"/>
              </w:rPr>
              <w:t>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70DE3">
            <w:pPr>
              <w:jc w:val="center"/>
            </w:pPr>
            <w:r>
              <w:rPr>
                <w:rFonts w:ascii="宋体" w:hAnsi="宋体" w:eastAsia="宋体"/>
                <w:sz w:val="16"/>
              </w:rPr>
              <w:t>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81F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39E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ECED">
            <w:pPr>
              <w:jc w:val="center"/>
            </w:pPr>
            <w:r>
              <w:rPr>
                <w:rFonts w:ascii="宋体" w:hAnsi="宋体" w:eastAsia="宋体"/>
                <w:sz w:val="16"/>
              </w:rPr>
              <w:t>10.00</w:t>
            </w:r>
          </w:p>
        </w:tc>
      </w:tr>
      <w:tr w14:paraId="4C80A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B50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D7D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BC05">
            <w:pPr>
              <w:jc w:val="center"/>
            </w:pPr>
            <w:r>
              <w:rPr>
                <w:rFonts w:ascii="宋体" w:hAnsi="宋体" w:eastAsia="宋体"/>
                <w:sz w:val="16"/>
              </w:rPr>
              <w:t>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93010">
            <w:pPr>
              <w:jc w:val="center"/>
            </w:pPr>
            <w:r>
              <w:rPr>
                <w:rFonts w:ascii="宋体" w:hAnsi="宋体" w:eastAsia="宋体"/>
                <w:sz w:val="16"/>
              </w:rPr>
              <w:t>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67E2A">
            <w:pPr>
              <w:jc w:val="center"/>
            </w:pPr>
            <w:r>
              <w:rPr>
                <w:rFonts w:ascii="宋体" w:hAnsi="宋体" w:eastAsia="宋体"/>
                <w:sz w:val="16"/>
              </w:rPr>
              <w:t>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234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B25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B610">
            <w:pPr>
              <w:jc w:val="center"/>
            </w:pPr>
            <w:r>
              <w:rPr>
                <w:rFonts w:ascii="宋体" w:hAnsi="宋体" w:eastAsia="宋体"/>
                <w:sz w:val="16"/>
              </w:rPr>
              <w:t>—</w:t>
            </w:r>
          </w:p>
        </w:tc>
      </w:tr>
      <w:tr w14:paraId="30DE6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907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D1E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C96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4A3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BE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859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5A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B3E3">
            <w:pPr>
              <w:jc w:val="center"/>
            </w:pPr>
            <w:r>
              <w:rPr>
                <w:rFonts w:ascii="宋体" w:hAnsi="宋体" w:eastAsia="宋体"/>
                <w:sz w:val="16"/>
              </w:rPr>
              <w:t>—</w:t>
            </w:r>
          </w:p>
        </w:tc>
      </w:tr>
      <w:tr w14:paraId="3BCA6C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B94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EE3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8D8B2">
            <w:pPr>
              <w:jc w:val="center"/>
            </w:pPr>
            <w:r>
              <w:rPr>
                <w:rFonts w:ascii="宋体" w:hAnsi="宋体" w:eastAsia="宋体"/>
                <w:sz w:val="16"/>
              </w:rPr>
              <w:t>实际完成情况</w:t>
            </w:r>
          </w:p>
        </w:tc>
      </w:tr>
      <w:tr w14:paraId="3FD1F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E5F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CD976">
            <w:pPr>
              <w:jc w:val="both"/>
            </w:pPr>
            <w:r>
              <w:rPr>
                <w:rFonts w:ascii="宋体" w:hAnsi="宋体" w:eastAsia="宋体"/>
                <w:sz w:val="16"/>
              </w:rPr>
              <w:t>本项目主要实施内容为：吉木萨尔县政协2023年启动了北庭文史援疆篇征集编纂工作，2024年9月29日成功出版，援疆篇共采用单位集体供稿26篇，个人供稿50篇。为进一步激励有关单位及社会各界人士积极投身和支持县政协文史工作，稿酬费用和编辑费用2.61万元。通过本项目实施，发放稿酬人数50人；文史编纂整理完成及时性100%；稿酬发放及时率100%。待项目实施完成，争取使稿酬发放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766AA">
            <w:pPr>
              <w:jc w:val="both"/>
            </w:pPr>
            <w:r>
              <w:rPr>
                <w:rFonts w:hint="eastAsia" w:ascii="宋体" w:hAnsi="宋体"/>
                <w:sz w:val="16"/>
                <w:lang w:eastAsia="zh-CN"/>
              </w:rPr>
              <w:t>截至</w:t>
            </w:r>
            <w:r>
              <w:rPr>
                <w:rFonts w:ascii="宋体" w:hAnsi="宋体" w:eastAsia="宋体"/>
                <w:sz w:val="16"/>
              </w:rPr>
              <w:t>2024年12月31日，支付稿酬费用和编辑费用2.61万元，预算执行率100%。通过本项目实施，发放稿酬人数达到50人；文史编纂整理完成及时性达到100%；稿酬发放及时率达到100%，进一步激励有关单位及社会各界人士积极投身和支持县政协文史工作。</w:t>
            </w:r>
          </w:p>
        </w:tc>
      </w:tr>
      <w:tr w14:paraId="0CC073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EA3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6F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29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37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B3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CCA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9BB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3C1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A85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E6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EB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F6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42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F56F">
            <w:pPr>
              <w:jc w:val="center"/>
            </w:pPr>
            <w:r>
              <w:rPr>
                <w:rFonts w:ascii="宋体" w:hAnsi="宋体" w:eastAsia="宋体"/>
                <w:sz w:val="16"/>
              </w:rPr>
              <w:t>偏差原因分析及改进措施</w:t>
            </w:r>
          </w:p>
        </w:tc>
      </w:tr>
      <w:tr w14:paraId="70772D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18C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717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C2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D854">
            <w:pPr>
              <w:jc w:val="center"/>
            </w:pPr>
            <w:r>
              <w:rPr>
                <w:rFonts w:ascii="宋体" w:hAnsi="宋体" w:eastAsia="宋体"/>
                <w:sz w:val="16"/>
              </w:rPr>
              <w:t>发放稿酬人数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133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DD85">
            <w:pPr>
              <w:jc w:val="center"/>
            </w:pPr>
            <w:r>
              <w:rPr>
                <w:rFonts w:ascii="宋体" w:hAnsi="宋体" w:eastAsia="宋体"/>
                <w:sz w:val="16"/>
              </w:rPr>
              <w:t>&lt;=50人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3D0A">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0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98A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03F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7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5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30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0C7F">
            <w:pPr>
              <w:jc w:val="center"/>
            </w:pPr>
          </w:p>
        </w:tc>
      </w:tr>
      <w:tr w14:paraId="0F7AA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87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A1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C8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C6B5">
            <w:pPr>
              <w:jc w:val="center"/>
            </w:pPr>
            <w:r>
              <w:rPr>
                <w:rFonts w:ascii="宋体" w:hAnsi="宋体" w:eastAsia="宋体"/>
                <w:sz w:val="16"/>
              </w:rPr>
              <w:t>文史编纂整理完成及时性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06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3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B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1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7D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0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B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4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9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7505">
            <w:pPr>
              <w:jc w:val="center"/>
            </w:pPr>
          </w:p>
        </w:tc>
      </w:tr>
      <w:tr w14:paraId="5ECE8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30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69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C3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3494">
            <w:pPr>
              <w:jc w:val="center"/>
            </w:pPr>
            <w:r>
              <w:rPr>
                <w:rFonts w:ascii="宋体" w:hAnsi="宋体" w:eastAsia="宋体"/>
                <w:sz w:val="16"/>
              </w:rPr>
              <w:t>稿酬发放及时率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9AF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E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6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B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049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4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1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E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A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D1D6">
            <w:pPr>
              <w:jc w:val="center"/>
            </w:pPr>
          </w:p>
        </w:tc>
      </w:tr>
      <w:tr w14:paraId="3A826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727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C9C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DD9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2DF9">
            <w:pPr>
              <w:jc w:val="center"/>
            </w:pPr>
            <w:r>
              <w:rPr>
                <w:rFonts w:ascii="宋体" w:hAnsi="宋体" w:eastAsia="宋体"/>
                <w:sz w:val="16"/>
              </w:rPr>
              <w:t>文字作品稿酬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07E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6850">
            <w:pPr>
              <w:jc w:val="center"/>
            </w:pPr>
            <w:r>
              <w:rPr>
                <w:rFonts w:ascii="宋体" w:hAnsi="宋体" w:eastAsia="宋体"/>
                <w:sz w:val="16"/>
              </w:rPr>
              <w:t>=0.20元/字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AA63">
            <w:pPr>
              <w:jc w:val="center"/>
            </w:pPr>
            <w:r>
              <w:rPr>
                <w:rFonts w:ascii="宋体" w:hAnsi="宋体" w:eastAsia="宋体"/>
                <w:sz w:val="16"/>
              </w:rPr>
              <w:t>=0.2元/字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2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BBD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E75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C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4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0B0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DA35">
            <w:pPr>
              <w:jc w:val="center"/>
            </w:pPr>
          </w:p>
        </w:tc>
      </w:tr>
      <w:tr w14:paraId="1C9B7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DB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42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71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75EA">
            <w:pPr>
              <w:jc w:val="center"/>
            </w:pPr>
            <w:r>
              <w:rPr>
                <w:rFonts w:ascii="宋体" w:hAnsi="宋体" w:eastAsia="宋体"/>
                <w:sz w:val="16"/>
              </w:rPr>
              <w:t>编辑费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97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F54F">
            <w:pPr>
              <w:jc w:val="center"/>
            </w:pPr>
            <w:r>
              <w:rPr>
                <w:rFonts w:ascii="宋体" w:hAnsi="宋体" w:eastAsia="宋体"/>
                <w:sz w:val="16"/>
              </w:rPr>
              <w:t>=0.02元/字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7452">
            <w:pPr>
              <w:jc w:val="center"/>
            </w:pPr>
            <w:r>
              <w:rPr>
                <w:rFonts w:ascii="宋体" w:hAnsi="宋体" w:eastAsia="宋体"/>
                <w:sz w:val="16"/>
              </w:rPr>
              <w:t>=0.02元/字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E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6B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E43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5B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E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653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23CE">
            <w:pPr>
              <w:jc w:val="center"/>
            </w:pPr>
          </w:p>
        </w:tc>
      </w:tr>
      <w:tr w14:paraId="52106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21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F4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17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380C">
            <w:pPr>
              <w:jc w:val="center"/>
            </w:pPr>
            <w:r>
              <w:rPr>
                <w:rFonts w:ascii="宋体" w:hAnsi="宋体" w:eastAsia="宋体"/>
                <w:sz w:val="16"/>
              </w:rPr>
              <w:t>发挥政协文史工作团结育人作用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20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36A7">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FB47">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0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7A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CC5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2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D8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D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EF7B">
            <w:pPr>
              <w:jc w:val="center"/>
            </w:pPr>
          </w:p>
        </w:tc>
      </w:tr>
      <w:tr w14:paraId="246CC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ED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73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80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9332">
            <w:pPr>
              <w:jc w:val="center"/>
            </w:pPr>
            <w:r>
              <w:rPr>
                <w:rFonts w:ascii="宋体" w:hAnsi="宋体" w:eastAsia="宋体"/>
                <w:sz w:val="16"/>
              </w:rPr>
              <w:t>稿酬发放人员满意度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68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4A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C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6E69">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9A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7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8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A9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D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0F9A">
            <w:pPr>
              <w:jc w:val="center"/>
            </w:pPr>
            <w:r>
              <w:rPr>
                <w:rFonts w:ascii="宋体" w:hAnsi="宋体" w:eastAsia="宋体"/>
                <w:sz w:val="16"/>
              </w:rPr>
              <w:t>稿酬费及时发放，</w:t>
            </w:r>
            <w:r>
              <w:rPr>
                <w:rFonts w:hint="eastAsia" w:ascii="宋体" w:hAnsi="宋体"/>
                <w:sz w:val="16"/>
                <w:lang w:eastAsia="zh-CN"/>
              </w:rPr>
              <w:t>对</w:t>
            </w:r>
            <w:r>
              <w:rPr>
                <w:rFonts w:ascii="宋体" w:hAnsi="宋体" w:eastAsia="宋体"/>
                <w:sz w:val="16"/>
              </w:rPr>
              <w:t>受益人员满意度达到100%。</w:t>
            </w:r>
          </w:p>
        </w:tc>
      </w:tr>
      <w:tr w14:paraId="2B8597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BB77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AC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702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DEC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0FC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65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4EB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196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E88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109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31B2B"/>
        </w:tc>
      </w:tr>
    </w:tbl>
    <w:p w14:paraId="66725D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28A85A8">
        <w:tblPrEx>
          <w:tblCellMar>
            <w:top w:w="0" w:type="dxa"/>
            <w:left w:w="108" w:type="dxa"/>
            <w:bottom w:w="0" w:type="dxa"/>
            <w:right w:w="108" w:type="dxa"/>
          </w:tblCellMar>
        </w:tblPrEx>
        <w:tc>
          <w:tcPr>
            <w:tcW w:w="8848" w:type="dxa"/>
            <w:gridSpan w:val="14"/>
            <w:vAlign w:val="center"/>
          </w:tcPr>
          <w:p w14:paraId="00AA23F8">
            <w:pPr>
              <w:jc w:val="center"/>
            </w:pPr>
            <w:r>
              <w:rPr>
                <w:rFonts w:ascii="宋体" w:hAnsi="宋体" w:eastAsia="宋体"/>
                <w:sz w:val="24"/>
              </w:rPr>
              <w:t>项目支出绩效自评表</w:t>
            </w:r>
          </w:p>
        </w:tc>
      </w:tr>
      <w:tr w14:paraId="4C001FB1">
        <w:tblPrEx>
          <w:tblCellMar>
            <w:top w:w="0" w:type="dxa"/>
            <w:left w:w="108" w:type="dxa"/>
            <w:bottom w:w="0" w:type="dxa"/>
            <w:right w:w="108" w:type="dxa"/>
          </w:tblCellMar>
        </w:tblPrEx>
        <w:tc>
          <w:tcPr>
            <w:tcW w:w="8848" w:type="dxa"/>
            <w:gridSpan w:val="14"/>
            <w:vAlign w:val="center"/>
          </w:tcPr>
          <w:p w14:paraId="017F9291">
            <w:pPr>
              <w:jc w:val="center"/>
            </w:pPr>
            <w:r>
              <w:rPr>
                <w:rFonts w:ascii="宋体" w:hAnsi="宋体" w:eastAsia="宋体"/>
                <w:sz w:val="24"/>
              </w:rPr>
              <w:t>(2024年度)</w:t>
            </w:r>
          </w:p>
        </w:tc>
      </w:tr>
      <w:tr w14:paraId="4AC36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86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8A3005">
            <w:pPr>
              <w:jc w:val="center"/>
            </w:pPr>
            <w:r>
              <w:rPr>
                <w:rFonts w:ascii="宋体" w:hAnsi="宋体" w:eastAsia="宋体"/>
                <w:sz w:val="16"/>
              </w:rPr>
              <w:t>吉木萨尔县政协办昌州财行</w:t>
            </w:r>
            <w:r>
              <w:rPr>
                <w:rFonts w:hint="eastAsia" w:ascii="宋体" w:hAnsi="宋体"/>
                <w:sz w:val="16"/>
                <w:lang w:eastAsia="zh-CN"/>
              </w:rPr>
              <w:t>〔2023〕44号</w:t>
            </w:r>
            <w:r>
              <w:rPr>
                <w:rFonts w:ascii="宋体" w:hAnsi="宋体" w:eastAsia="宋体"/>
                <w:sz w:val="16"/>
              </w:rPr>
              <w:t>关于提前下达2024年度自治区基层政协补助经费的通知</w:t>
            </w:r>
          </w:p>
        </w:tc>
      </w:tr>
      <w:tr w14:paraId="1F10D8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B7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2BE7F">
            <w:pPr>
              <w:jc w:val="center"/>
            </w:pPr>
            <w:r>
              <w:rPr>
                <w:rFonts w:ascii="宋体" w:hAnsi="宋体" w:eastAsia="宋体"/>
                <w:sz w:val="16"/>
              </w:rPr>
              <w:t>中国人民政治协商会议吉木萨尔县委员会办公室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08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87AF5">
            <w:pPr>
              <w:jc w:val="center"/>
            </w:pPr>
            <w:r>
              <w:rPr>
                <w:rFonts w:ascii="宋体" w:hAnsi="宋体" w:eastAsia="宋体"/>
                <w:sz w:val="16"/>
              </w:rPr>
              <w:t>中国人民政治协商会议吉木萨尔县委员会办公室</w:t>
            </w:r>
          </w:p>
        </w:tc>
      </w:tr>
      <w:tr w14:paraId="0BB0F9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0CE2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F1C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F55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258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DA9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8AF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B1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EF49">
            <w:pPr>
              <w:jc w:val="center"/>
            </w:pPr>
            <w:r>
              <w:rPr>
                <w:rFonts w:ascii="宋体" w:hAnsi="宋体" w:eastAsia="宋体"/>
                <w:sz w:val="16"/>
              </w:rPr>
              <w:t>得分</w:t>
            </w:r>
          </w:p>
        </w:tc>
      </w:tr>
      <w:tr w14:paraId="4BB17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4EC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7A7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8DA6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8D1B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89B5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A3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321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BE0F">
            <w:pPr>
              <w:jc w:val="center"/>
            </w:pPr>
            <w:r>
              <w:rPr>
                <w:rFonts w:ascii="宋体" w:hAnsi="宋体" w:eastAsia="宋体"/>
                <w:sz w:val="16"/>
              </w:rPr>
              <w:t>10.00</w:t>
            </w:r>
          </w:p>
        </w:tc>
      </w:tr>
      <w:tr w14:paraId="24C62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311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58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E5C0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647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E176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35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C1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C225">
            <w:pPr>
              <w:jc w:val="center"/>
            </w:pPr>
            <w:r>
              <w:rPr>
                <w:rFonts w:ascii="宋体" w:hAnsi="宋体" w:eastAsia="宋体"/>
                <w:sz w:val="16"/>
              </w:rPr>
              <w:t>—</w:t>
            </w:r>
          </w:p>
        </w:tc>
      </w:tr>
      <w:tr w14:paraId="45C0B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08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C04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CE0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C4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73F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206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64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6BA3">
            <w:pPr>
              <w:jc w:val="center"/>
            </w:pPr>
            <w:r>
              <w:rPr>
                <w:rFonts w:ascii="宋体" w:hAnsi="宋体" w:eastAsia="宋体"/>
                <w:sz w:val="16"/>
              </w:rPr>
              <w:t>—</w:t>
            </w:r>
          </w:p>
        </w:tc>
      </w:tr>
      <w:tr w14:paraId="059E74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189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BE1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FBD98">
            <w:pPr>
              <w:jc w:val="center"/>
            </w:pPr>
            <w:r>
              <w:rPr>
                <w:rFonts w:ascii="宋体" w:hAnsi="宋体" w:eastAsia="宋体"/>
                <w:sz w:val="16"/>
              </w:rPr>
              <w:t>实际完成情况</w:t>
            </w:r>
          </w:p>
        </w:tc>
      </w:tr>
      <w:tr w14:paraId="615FF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D6D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A7B48C">
            <w:pPr>
              <w:jc w:val="both"/>
            </w:pPr>
            <w:r>
              <w:rPr>
                <w:rFonts w:ascii="宋体" w:hAnsi="宋体" w:eastAsia="宋体"/>
                <w:sz w:val="16"/>
              </w:rPr>
              <w:t>项目实施后，加强了基层政协工作，保障了基层政协办公正常运转，发挥了重要的作用。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96847D">
            <w:pPr>
              <w:jc w:val="both"/>
            </w:pPr>
            <w:r>
              <w:rPr>
                <w:rFonts w:hint="eastAsia" w:ascii="宋体" w:hAnsi="宋体"/>
                <w:sz w:val="16"/>
                <w:lang w:eastAsia="zh-CN"/>
              </w:rPr>
              <w:t>截至2024</w:t>
            </w:r>
            <w:r>
              <w:rPr>
                <w:rFonts w:ascii="宋体" w:hAnsi="宋体" w:eastAsia="宋体"/>
                <w:sz w:val="16"/>
              </w:rPr>
              <w:t>年12月31日，本项目实际支出资金5万元，预算执行率100%，实际已完成2台电脑的采购，完成组织政协委员开展一次业务培训工作，完成组织4人次外出培训工作，通过实施本项目，改善了基层政协办公条件，通过组织政协委员开展培训，进一步提升了政协委员的履职能力和水平。</w:t>
            </w:r>
          </w:p>
        </w:tc>
      </w:tr>
      <w:tr w14:paraId="4C2F6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A7C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AC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30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D6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97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6E8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B8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F2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2E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A6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63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89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8B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DF6D">
            <w:pPr>
              <w:jc w:val="center"/>
            </w:pPr>
            <w:r>
              <w:rPr>
                <w:rFonts w:ascii="宋体" w:hAnsi="宋体" w:eastAsia="宋体"/>
                <w:sz w:val="16"/>
              </w:rPr>
              <w:t>偏差原因分析及改进措施</w:t>
            </w:r>
          </w:p>
        </w:tc>
      </w:tr>
      <w:tr w14:paraId="1EE159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D2E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3A65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B2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D52A">
            <w:pPr>
              <w:jc w:val="center"/>
            </w:pPr>
            <w:r>
              <w:rPr>
                <w:rFonts w:ascii="宋体" w:hAnsi="宋体" w:eastAsia="宋体"/>
                <w:sz w:val="16"/>
              </w:rPr>
              <w:t>基层政协数量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5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69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5C1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1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1B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4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FD8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11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C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48AF">
            <w:pPr>
              <w:jc w:val="center"/>
            </w:pPr>
          </w:p>
        </w:tc>
      </w:tr>
      <w:tr w14:paraId="69905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95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8CF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320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E25A">
            <w:pPr>
              <w:jc w:val="center"/>
            </w:pPr>
            <w:r>
              <w:rPr>
                <w:rFonts w:ascii="宋体" w:hAnsi="宋体" w:eastAsia="宋体"/>
                <w:sz w:val="16"/>
              </w:rPr>
              <w:t>基层政协达到补助效果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B3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9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E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8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2D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0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3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2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8B1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0C70">
            <w:pPr>
              <w:jc w:val="center"/>
            </w:pPr>
          </w:p>
        </w:tc>
      </w:tr>
      <w:tr w14:paraId="0DBC1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87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8A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0D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CF3D">
            <w:pPr>
              <w:jc w:val="center"/>
            </w:pPr>
            <w:r>
              <w:rPr>
                <w:rFonts w:ascii="宋体" w:hAnsi="宋体" w:eastAsia="宋体"/>
                <w:sz w:val="16"/>
              </w:rPr>
              <w:t>补充基层政协覆盖率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25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4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8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8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3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9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D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3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0EB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A3A8">
            <w:pPr>
              <w:jc w:val="center"/>
            </w:pPr>
          </w:p>
        </w:tc>
      </w:tr>
      <w:tr w14:paraId="3B361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28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92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F9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40F7">
            <w:pPr>
              <w:jc w:val="center"/>
            </w:pPr>
            <w:r>
              <w:rPr>
                <w:rFonts w:ascii="宋体" w:hAnsi="宋体" w:eastAsia="宋体"/>
                <w:sz w:val="16"/>
              </w:rPr>
              <w:t>补助经费支付及时率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B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3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E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3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7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DA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8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0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C54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4CB7">
            <w:pPr>
              <w:jc w:val="center"/>
            </w:pPr>
          </w:p>
        </w:tc>
      </w:tr>
      <w:tr w14:paraId="0C9A5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4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AC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A9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5CBC">
            <w:pPr>
              <w:jc w:val="center"/>
            </w:pPr>
            <w:r>
              <w:rPr>
                <w:rFonts w:ascii="宋体" w:hAnsi="宋体" w:eastAsia="宋体"/>
                <w:sz w:val="16"/>
              </w:rPr>
              <w:t>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4C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1C5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0C9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5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12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E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7B7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6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9A5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CA09">
            <w:pPr>
              <w:jc w:val="center"/>
            </w:pPr>
          </w:p>
        </w:tc>
      </w:tr>
      <w:tr w14:paraId="681F97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3D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E0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6A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5EC3">
            <w:pPr>
              <w:jc w:val="center"/>
            </w:pPr>
            <w:r>
              <w:rPr>
                <w:rFonts w:ascii="宋体" w:hAnsi="宋体" w:eastAsia="宋体"/>
                <w:sz w:val="16"/>
              </w:rPr>
              <w:t>加强基层政协工作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E8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343C">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E61B">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2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DE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2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BE06">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08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76C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04D2">
            <w:pPr>
              <w:jc w:val="center"/>
            </w:pPr>
          </w:p>
        </w:tc>
      </w:tr>
      <w:tr w14:paraId="462C4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EF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95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CF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13FB">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C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9A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E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596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70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6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19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37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9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8531">
            <w:pPr>
              <w:jc w:val="center"/>
            </w:pPr>
            <w:r>
              <w:rPr>
                <w:rFonts w:ascii="宋体" w:hAnsi="宋体" w:eastAsia="宋体"/>
                <w:sz w:val="16"/>
              </w:rPr>
              <w:t>及时发放政协委员的补助经费，受益政协委员满意度达到100%。</w:t>
            </w:r>
          </w:p>
        </w:tc>
      </w:tr>
      <w:tr w14:paraId="65B814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60C7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8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824D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B51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CC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448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A61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A44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154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87B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4B4603"/>
        </w:tc>
      </w:tr>
    </w:tbl>
    <w:p w14:paraId="170CD524">
      <w:r>
        <w:br w:type="page"/>
      </w:r>
    </w:p>
    <w:p w14:paraId="0F5657EF">
      <w:pPr>
        <w:spacing w:line="640" w:lineRule="exact"/>
        <w:ind w:firstLine="640"/>
        <w:jc w:val="both"/>
        <w:outlineLvl w:val="2"/>
      </w:pPr>
      <w:r>
        <w:rPr>
          <w:rFonts w:ascii="黑体" w:hAnsi="黑体" w:eastAsia="黑体"/>
          <w:sz w:val="32"/>
        </w:rPr>
        <w:t>十二、其他需说明的事项</w:t>
      </w:r>
    </w:p>
    <w:p w14:paraId="089C43B2">
      <w:pPr>
        <w:spacing w:line="580" w:lineRule="exact"/>
        <w:ind w:firstLine="640"/>
        <w:jc w:val="both"/>
      </w:pPr>
      <w:r>
        <w:rPr>
          <w:rFonts w:ascii="仿宋_GB2312" w:hAnsi="仿宋_GB2312" w:eastAsia="仿宋_GB2312"/>
          <w:b w:val="0"/>
          <w:sz w:val="32"/>
        </w:rPr>
        <w:t>本单位无其他需说明的事项。</w:t>
      </w:r>
    </w:p>
    <w:p w14:paraId="17D92995">
      <w:r>
        <w:br w:type="page"/>
      </w:r>
    </w:p>
    <w:p w14:paraId="2A3E0CB3">
      <w:pPr>
        <w:spacing w:line="240" w:lineRule="auto"/>
        <w:jc w:val="center"/>
        <w:outlineLvl w:val="1"/>
      </w:pPr>
      <w:r>
        <w:rPr>
          <w:rFonts w:ascii="黑体" w:hAnsi="黑体" w:eastAsia="黑体"/>
          <w:sz w:val="32"/>
        </w:rPr>
        <w:t>第三部分 专业名词解释</w:t>
      </w:r>
    </w:p>
    <w:p w14:paraId="345AC41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0AFC9B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2E4776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71C268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B1051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D5C8D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4D4E6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56669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57A87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D88EB9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BD972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D9C3B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D7796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A3AB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6ED451F">
      <w:r>
        <w:br w:type="page"/>
      </w:r>
    </w:p>
    <w:p w14:paraId="43376845">
      <w:pPr>
        <w:spacing w:line="240" w:lineRule="auto"/>
        <w:jc w:val="center"/>
        <w:outlineLvl w:val="1"/>
      </w:pPr>
      <w:r>
        <w:rPr>
          <w:rFonts w:ascii="黑体" w:hAnsi="黑体" w:eastAsia="黑体"/>
          <w:sz w:val="32"/>
        </w:rPr>
        <w:t>第四部分 部门决算报表（见附表）</w:t>
      </w:r>
    </w:p>
    <w:p w14:paraId="014EB8BC">
      <w:pPr>
        <w:spacing w:line="240" w:lineRule="auto"/>
        <w:ind w:firstLine="640"/>
        <w:jc w:val="both"/>
      </w:pPr>
      <w:r>
        <w:rPr>
          <w:rFonts w:ascii="仿宋_GB2312" w:hAnsi="仿宋_GB2312" w:eastAsia="仿宋_GB2312"/>
          <w:b w:val="0"/>
          <w:sz w:val="32"/>
        </w:rPr>
        <w:t>一、《收入支出决算总表》</w:t>
      </w:r>
    </w:p>
    <w:p w14:paraId="701DC1D9">
      <w:pPr>
        <w:spacing w:line="240" w:lineRule="auto"/>
        <w:ind w:firstLine="640"/>
        <w:jc w:val="both"/>
      </w:pPr>
      <w:r>
        <w:rPr>
          <w:rFonts w:ascii="仿宋_GB2312" w:hAnsi="仿宋_GB2312" w:eastAsia="仿宋_GB2312"/>
          <w:b w:val="0"/>
          <w:sz w:val="32"/>
        </w:rPr>
        <w:t>二、《收入决算表》</w:t>
      </w:r>
    </w:p>
    <w:p w14:paraId="0F3DE5FC">
      <w:pPr>
        <w:spacing w:line="240" w:lineRule="auto"/>
        <w:ind w:firstLine="640"/>
        <w:jc w:val="both"/>
      </w:pPr>
      <w:r>
        <w:rPr>
          <w:rFonts w:ascii="仿宋_GB2312" w:hAnsi="仿宋_GB2312" w:eastAsia="仿宋_GB2312"/>
          <w:b w:val="0"/>
          <w:sz w:val="32"/>
        </w:rPr>
        <w:t>三、《支出决算表》</w:t>
      </w:r>
    </w:p>
    <w:p w14:paraId="6BA193E8">
      <w:pPr>
        <w:spacing w:line="240" w:lineRule="auto"/>
        <w:ind w:firstLine="640"/>
        <w:jc w:val="both"/>
      </w:pPr>
      <w:r>
        <w:rPr>
          <w:rFonts w:ascii="仿宋_GB2312" w:hAnsi="仿宋_GB2312" w:eastAsia="仿宋_GB2312"/>
          <w:b w:val="0"/>
          <w:sz w:val="32"/>
        </w:rPr>
        <w:t>四、《财政拨款收入支出决算总表》</w:t>
      </w:r>
    </w:p>
    <w:p w14:paraId="1537E1EA">
      <w:pPr>
        <w:spacing w:line="240" w:lineRule="auto"/>
        <w:ind w:firstLine="640"/>
        <w:jc w:val="both"/>
      </w:pPr>
      <w:r>
        <w:rPr>
          <w:rFonts w:ascii="仿宋_GB2312" w:hAnsi="仿宋_GB2312" w:eastAsia="仿宋_GB2312"/>
          <w:b w:val="0"/>
          <w:sz w:val="32"/>
        </w:rPr>
        <w:t>五、《一般公共预算财政拨款支出决算表》</w:t>
      </w:r>
    </w:p>
    <w:p w14:paraId="0B99EB3A">
      <w:pPr>
        <w:spacing w:line="240" w:lineRule="auto"/>
        <w:ind w:firstLine="640"/>
        <w:jc w:val="both"/>
      </w:pPr>
      <w:r>
        <w:rPr>
          <w:rFonts w:ascii="仿宋_GB2312" w:hAnsi="仿宋_GB2312" w:eastAsia="仿宋_GB2312"/>
          <w:b w:val="0"/>
          <w:sz w:val="32"/>
        </w:rPr>
        <w:t>六、《一般公共预算财政拨款基本支出决算表》</w:t>
      </w:r>
    </w:p>
    <w:p w14:paraId="4E1FE1B7">
      <w:pPr>
        <w:spacing w:line="240" w:lineRule="auto"/>
        <w:ind w:firstLine="640"/>
        <w:jc w:val="both"/>
      </w:pPr>
      <w:r>
        <w:rPr>
          <w:rFonts w:ascii="仿宋_GB2312" w:hAnsi="仿宋_GB2312" w:eastAsia="仿宋_GB2312"/>
          <w:b w:val="0"/>
          <w:sz w:val="32"/>
        </w:rPr>
        <w:t>七、《政府性基金预算财政拨款收入支出决算表》</w:t>
      </w:r>
    </w:p>
    <w:p w14:paraId="520BC8B0">
      <w:pPr>
        <w:spacing w:line="240" w:lineRule="auto"/>
        <w:ind w:firstLine="640"/>
        <w:jc w:val="both"/>
      </w:pPr>
      <w:r>
        <w:rPr>
          <w:rFonts w:ascii="仿宋_GB2312" w:hAnsi="仿宋_GB2312" w:eastAsia="仿宋_GB2312"/>
          <w:b w:val="0"/>
          <w:sz w:val="32"/>
        </w:rPr>
        <w:t>八、《国有资本经营预算财政拨款收入支出决算表》</w:t>
      </w:r>
    </w:p>
    <w:p w14:paraId="528433C5">
      <w:pPr>
        <w:spacing w:line="240" w:lineRule="auto"/>
        <w:ind w:firstLine="640"/>
        <w:jc w:val="both"/>
      </w:pPr>
      <w:r>
        <w:rPr>
          <w:rFonts w:ascii="仿宋_GB2312" w:hAnsi="仿宋_GB2312" w:eastAsia="仿宋_GB2312"/>
          <w:b w:val="0"/>
          <w:sz w:val="32"/>
        </w:rPr>
        <w:t>九、《财政拨款“三公”经费支出决算表》</w:t>
      </w:r>
    </w:p>
    <w:p w14:paraId="4A40C3EA">
      <w:pPr>
        <w:spacing w:line="240" w:lineRule="auto"/>
        <w:ind w:firstLine="640"/>
        <w:jc w:val="both"/>
      </w:pPr>
    </w:p>
    <w:p w14:paraId="7C9C39BA">
      <w:pPr>
        <w:spacing w:line="240" w:lineRule="auto"/>
        <w:ind w:firstLine="640"/>
        <w:jc w:val="both"/>
      </w:pPr>
    </w:p>
    <w:p w14:paraId="0AAF28AC">
      <w:pPr>
        <w:spacing w:line="240" w:lineRule="auto"/>
        <w:ind w:firstLine="640"/>
        <w:jc w:val="both"/>
      </w:pPr>
    </w:p>
    <w:p w14:paraId="04920540">
      <w:pPr>
        <w:spacing w:line="240" w:lineRule="auto"/>
        <w:ind w:firstLine="640"/>
        <w:jc w:val="both"/>
      </w:pPr>
    </w:p>
    <w:p w14:paraId="5342277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5F2598-DCBE-4F1F-903B-FB2C6DED9AE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48C4389-657A-40AA-842D-E10DA9EE1ABB}"/>
  </w:font>
  <w:font w:name="仿宋_GB2312">
    <w:altName w:val="仿宋"/>
    <w:panose1 w:val="02010609030101010101"/>
    <w:charset w:val="86"/>
    <w:family w:val="modern"/>
    <w:pitch w:val="default"/>
    <w:sig w:usb0="00000000" w:usb1="00000000" w:usb2="00000000" w:usb3="00000000" w:csb0="00040000" w:csb1="00000000"/>
    <w:embedRegular r:id="rId3" w:fontKey="{59E74BC1-CFAE-4E67-B0CA-180F26FBA2BD}"/>
  </w:font>
  <w:font w:name="楷体_GB2312">
    <w:altName w:val="楷体"/>
    <w:panose1 w:val="00000000000000000000"/>
    <w:charset w:val="00"/>
    <w:family w:val="auto"/>
    <w:pitch w:val="default"/>
    <w:sig w:usb0="00000000" w:usb1="00000000" w:usb2="00000000" w:usb3="00000000" w:csb0="00000000" w:csb1="00000000"/>
    <w:embedRegular r:id="rId4" w:fontKey="{5F464418-06DD-4A1B-8B16-D5CC409D2BA4}"/>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286331"/>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0D6B30"/>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652E99"/>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5712</Words>
  <Characters>6468</Characters>
  <Lines>0</Lines>
  <Paragraphs>0</Paragraphs>
  <TotalTime>3</TotalTime>
  <ScaleCrop>false</ScaleCrop>
  <LinksUpToDate>false</LinksUpToDate>
  <CharactersWithSpaces>6476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