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2C595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中共吉木萨尔县纪律检查委员会2024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E0C3C2">
      <w:r>
        <w:br w:type="page"/>
      </w:r>
    </w:p>
    <w:p w14:paraId="4BE3A5CE">
      <w:pPr>
        <w:spacing w:line="640" w:lineRule="exact"/>
        <w:jc w:val="center"/>
        <w:outlineLvl w:val="1"/>
      </w:pPr>
      <w:r>
        <w:rPr>
          <w:rFonts w:ascii="黑体" w:hAnsi="黑体" w:eastAsia="黑体"/>
          <w:sz w:val="32"/>
        </w:rPr>
        <w:t>第一部分 单位概况</w:t>
      </w:r>
    </w:p>
    <w:p w14:paraId="5DDC201F">
      <w:pPr>
        <w:spacing w:line="640" w:lineRule="exact"/>
        <w:ind w:firstLine="640"/>
        <w:jc w:val="both"/>
        <w:outlineLvl w:val="2"/>
      </w:pPr>
      <w:r>
        <w:rPr>
          <w:rFonts w:ascii="黑体" w:hAnsi="黑体" w:eastAsia="黑体"/>
          <w:sz w:val="32"/>
        </w:rPr>
        <w:t>一、主要职能</w:t>
      </w:r>
    </w:p>
    <w:p w14:paraId="2CB33A00">
      <w:pPr>
        <w:spacing w:line="580" w:lineRule="exact"/>
        <w:ind w:firstLine="640"/>
        <w:jc w:val="both"/>
      </w:pPr>
      <w:r>
        <w:rPr>
          <w:rFonts w:ascii="仿宋_GB2312" w:hAnsi="仿宋_GB2312" w:eastAsia="仿宋_GB2312"/>
          <w:sz w:val="32"/>
        </w:rPr>
        <w:t>中共吉木萨尔县纪律检查委员会与吉木萨尔县监察委员会合署办公，一套工作机构、两个机关名称，分别在县委和州纪委、监委的双重领导下进行工作，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w:t>
      </w:r>
      <w:r>
        <w:rPr>
          <w:rFonts w:hint="eastAsia" w:ascii="仿宋_GB2312" w:hAnsi="仿宋_GB2312" w:eastAsia="仿宋_GB2312"/>
          <w:sz w:val="32"/>
          <w:lang w:eastAsia="zh-CN"/>
        </w:rPr>
        <w:t>保障党员权利</w:t>
      </w:r>
      <w:r>
        <w:rPr>
          <w:rFonts w:ascii="仿宋_GB2312" w:hAnsi="仿宋_GB2312" w:eastAsia="仿宋_GB2312"/>
          <w:sz w:val="32"/>
        </w:rPr>
        <w:t>。监察委员会主要职能是维护宪法和法律法规权威；依法监察公职人员</w:t>
      </w:r>
      <w:r>
        <w:rPr>
          <w:rFonts w:hint="eastAsia" w:ascii="仿宋_GB2312" w:hAnsi="仿宋_GB2312" w:eastAsia="仿宋_GB2312"/>
          <w:sz w:val="32"/>
          <w:lang w:eastAsia="zh-CN"/>
        </w:rPr>
        <w:t>行使公权力</w:t>
      </w:r>
      <w:r>
        <w:rPr>
          <w:rFonts w:ascii="仿宋_GB2312" w:hAnsi="仿宋_GB2312" w:eastAsia="仿宋_GB2312"/>
          <w:sz w:val="32"/>
        </w:rPr>
        <w:t>的情况，调查职务违法和职务犯罪；开展廉政建设和反腐败工作，履行监督、调查、处置职责。</w:t>
      </w:r>
    </w:p>
    <w:p w14:paraId="60D5ACAC">
      <w:pPr>
        <w:spacing w:line="640" w:lineRule="exact"/>
        <w:ind w:firstLine="640"/>
        <w:jc w:val="both"/>
        <w:outlineLvl w:val="2"/>
      </w:pPr>
      <w:r>
        <w:rPr>
          <w:rFonts w:ascii="黑体" w:hAnsi="黑体" w:eastAsia="黑体"/>
          <w:sz w:val="32"/>
        </w:rPr>
        <w:t>二、机构设置及人员情况</w:t>
      </w:r>
    </w:p>
    <w:p w14:paraId="70CD9A95">
      <w:pPr>
        <w:spacing w:line="580" w:lineRule="exact"/>
        <w:ind w:firstLine="640"/>
        <w:jc w:val="both"/>
      </w:pPr>
      <w:r>
        <w:rPr>
          <w:rFonts w:ascii="仿宋_GB2312" w:hAnsi="仿宋_GB2312" w:eastAsia="仿宋_GB2312"/>
          <w:sz w:val="32"/>
        </w:rPr>
        <w:t>中共吉木萨尔县纪律检查委员会2024年度，实有人数136人，其中：在职人员112人，增加3人；离休人员0人，减少1人；退休人员24人,增加3人。</w:t>
      </w:r>
    </w:p>
    <w:p w14:paraId="4DB2128D">
      <w:pPr>
        <w:spacing w:line="580" w:lineRule="exact"/>
        <w:ind w:firstLine="640"/>
        <w:jc w:val="both"/>
      </w:pPr>
      <w:r>
        <w:rPr>
          <w:rFonts w:ascii="仿宋_GB2312" w:hAnsi="仿宋_GB2312" w:eastAsia="仿宋_GB2312"/>
          <w:sz w:val="32"/>
        </w:rPr>
        <w:t>中共吉木萨尔县纪律检查委员会无下属预算单位，下设12个科室，分别是：办公室、组宣部、党风政风监督室、干部监督室、信访室、案件管理室、案件审理室、第一纪检监察室、第二纪检监察室、第三纪检监察室、第四纪检监察室、第五纪检监察室。</w:t>
      </w:r>
    </w:p>
    <w:p w14:paraId="477BAE07">
      <w:r>
        <w:br w:type="page"/>
      </w:r>
    </w:p>
    <w:p w14:paraId="7178747C">
      <w:pPr>
        <w:spacing w:line="240" w:lineRule="auto"/>
        <w:jc w:val="center"/>
        <w:outlineLvl w:val="1"/>
      </w:pPr>
      <w:r>
        <w:rPr>
          <w:rFonts w:ascii="黑体" w:hAnsi="黑体" w:eastAsia="黑体"/>
          <w:sz w:val="32"/>
        </w:rPr>
        <w:t>第二部分 部门决算情况说明</w:t>
      </w:r>
    </w:p>
    <w:p w14:paraId="7D0CDC6F">
      <w:pPr>
        <w:spacing w:line="640" w:lineRule="exact"/>
        <w:ind w:firstLine="640"/>
        <w:jc w:val="both"/>
        <w:outlineLvl w:val="2"/>
      </w:pPr>
      <w:r>
        <w:rPr>
          <w:rFonts w:ascii="黑体" w:hAnsi="黑体" w:eastAsia="黑体"/>
          <w:sz w:val="32"/>
        </w:rPr>
        <w:t>一、收入支出决算总体情况说明</w:t>
      </w:r>
    </w:p>
    <w:p w14:paraId="32241F1E">
      <w:pPr>
        <w:spacing w:line="580" w:lineRule="exact"/>
        <w:ind w:firstLine="640"/>
        <w:jc w:val="both"/>
      </w:pPr>
      <w:r>
        <w:rPr>
          <w:rFonts w:ascii="仿宋_GB2312" w:hAnsi="仿宋_GB2312" w:eastAsia="仿宋_GB2312"/>
          <w:b/>
          <w:sz w:val="32"/>
        </w:rPr>
        <w:t>2024年度收入总计2,654.16万元，</w:t>
      </w:r>
      <w:r>
        <w:rPr>
          <w:rFonts w:ascii="仿宋_GB2312" w:hAnsi="仿宋_GB2312" w:eastAsia="仿宋_GB2312"/>
          <w:b w:val="0"/>
          <w:sz w:val="32"/>
        </w:rPr>
        <w:t>其中：本年收入合计2,636.35万元，使用非财政拨款结余（含专用结余）0.00万元，年初结转和结余17.81万元。</w:t>
      </w:r>
    </w:p>
    <w:p w14:paraId="113AC0A1">
      <w:pPr>
        <w:spacing w:line="580" w:lineRule="exact"/>
        <w:ind w:firstLine="640"/>
        <w:jc w:val="both"/>
      </w:pPr>
      <w:r>
        <w:rPr>
          <w:rFonts w:ascii="仿宋_GB2312" w:hAnsi="仿宋_GB2312" w:eastAsia="仿宋_GB2312"/>
          <w:b/>
          <w:sz w:val="32"/>
        </w:rPr>
        <w:t>2024年度支出总计2,654.16万元，</w:t>
      </w:r>
      <w:r>
        <w:rPr>
          <w:rFonts w:ascii="仿宋_GB2312" w:hAnsi="仿宋_GB2312" w:eastAsia="仿宋_GB2312"/>
          <w:b w:val="0"/>
          <w:sz w:val="32"/>
        </w:rPr>
        <w:t>其中：本年支出合计2,642.59万元，结余分配0.00万元，年末结转和结余11.57万元。</w:t>
      </w:r>
    </w:p>
    <w:p w14:paraId="20955B40">
      <w:pPr>
        <w:spacing w:line="580" w:lineRule="exact"/>
        <w:ind w:firstLine="640"/>
        <w:jc w:val="both"/>
      </w:pPr>
      <w:r>
        <w:rPr>
          <w:rFonts w:ascii="仿宋_GB2312" w:hAnsi="仿宋_GB2312" w:eastAsia="仿宋_GB2312"/>
          <w:b w:val="0"/>
          <w:sz w:val="32"/>
        </w:rPr>
        <w:t>收入支出总体与上年相比，增加70.93万元，增长2.75%，主要原因是：本年增加协作办案经费项目、为民办实事人员经费，导致经费较上年增加。</w:t>
      </w:r>
    </w:p>
    <w:p w14:paraId="5ABEB6F1">
      <w:pPr>
        <w:spacing w:line="640" w:lineRule="exact"/>
        <w:ind w:firstLine="640"/>
        <w:jc w:val="both"/>
        <w:outlineLvl w:val="2"/>
      </w:pPr>
      <w:r>
        <w:rPr>
          <w:rFonts w:ascii="黑体" w:hAnsi="黑体" w:eastAsia="黑体"/>
          <w:sz w:val="32"/>
        </w:rPr>
        <w:t>二、收入决算情况说明</w:t>
      </w:r>
    </w:p>
    <w:p w14:paraId="3C68266A">
      <w:pPr>
        <w:spacing w:line="580" w:lineRule="exact"/>
        <w:ind w:firstLine="640"/>
        <w:jc w:val="both"/>
      </w:pPr>
      <w:r>
        <w:rPr>
          <w:rFonts w:ascii="仿宋_GB2312" w:hAnsi="仿宋_GB2312" w:eastAsia="仿宋_GB2312"/>
          <w:b/>
          <w:sz w:val="32"/>
        </w:rPr>
        <w:t>本年收入2,636.35万元，</w:t>
      </w:r>
      <w:r>
        <w:rPr>
          <w:rFonts w:ascii="仿宋_GB2312" w:hAnsi="仿宋_GB2312" w:eastAsia="仿宋_GB2312"/>
          <w:b w:val="0"/>
          <w:sz w:val="32"/>
        </w:rPr>
        <w:t>其中：财政拨款收入2,636.19万元，占99.99%；上级补助收入0.00万元，占0.00%；事业收入0.00万元，占0.00%；经营收入0.00万元，占0.00%；附属单位上缴收入0.00万元，占0.00%；其他收入0.16万元，占0.006%。</w:t>
      </w:r>
    </w:p>
    <w:p w14:paraId="1A0D9762">
      <w:pPr>
        <w:spacing w:line="640" w:lineRule="exact"/>
        <w:ind w:firstLine="640"/>
        <w:jc w:val="both"/>
        <w:outlineLvl w:val="2"/>
      </w:pPr>
      <w:r>
        <w:rPr>
          <w:rFonts w:ascii="黑体" w:hAnsi="黑体" w:eastAsia="黑体"/>
          <w:sz w:val="32"/>
        </w:rPr>
        <w:t>三、支出决算情况说明</w:t>
      </w:r>
    </w:p>
    <w:p w14:paraId="2B5E0D56">
      <w:pPr>
        <w:spacing w:line="580" w:lineRule="exact"/>
        <w:ind w:firstLine="640"/>
        <w:jc w:val="both"/>
      </w:pPr>
      <w:r>
        <w:rPr>
          <w:rFonts w:ascii="仿宋_GB2312" w:hAnsi="仿宋_GB2312" w:eastAsia="仿宋_GB2312"/>
          <w:b/>
          <w:sz w:val="32"/>
        </w:rPr>
        <w:t>本年支出2,642.59万元，</w:t>
      </w:r>
      <w:r>
        <w:rPr>
          <w:rFonts w:ascii="仿宋_GB2312" w:hAnsi="仿宋_GB2312" w:eastAsia="仿宋_GB2312"/>
          <w:b w:val="0"/>
          <w:sz w:val="32"/>
        </w:rPr>
        <w:t>其中：基本支出2,555.69万元，占96.71%；项目支出86.90万元，占3.29%；上缴上级支出0.00万元，占0.00%；经营支出0.00万元，占0.00%；对附属单位补助支出0.00万元，占0.00%。</w:t>
      </w:r>
    </w:p>
    <w:p w14:paraId="47EE8D9B">
      <w:pPr>
        <w:spacing w:line="640" w:lineRule="exact"/>
        <w:ind w:firstLine="640"/>
        <w:jc w:val="both"/>
        <w:outlineLvl w:val="2"/>
      </w:pPr>
      <w:r>
        <w:rPr>
          <w:rFonts w:ascii="黑体" w:hAnsi="黑体" w:eastAsia="黑体"/>
          <w:sz w:val="32"/>
        </w:rPr>
        <w:t>四、财政拨款收入支出决算总体情况说明</w:t>
      </w:r>
    </w:p>
    <w:p w14:paraId="3D15F334">
      <w:pPr>
        <w:spacing w:line="580" w:lineRule="exact"/>
        <w:ind w:firstLine="640"/>
        <w:jc w:val="both"/>
      </w:pPr>
      <w:r>
        <w:rPr>
          <w:rFonts w:ascii="仿宋_GB2312" w:hAnsi="仿宋_GB2312" w:eastAsia="仿宋_GB2312"/>
          <w:b/>
          <w:sz w:val="32"/>
        </w:rPr>
        <w:t>2024年度财政拨款收入总计2,636.19万元，</w:t>
      </w:r>
      <w:r>
        <w:rPr>
          <w:rFonts w:ascii="仿宋_GB2312" w:hAnsi="仿宋_GB2312" w:eastAsia="仿宋_GB2312"/>
          <w:b w:val="0"/>
          <w:sz w:val="32"/>
        </w:rPr>
        <w:t>其中：年初财政拨款结转和结余0.00万元，本年财政拨款收入2,636.19万元。</w:t>
      </w:r>
      <w:r>
        <w:rPr>
          <w:rFonts w:ascii="仿宋_GB2312" w:hAnsi="仿宋_GB2312" w:eastAsia="仿宋_GB2312"/>
          <w:b/>
          <w:sz w:val="32"/>
        </w:rPr>
        <w:t>财政拨款支出总计2,636.19万元，</w:t>
      </w:r>
      <w:r>
        <w:rPr>
          <w:rFonts w:ascii="仿宋_GB2312" w:hAnsi="仿宋_GB2312" w:eastAsia="仿宋_GB2312"/>
          <w:b w:val="0"/>
          <w:sz w:val="32"/>
        </w:rPr>
        <w:t>其中：年末财政拨款结转和结余0.00万元，本年财政拨款支出2,636.19万元。</w:t>
      </w:r>
    </w:p>
    <w:p w14:paraId="09E92BB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增加94.91万元，增长3.73%，主要原因是：本年增加协作办案经费项目、为民办实事人员经费，导致经费较上年增加。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年初预算数2,788.49万元，决算数2,636.19万元，预决算差异率-5.46%，主要原因是：年中调减人员经费及公用经费，导致预决算存在差异。</w:t>
      </w:r>
    </w:p>
    <w:p w14:paraId="3B8F8ACD">
      <w:pPr>
        <w:spacing w:line="640" w:lineRule="exact"/>
        <w:ind w:firstLine="640"/>
        <w:jc w:val="both"/>
        <w:outlineLvl w:val="2"/>
      </w:pPr>
      <w:r>
        <w:rPr>
          <w:rFonts w:ascii="黑体" w:hAnsi="黑体" w:eastAsia="黑体"/>
          <w:sz w:val="32"/>
        </w:rPr>
        <w:t>五、一般公共预算财政拨款支出决算情况说明</w:t>
      </w:r>
    </w:p>
    <w:p w14:paraId="1E6BD48C">
      <w:pPr>
        <w:spacing w:line="640" w:lineRule="exact"/>
        <w:ind w:firstLine="640"/>
        <w:jc w:val="both"/>
        <w:outlineLvl w:val="3"/>
      </w:pPr>
      <w:r>
        <w:rPr>
          <w:rFonts w:ascii="楷体_GB2312" w:hAnsi="楷体_GB2312" w:eastAsia="楷体_GB2312"/>
          <w:b/>
          <w:sz w:val="32"/>
        </w:rPr>
        <w:t>（一）一般公共预算财政拨款支出决算总体情况</w:t>
      </w:r>
    </w:p>
    <w:p w14:paraId="6033052D">
      <w:pPr>
        <w:spacing w:line="580" w:lineRule="exact"/>
        <w:ind w:firstLine="640"/>
        <w:jc w:val="both"/>
      </w:pPr>
      <w:r>
        <w:rPr>
          <w:rFonts w:ascii="仿宋_GB2312" w:hAnsi="仿宋_GB2312" w:eastAsia="仿宋_GB2312"/>
          <w:b/>
          <w:sz w:val="32"/>
        </w:rPr>
        <w:t>2024年度一般公共预算财政拨款支出2,636.19万元，</w:t>
      </w:r>
      <w:r>
        <w:rPr>
          <w:rFonts w:ascii="仿宋_GB2312" w:hAnsi="仿宋_GB2312" w:eastAsia="仿宋_GB2312"/>
          <w:b w:val="0"/>
          <w:sz w:val="32"/>
        </w:rPr>
        <w:t>占本年支出合计的99.76%。</w:t>
      </w:r>
      <w:r>
        <w:rPr>
          <w:rFonts w:ascii="仿宋_GB2312" w:hAnsi="仿宋_GB2312" w:eastAsia="仿宋_GB2312"/>
          <w:b/>
          <w:sz w:val="32"/>
        </w:rPr>
        <w:t>与上年相比，</w:t>
      </w:r>
      <w:r>
        <w:rPr>
          <w:rFonts w:ascii="仿宋_GB2312" w:hAnsi="仿宋_GB2312" w:eastAsia="仿宋_GB2312"/>
          <w:b w:val="0"/>
          <w:sz w:val="32"/>
        </w:rPr>
        <w:t>增加94.91万元，增长3.73%，主要原因是：本年增加协作办案经费项目、为民办实事人员经费，导致经费较上年增加。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年初预算数2,788.49万元，决算数2,636.19万元，预决算差异率-5.46%，主要原因是：年中调减人员经费及公用经费，导致预决算存在差异。</w:t>
      </w:r>
    </w:p>
    <w:p w14:paraId="0B774002">
      <w:pPr>
        <w:spacing w:line="640" w:lineRule="exact"/>
        <w:ind w:firstLine="640"/>
        <w:jc w:val="both"/>
        <w:outlineLvl w:val="3"/>
      </w:pPr>
      <w:r>
        <w:rPr>
          <w:rFonts w:ascii="楷体_GB2312" w:hAnsi="楷体_GB2312" w:eastAsia="楷体_GB2312"/>
          <w:b/>
          <w:sz w:val="32"/>
        </w:rPr>
        <w:t>（二）一般公共预算财政拨款支出决算结构情况</w:t>
      </w:r>
    </w:p>
    <w:p w14:paraId="1785FA1A">
      <w:pPr>
        <w:spacing w:line="580" w:lineRule="exact"/>
        <w:ind w:firstLine="640"/>
        <w:jc w:val="both"/>
      </w:pPr>
      <w:r>
        <w:rPr>
          <w:rFonts w:ascii="仿宋_GB2312" w:hAnsi="仿宋_GB2312" w:eastAsia="仿宋_GB2312"/>
          <w:b w:val="0"/>
          <w:sz w:val="32"/>
        </w:rPr>
        <w:t>1.一般公共服务支出(类)2,037.93万元,占77.31%。</w:t>
      </w:r>
    </w:p>
    <w:p w14:paraId="02637B95">
      <w:pPr>
        <w:spacing w:line="580" w:lineRule="exact"/>
        <w:ind w:firstLine="640"/>
        <w:jc w:val="both"/>
      </w:pPr>
      <w:r>
        <w:rPr>
          <w:rFonts w:ascii="仿宋_GB2312" w:hAnsi="仿宋_GB2312" w:eastAsia="仿宋_GB2312"/>
          <w:b w:val="0"/>
          <w:sz w:val="32"/>
        </w:rPr>
        <w:t>2.科学技术支出(类)14.40万元,占0.55%。</w:t>
      </w:r>
    </w:p>
    <w:p w14:paraId="50283B8D">
      <w:pPr>
        <w:spacing w:line="580" w:lineRule="exact"/>
        <w:ind w:firstLine="640"/>
        <w:jc w:val="both"/>
      </w:pPr>
      <w:r>
        <w:rPr>
          <w:rFonts w:ascii="仿宋_GB2312" w:hAnsi="仿宋_GB2312" w:eastAsia="仿宋_GB2312"/>
          <w:b w:val="0"/>
          <w:sz w:val="32"/>
        </w:rPr>
        <w:t>3.社会保障和就业支出(类)336.28万元,占12.76%。</w:t>
      </w:r>
    </w:p>
    <w:p w14:paraId="0D287CE6">
      <w:pPr>
        <w:spacing w:line="580" w:lineRule="exact"/>
        <w:ind w:firstLine="640"/>
        <w:jc w:val="both"/>
      </w:pPr>
      <w:r>
        <w:rPr>
          <w:rFonts w:ascii="仿宋_GB2312" w:hAnsi="仿宋_GB2312" w:eastAsia="仿宋_GB2312"/>
          <w:b w:val="0"/>
          <w:sz w:val="32"/>
        </w:rPr>
        <w:t>4.卫生健康支出(类)101.04万元,占3.83%。</w:t>
      </w:r>
    </w:p>
    <w:p w14:paraId="2027B8F6">
      <w:pPr>
        <w:spacing w:line="580" w:lineRule="exact"/>
        <w:ind w:firstLine="640"/>
        <w:jc w:val="both"/>
      </w:pPr>
      <w:r>
        <w:rPr>
          <w:rFonts w:ascii="仿宋_GB2312" w:hAnsi="仿宋_GB2312" w:eastAsia="仿宋_GB2312"/>
          <w:b w:val="0"/>
          <w:sz w:val="32"/>
        </w:rPr>
        <w:t>5.住房保障支出(类)146.53万元,占5.56%。</w:t>
      </w:r>
    </w:p>
    <w:p w14:paraId="45C160EE">
      <w:pPr>
        <w:spacing w:line="640" w:lineRule="exact"/>
        <w:ind w:firstLine="640"/>
        <w:jc w:val="both"/>
        <w:outlineLvl w:val="3"/>
      </w:pPr>
      <w:r>
        <w:rPr>
          <w:rFonts w:ascii="楷体_GB2312" w:hAnsi="楷体_GB2312" w:eastAsia="楷体_GB2312"/>
          <w:b/>
          <w:sz w:val="32"/>
        </w:rPr>
        <w:t>（三）一般公共预算财政拨款支出决算具体情况</w:t>
      </w:r>
    </w:p>
    <w:p w14:paraId="2BD8FF0E">
      <w:pPr>
        <w:spacing w:line="580" w:lineRule="exact"/>
        <w:ind w:firstLine="640"/>
        <w:jc w:val="both"/>
      </w:pPr>
      <w:r>
        <w:rPr>
          <w:rFonts w:ascii="仿宋_GB2312" w:hAnsi="仿宋_GB2312" w:eastAsia="仿宋_GB2312"/>
          <w:b w:val="0"/>
          <w:sz w:val="32"/>
        </w:rPr>
        <w:t>1.一般公共服务支出(类)纪检监察事务(款)行政运行(项):支出决算数为1,881.43万元，比上年决算减少14.91万元，下降0.79%,主要原因是：本年在职人员调入调出，人员职级不同，工资基数不同，导致人员经费较上年减少。</w:t>
      </w:r>
    </w:p>
    <w:p w14:paraId="2C27B143">
      <w:pPr>
        <w:spacing w:line="580" w:lineRule="exact"/>
        <w:ind w:firstLine="640"/>
        <w:jc w:val="both"/>
      </w:pPr>
      <w:r>
        <w:rPr>
          <w:rFonts w:ascii="仿宋_GB2312" w:hAnsi="仿宋_GB2312" w:eastAsia="仿宋_GB2312"/>
          <w:b w:val="0"/>
          <w:sz w:val="32"/>
        </w:rPr>
        <w:t>2.一般公共服务支出(类)纪检监察事务(款)事业运行(项):支出决算数为67.78万元，比上年决算增加12.32万元，增长22.21%,主要原因是：本年事业人员增加，事业人员工资调薪，导致经费较上年有所增加。</w:t>
      </w:r>
    </w:p>
    <w:p w14:paraId="1B2C1DDF">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3.一般公共服务支出(类)纪检监察事务(款)其他纪检监察事务支出(项):支出决算数为86.90万元，比上年决算增加67.19万元，增长340.89%,主要原因是：本年增加协作办案经费项目，其他纪检监察事务支出增加。</w:t>
      </w:r>
    </w:p>
    <w:p w14:paraId="6F8DB590">
      <w:pPr>
        <w:spacing w:line="580" w:lineRule="exact"/>
        <w:ind w:firstLine="640"/>
        <w:jc w:val="both"/>
      </w:pPr>
      <w:r>
        <w:rPr>
          <w:rFonts w:ascii="仿宋_GB2312" w:hAnsi="仿宋_GB2312" w:eastAsia="仿宋_GB2312"/>
          <w:b w:val="0"/>
          <w:sz w:val="32"/>
        </w:rPr>
        <w:t>4.一般公共服务支出(类)组织事务(款)其他组织事务支出(项):支出决算数为1.82万元，比上年决算增加1.82万元，增长100.00%,主要原因是：本年新增为民办实事人员经费。</w:t>
      </w:r>
    </w:p>
    <w:p w14:paraId="61EEDBF3">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5.科学技术支出(类)科技条件与服务(款)其他科技条件与服务支出(项):支出决算数为14.40万元，比上年决算增加14.40万元，增长100.00%,主要原因是：本年增加其他商品和服务支出。</w:t>
      </w:r>
    </w:p>
    <w:p w14:paraId="608E5285">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6.社会保障和就业支出(类)行政事业单位养老支出(款)行政单位离退休(项):支出决算数为24.98万元，比上年决算减少15.58万元，下降38.41%,主要原因是：本年减少离休人员，行政</w:t>
      </w:r>
      <w:r>
        <w:rPr>
          <w:rFonts w:hint="eastAsia" w:ascii="仿宋_GB2312" w:hAnsi="仿宋_GB2312" w:eastAsia="仿宋_GB2312"/>
          <w:b w:val="0"/>
          <w:sz w:val="32"/>
          <w:lang w:eastAsia="zh-CN"/>
        </w:rPr>
        <w:t>单位</w:t>
      </w:r>
      <w:r>
        <w:rPr>
          <w:rFonts w:ascii="仿宋_GB2312" w:hAnsi="仿宋_GB2312" w:eastAsia="仿宋_GB2312"/>
          <w:b w:val="0"/>
          <w:sz w:val="32"/>
        </w:rPr>
        <w:t>离</w:t>
      </w:r>
      <w:r>
        <w:rPr>
          <w:rFonts w:hint="eastAsia" w:ascii="仿宋_GB2312" w:hAnsi="仿宋_GB2312" w:eastAsia="仿宋_GB2312"/>
          <w:b w:val="0"/>
          <w:sz w:val="32"/>
          <w:lang w:eastAsia="zh-CN"/>
        </w:rPr>
        <w:t>退休</w:t>
      </w:r>
      <w:r>
        <w:rPr>
          <w:rFonts w:ascii="仿宋_GB2312" w:hAnsi="仿宋_GB2312" w:eastAsia="仿宋_GB2312"/>
          <w:b w:val="0"/>
          <w:sz w:val="32"/>
        </w:rPr>
        <w:t>经费较上年减少。</w:t>
      </w:r>
    </w:p>
    <w:p w14:paraId="23210841">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185.91万元，比上年决算增加10.88万元，增长6.22%,主要原因是：本年在职人员增加，养老保险缴费较上年增加。</w:t>
      </w:r>
    </w:p>
    <w:p w14:paraId="40732BA2">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92.95万元，比上年决算减少25.32万元，下降21.41%,主要原因是：本年新增退休人员较上年减少，职业年金缴费较上年减少。</w:t>
      </w:r>
    </w:p>
    <w:p w14:paraId="7B1EB435">
      <w:pPr>
        <w:spacing w:line="580" w:lineRule="exact"/>
        <w:ind w:firstLine="640"/>
        <w:jc w:val="both"/>
      </w:pPr>
      <w:r>
        <w:rPr>
          <w:rFonts w:ascii="仿宋_GB2312" w:hAnsi="仿宋_GB2312" w:eastAsia="仿宋_GB2312"/>
          <w:b w:val="0"/>
          <w:sz w:val="32"/>
        </w:rPr>
        <w:t>9.社会保障和就业支出(类)抚恤(款)死亡抚恤(项):支出决算数为32.44万元，比上年决算增加32.44万元，增长100.00%,主要原因是：本年离休人员死亡一人，死亡抚恤增加。</w:t>
      </w:r>
    </w:p>
    <w:p w14:paraId="4D9ECE26">
      <w:pPr>
        <w:spacing w:line="580" w:lineRule="exact"/>
        <w:ind w:firstLine="640"/>
        <w:jc w:val="both"/>
      </w:pPr>
      <w:r>
        <w:rPr>
          <w:rFonts w:ascii="仿宋_GB2312" w:hAnsi="仿宋_GB2312" w:eastAsia="仿宋_GB2312"/>
          <w:b w:val="0"/>
          <w:sz w:val="32"/>
        </w:rPr>
        <w:t>10.卫生健康支出(类)行政事业单位医疗(款)行政单位医疗(项):支出决算数为89.38万元，比上年决算增加1.67万元，增长1.90%,主要原因是：本年在职人员增加，行政单位医疗支出较上年增加。</w:t>
      </w:r>
    </w:p>
    <w:p w14:paraId="5B73DCF1">
      <w:pPr>
        <w:spacing w:line="580" w:lineRule="exact"/>
        <w:ind w:firstLine="640"/>
        <w:jc w:val="both"/>
      </w:pPr>
      <w:r>
        <w:rPr>
          <w:rFonts w:ascii="仿宋_GB2312" w:hAnsi="仿宋_GB2312" w:eastAsia="仿宋_GB2312"/>
          <w:b w:val="0"/>
          <w:sz w:val="32"/>
        </w:rPr>
        <w:t>11.卫生健康支出(类)行政事业单位医疗(款)事业单位医疗(项):支出决算数为5.70万元，比上年决算增加2.19万元，增长62.39%,主要原因是：本年事业人员增加，事业单位医疗支出较上年增加。</w:t>
      </w:r>
    </w:p>
    <w:p w14:paraId="235E26ED">
      <w:pPr>
        <w:spacing w:line="580" w:lineRule="exact"/>
        <w:ind w:firstLine="640"/>
        <w:jc w:val="both"/>
      </w:pPr>
      <w:r>
        <w:rPr>
          <w:rFonts w:ascii="仿宋_GB2312" w:hAnsi="仿宋_GB2312" w:eastAsia="仿宋_GB2312"/>
          <w:b w:val="0"/>
          <w:sz w:val="32"/>
        </w:rPr>
        <w:t>12.卫生健康支出(类)行政事业单位医疗(款)公务员医疗补助(项):支出决算数为5.96万元，比上年决算增加0.25万元，增长4.38%,主要原因是：本年在职人员工资基数调增，医疗缴费基数上涨，相应支出增加。</w:t>
      </w:r>
    </w:p>
    <w:p w14:paraId="7FC2E705">
      <w:pPr>
        <w:spacing w:line="580" w:lineRule="exact"/>
        <w:ind w:firstLine="640"/>
        <w:jc w:val="both"/>
      </w:pPr>
      <w:r>
        <w:rPr>
          <w:rFonts w:ascii="仿宋_GB2312" w:hAnsi="仿宋_GB2312" w:eastAsia="仿宋_GB2312"/>
          <w:b w:val="0"/>
          <w:sz w:val="32"/>
        </w:rPr>
        <w:t>13.住房保障支出(类)住房改革支出(款)住房公积金(项):支出决算数为146.53万元，比上年决算增加7.54万元，增长5.42%,主要原因是：本年在职人员增加，住房公积金支出较上年增加。</w:t>
      </w:r>
    </w:p>
    <w:p w14:paraId="22792C68">
      <w:pPr>
        <w:spacing w:line="640" w:lineRule="exact"/>
        <w:ind w:firstLine="640"/>
        <w:jc w:val="both"/>
        <w:outlineLvl w:val="2"/>
      </w:pPr>
      <w:r>
        <w:rPr>
          <w:rFonts w:ascii="黑体" w:hAnsi="黑体" w:eastAsia="黑体"/>
          <w:sz w:val="32"/>
        </w:rPr>
        <w:t>六、一般公共预算财政拨款基本支出决算情况说明</w:t>
      </w:r>
    </w:p>
    <w:p w14:paraId="1025C4A4">
      <w:pPr>
        <w:spacing w:line="580" w:lineRule="exact"/>
        <w:ind w:firstLine="640"/>
        <w:jc w:val="both"/>
      </w:pPr>
      <w:r>
        <w:rPr>
          <w:rFonts w:ascii="仿宋_GB2312" w:hAnsi="仿宋_GB2312" w:eastAsia="仿宋_GB2312"/>
          <w:b w:val="0"/>
          <w:sz w:val="32"/>
        </w:rPr>
        <w:t>2024年度一般公共预算财政拨款基本支出2,549.29万元，其中：</w:t>
      </w:r>
      <w:r>
        <w:rPr>
          <w:rFonts w:ascii="仿宋_GB2312" w:hAnsi="仿宋_GB2312" w:eastAsia="仿宋_GB2312"/>
          <w:b/>
          <w:sz w:val="32"/>
        </w:rPr>
        <w:t>人员经费1,978.38万元，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107C5361">
      <w:pPr>
        <w:spacing w:line="580" w:lineRule="exact"/>
        <w:ind w:firstLine="640"/>
        <w:jc w:val="both"/>
      </w:pPr>
      <w:r>
        <w:rPr>
          <w:rFonts w:ascii="仿宋_GB2312" w:hAnsi="仿宋_GB2312" w:eastAsia="仿宋_GB2312"/>
          <w:b/>
          <w:sz w:val="32"/>
        </w:rPr>
        <w:t>公用经费570.92万元，</w:t>
      </w:r>
      <w:r>
        <w:rPr>
          <w:rFonts w:ascii="仿宋_GB2312" w:hAnsi="仿宋_GB2312" w:eastAsia="仿宋_GB2312"/>
          <w:b w:val="0"/>
          <w:sz w:val="32"/>
        </w:rPr>
        <w:t>包括：办公费、印刷费、手续费、水费、电费、邮电费、取暖费、差旅费、维修（护）费、租赁费、公务接待费、劳务费、工会经费、公务用车运行维护费、其他交通费用、其他商品和服务支出。</w:t>
      </w:r>
    </w:p>
    <w:p w14:paraId="368A8CEE">
      <w:pPr>
        <w:spacing w:line="640" w:lineRule="exact"/>
        <w:ind w:firstLine="640"/>
        <w:jc w:val="both"/>
        <w:outlineLvl w:val="2"/>
      </w:pPr>
      <w:r>
        <w:rPr>
          <w:rFonts w:ascii="黑体" w:hAnsi="黑体" w:eastAsia="黑体"/>
          <w:sz w:val="32"/>
        </w:rPr>
        <w:t>七、政府性基金预算财政拨款收入支出决算情况说明</w:t>
      </w:r>
    </w:p>
    <w:p w14:paraId="1844F7B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E6852BE">
      <w:pPr>
        <w:spacing w:line="640" w:lineRule="exact"/>
        <w:ind w:firstLine="640"/>
        <w:jc w:val="both"/>
        <w:outlineLvl w:val="2"/>
      </w:pPr>
      <w:r>
        <w:rPr>
          <w:rFonts w:ascii="黑体" w:hAnsi="黑体" w:eastAsia="黑体"/>
          <w:sz w:val="32"/>
        </w:rPr>
        <w:t>八、国有资本经营预算财政拨款收入支出决算情况说明</w:t>
      </w:r>
    </w:p>
    <w:p w14:paraId="1701E5D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364B15">
      <w:pPr>
        <w:spacing w:line="640" w:lineRule="exact"/>
        <w:ind w:firstLine="640"/>
        <w:jc w:val="both"/>
        <w:outlineLvl w:val="2"/>
      </w:pPr>
      <w:r>
        <w:rPr>
          <w:rFonts w:ascii="黑体" w:hAnsi="黑体" w:eastAsia="黑体"/>
          <w:sz w:val="32"/>
        </w:rPr>
        <w:t>九、财政拨款“三公”经费支出决算情况说明</w:t>
      </w:r>
    </w:p>
    <w:p w14:paraId="3A7CFAB6">
      <w:pPr>
        <w:spacing w:line="580" w:lineRule="exact"/>
        <w:ind w:firstLine="640"/>
        <w:jc w:val="both"/>
      </w:pPr>
      <w:r>
        <w:rPr>
          <w:rFonts w:ascii="仿宋_GB2312" w:hAnsi="仿宋_GB2312" w:eastAsia="仿宋_GB2312"/>
          <w:b/>
          <w:sz w:val="32"/>
        </w:rPr>
        <w:t>2024年度财政拨款“三公”经费支出24.90万元，</w:t>
      </w:r>
      <w:r>
        <w:rPr>
          <w:rFonts w:ascii="仿宋_GB2312" w:hAnsi="仿宋_GB2312" w:eastAsia="仿宋_GB2312"/>
          <w:b w:val="0"/>
          <w:sz w:val="32"/>
        </w:rPr>
        <w:t>比上年减少0.89万元，下降3.45%，主要原因是：严格落实中央八项规定精神，厉行节约，减少公务用车运行维护费及公务接待费，</w:t>
      </w:r>
      <w:r>
        <w:rPr>
          <w:rFonts w:hint="eastAsia" w:ascii="仿宋_GB2312" w:hAnsi="仿宋_GB2312" w:eastAsia="仿宋_GB2312"/>
          <w:b w:val="0"/>
          <w:sz w:val="32"/>
          <w:lang w:eastAsia="zh-CN"/>
        </w:rPr>
        <w:t>“三公”经费</w:t>
      </w:r>
      <w:r>
        <w:rPr>
          <w:rFonts w:ascii="仿宋_GB2312" w:hAnsi="仿宋_GB2312" w:eastAsia="仿宋_GB2312"/>
          <w:b w:val="0"/>
          <w:sz w:val="32"/>
        </w:rPr>
        <w:t>支出减少。其中：因公出国（境）费支出0.00万元，占0.00%，比上年增加0.00万元，增长0.00%，主要原因是：2023年与2024年均未安排因公出国（境）费支出。公务用车购置及运行维护费支出24.00万元，占96.39%，比上年减少0.52万元，下降2.12%，主要原因是：严格落实中央八项规定精神，厉行节约，减少公务用车运行维护费。公务接待费支出0.90万元，占3.61%，比上年减少0.37万元，下降29.13%，主要原因是：严格落实中央八项规定精神，厉行节约，减少公务接待费。</w:t>
      </w:r>
    </w:p>
    <w:p w14:paraId="11F3839B">
      <w:pPr>
        <w:spacing w:line="580" w:lineRule="exact"/>
        <w:ind w:firstLine="640"/>
        <w:jc w:val="both"/>
      </w:pPr>
      <w:r>
        <w:rPr>
          <w:rFonts w:ascii="仿宋_GB2312" w:hAnsi="仿宋_GB2312" w:eastAsia="仿宋_GB2312"/>
          <w:b/>
          <w:sz w:val="32"/>
        </w:rPr>
        <w:t>具体情况如下：</w:t>
      </w:r>
    </w:p>
    <w:p w14:paraId="48282E2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174F4F">
      <w:pPr>
        <w:spacing w:line="580" w:lineRule="exact"/>
        <w:ind w:firstLine="640"/>
        <w:jc w:val="both"/>
      </w:pPr>
      <w:r>
        <w:rPr>
          <w:rFonts w:ascii="仿宋_GB2312" w:hAnsi="仿宋_GB2312" w:eastAsia="仿宋_GB2312"/>
          <w:b w:val="0"/>
          <w:sz w:val="32"/>
        </w:rPr>
        <w:t>公务用车购置及运行维护费24.00万元，其中：公务用车购置费0.00万元，公务用车运行维护费24.00万元。公务用车运行维护费开支内容包括车辆加油费、维修费、保险费、审车费、过路费等。公务用车购置数0辆，公务用车保有量16辆。国有资产占用情况中固定资产车辆16辆，与公务用车保有量差异原因是：本单位固定资产车辆与公务用车保有量一致无差异。</w:t>
      </w:r>
    </w:p>
    <w:p w14:paraId="3759DB03">
      <w:pPr>
        <w:spacing w:line="580" w:lineRule="exact"/>
        <w:ind w:firstLine="640"/>
        <w:jc w:val="both"/>
      </w:pPr>
      <w:r>
        <w:rPr>
          <w:rFonts w:ascii="仿宋_GB2312" w:hAnsi="仿宋_GB2312" w:eastAsia="仿宋_GB2312"/>
          <w:b w:val="0"/>
          <w:sz w:val="32"/>
        </w:rPr>
        <w:t>公务接待费0.90万元，开支内容包括因工作需要公务接待厦门参观考察团一行产生的就餐费。单位全年安排的国内公务接待15批次，190人次。</w:t>
      </w:r>
    </w:p>
    <w:p w14:paraId="66096C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25.00万元，决算数24.90万元，预决算差异率-0.40%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24.00万元，预决算差异率0.00%，主要原因是：严格按照预算执行，预决算无差异。公务接待费全年预算数1.00万元，决算数0.90万元，预决算差异率-10.00%，主要原因是：严格落实中央八项规定精神，厉行节约，减少经费支出。</w:t>
      </w:r>
    </w:p>
    <w:p w14:paraId="3AE6F7A8">
      <w:pPr>
        <w:spacing w:line="640" w:lineRule="exact"/>
        <w:ind w:firstLine="640"/>
        <w:jc w:val="both"/>
        <w:outlineLvl w:val="2"/>
      </w:pPr>
      <w:r>
        <w:rPr>
          <w:rFonts w:ascii="黑体" w:hAnsi="黑体" w:eastAsia="黑体"/>
          <w:sz w:val="32"/>
        </w:rPr>
        <w:t>十、其他重要事项的情况说明</w:t>
      </w:r>
    </w:p>
    <w:p w14:paraId="290DD765">
      <w:pPr>
        <w:spacing w:line="640" w:lineRule="exact"/>
        <w:ind w:firstLine="640"/>
        <w:jc w:val="both"/>
        <w:outlineLvl w:val="3"/>
      </w:pPr>
      <w:r>
        <w:rPr>
          <w:rFonts w:ascii="楷体_GB2312" w:hAnsi="楷体_GB2312" w:eastAsia="楷体_GB2312"/>
          <w:b/>
          <w:sz w:val="32"/>
        </w:rPr>
        <w:t>（一）机关运行经费及公用经费支出情况</w:t>
      </w:r>
    </w:p>
    <w:p w14:paraId="4C07B412">
      <w:pPr>
        <w:spacing w:line="580" w:lineRule="exact"/>
        <w:ind w:firstLine="640"/>
        <w:jc w:val="both"/>
      </w:pPr>
      <w:r>
        <w:rPr>
          <w:rFonts w:ascii="仿宋_GB2312" w:hAnsi="仿宋_GB2312" w:eastAsia="仿宋_GB2312"/>
          <w:b w:val="0"/>
          <w:sz w:val="32"/>
        </w:rPr>
        <w:t>2024年度中共吉木萨尔县纪律检查委员会（行政单位和参照公务员法管理事业单位）机关运行经费支出570.92万元，比上年增加37.68万元，增长7.07%，主要原因是：本年更新、维护补充办公用品，导致公用经费较上年增加。</w:t>
      </w:r>
    </w:p>
    <w:p w14:paraId="57EB06BB">
      <w:pPr>
        <w:spacing w:line="640" w:lineRule="exact"/>
        <w:ind w:firstLine="640"/>
        <w:jc w:val="both"/>
        <w:outlineLvl w:val="3"/>
      </w:pPr>
      <w:r>
        <w:rPr>
          <w:rFonts w:ascii="楷体_GB2312" w:hAnsi="楷体_GB2312" w:eastAsia="楷体_GB2312"/>
          <w:b/>
          <w:sz w:val="32"/>
        </w:rPr>
        <w:t>（二）政府采购情况</w:t>
      </w:r>
    </w:p>
    <w:p w14:paraId="28344F81">
      <w:pPr>
        <w:spacing w:line="580" w:lineRule="exact"/>
        <w:ind w:firstLine="640"/>
        <w:jc w:val="both"/>
      </w:pPr>
      <w:r>
        <w:rPr>
          <w:rFonts w:ascii="仿宋_GB2312" w:hAnsi="仿宋_GB2312" w:eastAsia="仿宋_GB2312"/>
          <w:b w:val="0"/>
          <w:sz w:val="32"/>
        </w:rPr>
        <w:t>2024年度政府采购支出总额58.43万元，其中：政府采购货物支出36.46万元、政府采购工程支出0.00万元、政府采购服务支出21.97万元。</w:t>
      </w:r>
    </w:p>
    <w:p w14:paraId="5B7E783A">
      <w:pPr>
        <w:spacing w:line="580" w:lineRule="exact"/>
        <w:ind w:firstLine="640"/>
        <w:jc w:val="both"/>
      </w:pPr>
      <w:r>
        <w:rPr>
          <w:rFonts w:ascii="仿宋_GB2312" w:hAnsi="仿宋_GB2312" w:eastAsia="仿宋_GB2312"/>
          <w:b w:val="0"/>
          <w:sz w:val="32"/>
        </w:rPr>
        <w:t>授予中小企业合同金额50.10万元，占政府采购支出总额的85.74%，其中：授予小微企业合同金额50.10万元，占政府采购支出总额的85.74%。</w:t>
      </w:r>
    </w:p>
    <w:p w14:paraId="2C2FDC49">
      <w:pPr>
        <w:spacing w:line="640" w:lineRule="exact"/>
        <w:ind w:firstLine="640"/>
        <w:jc w:val="both"/>
        <w:outlineLvl w:val="3"/>
      </w:pPr>
      <w:r>
        <w:rPr>
          <w:rFonts w:ascii="楷体_GB2312" w:hAnsi="楷体_GB2312" w:eastAsia="楷体_GB2312"/>
          <w:b/>
          <w:sz w:val="32"/>
        </w:rPr>
        <w:t>（三）国有资产占用情况说明</w:t>
      </w:r>
    </w:p>
    <w:p w14:paraId="3264000E">
      <w:pPr>
        <w:spacing w:line="580" w:lineRule="exact"/>
        <w:ind w:firstLine="640"/>
        <w:jc w:val="both"/>
      </w:pPr>
      <w:r>
        <w:rPr>
          <w:rFonts w:ascii="仿宋_GB2312" w:hAnsi="仿宋_GB2312" w:eastAsia="仿宋_GB2312"/>
          <w:b w:val="0"/>
          <w:sz w:val="32"/>
        </w:rPr>
        <w:t>截至2024年12月31日，房屋2,340.00平方米，价值84.00万元。车辆16辆，价值256.38万元，其中：副部（省）级及以上领导用车0辆、主要负责人用车0辆、机要通信用车0辆、应急保障用车0辆、执法执勤用车11辆、特种专业技术用车0辆、离退休干部服务用车0辆、其他用车5辆，其他用车主要是：一般公务用车。单价100万元（含）以上设备（不含车辆）0台（套）。</w:t>
      </w:r>
    </w:p>
    <w:p w14:paraId="69863DF8">
      <w:pPr>
        <w:spacing w:line="640" w:lineRule="exact"/>
        <w:ind w:firstLine="640"/>
        <w:jc w:val="both"/>
        <w:outlineLvl w:val="2"/>
      </w:pPr>
      <w:r>
        <w:rPr>
          <w:rFonts w:ascii="黑体" w:hAnsi="黑体" w:eastAsia="黑体"/>
          <w:sz w:val="32"/>
        </w:rPr>
        <w:t>十一、预算绩效的情况说明</w:t>
      </w:r>
    </w:p>
    <w:p w14:paraId="3E8FAD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2,654.16万元，实际执行总额2,642.59万元；预算绩效评价项目2个，全年预算数101.59万元，全年执行数101.59万元。预算绩效管理取得的成效：一是提高财政资金使用效益，二是提高了工作的针对性和计划性。发现的问题及原因：1、预算控制率有待降低。2、绩效指标的明确性、可衡量性、相关性还需进一步提升。下一步改进措施：1.高度重视财政预决算工作，加强预算的约束力。2.加强内部管理，严格执行预算收支。3.加强财务管理，严格财务审核，合理运用资金，各项业务</w:t>
      </w:r>
      <w:r>
        <w:rPr>
          <w:rFonts w:hint="eastAsia" w:ascii="仿宋_GB2312" w:hAnsi="仿宋_GB2312" w:eastAsia="仿宋_GB2312"/>
          <w:b w:val="0"/>
          <w:sz w:val="32"/>
          <w:lang w:eastAsia="zh-CN"/>
        </w:rPr>
        <w:t>工作</w:t>
      </w:r>
      <w:r>
        <w:rPr>
          <w:rFonts w:ascii="仿宋_GB2312" w:hAnsi="仿宋_GB2312" w:eastAsia="仿宋_GB2312"/>
          <w:b w:val="0"/>
          <w:sz w:val="32"/>
        </w:rPr>
        <w:t>顺利开展。具体附整体支出绩效自评表，项目支出绩效自评表。</w:t>
      </w:r>
    </w:p>
    <w:p w14:paraId="7E0F71C7">
      <w:r>
        <w:br w:type="page"/>
      </w:r>
    </w:p>
    <w:tbl>
      <w:tblPr>
        <w:tblStyle w:val="9"/>
        <w:tblW w:w="0" w:type="auto"/>
        <w:tblInd w:w="0" w:type="dxa"/>
        <w:tblLayout w:type="fixed"/>
        <w:tblCellMar>
          <w:top w:w="0" w:type="dxa"/>
          <w:left w:w="108" w:type="dxa"/>
          <w:bottom w:w="0" w:type="dxa"/>
          <w:right w:w="108" w:type="dxa"/>
        </w:tblCellMar>
      </w:tblPr>
      <w:tblGrid>
        <w:gridCol w:w="983"/>
        <w:gridCol w:w="672"/>
        <w:gridCol w:w="1294"/>
        <w:gridCol w:w="1117"/>
        <w:gridCol w:w="849"/>
        <w:gridCol w:w="1377"/>
        <w:gridCol w:w="589"/>
        <w:gridCol w:w="983"/>
        <w:gridCol w:w="983"/>
      </w:tblGrid>
      <w:tr w14:paraId="1D64BC3C">
        <w:tblPrEx>
          <w:tblCellMar>
            <w:top w:w="0" w:type="dxa"/>
            <w:left w:w="108" w:type="dxa"/>
            <w:bottom w:w="0" w:type="dxa"/>
            <w:right w:w="108" w:type="dxa"/>
          </w:tblCellMar>
        </w:tblPrEx>
        <w:tc>
          <w:tcPr>
            <w:tcW w:w="8847" w:type="dxa"/>
            <w:gridSpan w:val="9"/>
            <w:vAlign w:val="center"/>
          </w:tcPr>
          <w:p w14:paraId="02D83C02">
            <w:pPr>
              <w:jc w:val="center"/>
            </w:pPr>
            <w:r>
              <w:rPr>
                <w:rFonts w:ascii="宋体" w:hAnsi="宋体" w:eastAsia="宋体"/>
                <w:sz w:val="24"/>
              </w:rPr>
              <w:t>单位整体支出绩效自评表</w:t>
            </w:r>
          </w:p>
        </w:tc>
      </w:tr>
      <w:tr w14:paraId="26665B3D">
        <w:tblPrEx>
          <w:tblCellMar>
            <w:top w:w="0" w:type="dxa"/>
            <w:left w:w="108" w:type="dxa"/>
            <w:bottom w:w="0" w:type="dxa"/>
            <w:right w:w="108" w:type="dxa"/>
          </w:tblCellMar>
        </w:tblPrEx>
        <w:tc>
          <w:tcPr>
            <w:tcW w:w="8847" w:type="dxa"/>
            <w:gridSpan w:val="9"/>
            <w:vAlign w:val="center"/>
          </w:tcPr>
          <w:p w14:paraId="389E9497">
            <w:pPr>
              <w:jc w:val="center"/>
            </w:pPr>
            <w:r>
              <w:rPr>
                <w:rFonts w:ascii="宋体" w:hAnsi="宋体" w:eastAsia="宋体"/>
                <w:sz w:val="24"/>
              </w:rPr>
              <w:t>（2024年度）</w:t>
            </w:r>
          </w:p>
        </w:tc>
      </w:tr>
      <w:tr w14:paraId="130DA2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ADB5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C07795">
            <w:pPr>
              <w:jc w:val="center"/>
            </w:pPr>
            <w:r>
              <w:rPr>
                <w:rFonts w:ascii="宋体" w:hAnsi="宋体" w:eastAsia="宋体"/>
                <w:sz w:val="16"/>
              </w:rPr>
              <w:t>中共吉木萨尔县纪律检查委员会</w:t>
            </w:r>
          </w:p>
        </w:tc>
      </w:tr>
      <w:tr w14:paraId="5BC098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B19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2AB">
            <w:pPr>
              <w:jc w:val="center"/>
            </w:pPr>
            <w:r>
              <w:rPr>
                <w:rFonts w:ascii="宋体" w:hAnsi="宋体" w:eastAsia="宋体"/>
                <w:sz w:val="16"/>
              </w:rPr>
              <w:t>资金来源</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955AF32">
            <w:pPr>
              <w:jc w:val="center"/>
            </w:pPr>
            <w:r>
              <w:rPr>
                <w:rFonts w:ascii="宋体" w:hAnsi="宋体" w:eastAsia="宋体"/>
                <w:sz w:val="16"/>
              </w:rPr>
              <w:t>年初预算数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A601D2F">
            <w:pPr>
              <w:jc w:val="center"/>
            </w:pPr>
            <w:r>
              <w:rPr>
                <w:rFonts w:ascii="宋体" w:hAnsi="宋体" w:eastAsia="宋体"/>
                <w:sz w:val="16"/>
              </w:rPr>
              <w:t>全年预算数</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411FEEF">
            <w:pPr>
              <w:jc w:val="center"/>
            </w:pPr>
            <w:r>
              <w:rPr>
                <w:rFonts w:ascii="宋体" w:hAnsi="宋体" w:eastAsia="宋体"/>
                <w:sz w:val="16"/>
              </w:rPr>
              <w:t>全年执行数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46851C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91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3328">
            <w:pPr>
              <w:jc w:val="center"/>
            </w:pPr>
            <w:r>
              <w:rPr>
                <w:rFonts w:ascii="宋体" w:hAnsi="宋体" w:eastAsia="宋体"/>
                <w:sz w:val="16"/>
              </w:rPr>
              <w:t>得分</w:t>
            </w:r>
          </w:p>
        </w:tc>
      </w:tr>
      <w:tr w14:paraId="7AB475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3C6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232E">
            <w:pPr>
              <w:jc w:val="center"/>
            </w:pPr>
            <w:r>
              <w:rPr>
                <w:rFonts w:ascii="宋体" w:hAnsi="宋体" w:eastAsia="宋体"/>
                <w:sz w:val="16"/>
              </w:rPr>
              <w:t>上级资金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0F1B954">
            <w:pPr>
              <w:jc w:val="center"/>
            </w:pPr>
            <w:r>
              <w:rPr>
                <w:rFonts w:ascii="宋体" w:hAnsi="宋体" w:eastAsia="宋体"/>
                <w:sz w:val="16"/>
              </w:rPr>
              <w:t>37.58</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EE10886">
            <w:pPr>
              <w:jc w:val="center"/>
            </w:pPr>
            <w:r>
              <w:rPr>
                <w:rFonts w:ascii="宋体" w:hAnsi="宋体" w:eastAsia="宋体"/>
                <w:sz w:val="16"/>
              </w:rPr>
              <w:t>81.90</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1DC8EFF">
            <w:pPr>
              <w:jc w:val="center"/>
            </w:pPr>
            <w:r>
              <w:rPr>
                <w:rFonts w:ascii="宋体" w:hAnsi="宋体" w:eastAsia="宋体"/>
                <w:sz w:val="16"/>
              </w:rPr>
              <w:t>81.90</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F726B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9DE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E02E">
            <w:pPr>
              <w:jc w:val="center"/>
            </w:pPr>
            <w:r>
              <w:rPr>
                <w:rFonts w:ascii="宋体" w:hAnsi="宋体" w:eastAsia="宋体"/>
                <w:sz w:val="16"/>
              </w:rPr>
              <w:t>-</w:t>
            </w:r>
          </w:p>
        </w:tc>
      </w:tr>
      <w:tr w14:paraId="1A5DC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C95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CF81">
            <w:pPr>
              <w:jc w:val="center"/>
            </w:pPr>
            <w:r>
              <w:rPr>
                <w:rFonts w:ascii="宋体" w:hAnsi="宋体" w:eastAsia="宋体"/>
                <w:sz w:val="16"/>
              </w:rPr>
              <w:t>本级资金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0AF0565">
            <w:pPr>
              <w:jc w:val="center"/>
            </w:pPr>
            <w:r>
              <w:rPr>
                <w:rFonts w:ascii="宋体" w:hAnsi="宋体" w:eastAsia="宋体"/>
                <w:sz w:val="16"/>
              </w:rPr>
              <w:t>2,750.91</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F4A61BE">
            <w:pPr>
              <w:jc w:val="center"/>
            </w:pPr>
            <w:r>
              <w:rPr>
                <w:rFonts w:ascii="宋体" w:hAnsi="宋体" w:eastAsia="宋体"/>
                <w:sz w:val="16"/>
              </w:rPr>
              <w:t>2,572.26</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D2E0EAC">
            <w:pPr>
              <w:jc w:val="center"/>
            </w:pPr>
            <w:r>
              <w:rPr>
                <w:rFonts w:ascii="宋体" w:hAnsi="宋体" w:eastAsia="宋体"/>
                <w:sz w:val="16"/>
              </w:rPr>
              <w:t>2,560.69</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5220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6B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41BCE">
            <w:pPr>
              <w:jc w:val="center"/>
            </w:pPr>
            <w:r>
              <w:rPr>
                <w:rFonts w:ascii="宋体" w:hAnsi="宋体" w:eastAsia="宋体"/>
                <w:sz w:val="16"/>
              </w:rPr>
              <w:t>-</w:t>
            </w:r>
          </w:p>
        </w:tc>
      </w:tr>
      <w:tr w14:paraId="77E0F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CDC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4148">
            <w:pPr>
              <w:jc w:val="center"/>
            </w:pPr>
            <w:r>
              <w:rPr>
                <w:rFonts w:ascii="宋体" w:hAnsi="宋体" w:eastAsia="宋体"/>
                <w:sz w:val="16"/>
              </w:rPr>
              <w:t>其他资金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0AABDC7">
            <w:pPr>
              <w:jc w:val="center"/>
            </w:pPr>
            <w:r>
              <w:rPr>
                <w:rFonts w:ascii="宋体" w:hAnsi="宋体" w:eastAsia="宋体"/>
                <w:sz w:val="16"/>
              </w:rPr>
              <w:t>56.42</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48BA7497">
            <w:pPr>
              <w:jc w:val="center"/>
            </w:pPr>
            <w:r>
              <w:rPr>
                <w:rFonts w:ascii="宋体" w:hAnsi="宋体" w:eastAsia="宋体"/>
                <w:sz w:val="16"/>
              </w:rPr>
              <w:t>0.00</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513E31FF">
            <w:pPr>
              <w:jc w:val="center"/>
            </w:pPr>
            <w:r>
              <w:rPr>
                <w:rFonts w:ascii="宋体" w:hAnsi="宋体" w:eastAsia="宋体"/>
                <w:sz w:val="16"/>
              </w:rPr>
              <w:t>0.00</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36A54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B55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48C7">
            <w:pPr>
              <w:jc w:val="center"/>
            </w:pPr>
            <w:r>
              <w:rPr>
                <w:rFonts w:ascii="宋体" w:hAnsi="宋体" w:eastAsia="宋体"/>
                <w:sz w:val="16"/>
              </w:rPr>
              <w:t>-</w:t>
            </w:r>
          </w:p>
        </w:tc>
      </w:tr>
      <w:tr w14:paraId="042EA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AE4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9A1D">
            <w:pPr>
              <w:jc w:val="center"/>
            </w:pPr>
            <w:r>
              <w:rPr>
                <w:rFonts w:ascii="宋体" w:hAnsi="宋体" w:eastAsia="宋体"/>
                <w:sz w:val="16"/>
              </w:rPr>
              <w:t>合计</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BDB8BAE">
            <w:pPr>
              <w:jc w:val="center"/>
            </w:pPr>
            <w:r>
              <w:rPr>
                <w:rFonts w:ascii="宋体" w:hAnsi="宋体" w:eastAsia="宋体"/>
                <w:sz w:val="16"/>
              </w:rPr>
              <w:t>2,844.91</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34E795D0">
            <w:pPr>
              <w:jc w:val="center"/>
            </w:pPr>
            <w:r>
              <w:rPr>
                <w:rFonts w:ascii="宋体" w:hAnsi="宋体" w:eastAsia="宋体"/>
                <w:sz w:val="16"/>
              </w:rPr>
              <w:t>2,654.16</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ED48B34">
            <w:pPr>
              <w:jc w:val="center"/>
            </w:pPr>
            <w:r>
              <w:rPr>
                <w:rFonts w:ascii="宋体" w:hAnsi="宋体" w:eastAsia="宋体"/>
                <w:sz w:val="16"/>
              </w:rPr>
              <w:t>2,642.59</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249E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CBC2">
            <w:pPr>
              <w:jc w:val="center"/>
            </w:pPr>
            <w:r>
              <w:rPr>
                <w:rFonts w:ascii="宋体" w:hAnsi="宋体" w:eastAsia="宋体"/>
                <w:sz w:val="16"/>
              </w:rPr>
              <w:t>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AD43">
            <w:pPr>
              <w:jc w:val="center"/>
            </w:pPr>
            <w:r>
              <w:rPr>
                <w:rFonts w:ascii="宋体" w:hAnsi="宋体" w:eastAsia="宋体"/>
                <w:sz w:val="16"/>
              </w:rPr>
              <w:t>9.96</w:t>
            </w:r>
          </w:p>
        </w:tc>
      </w:tr>
      <w:tr w14:paraId="79B653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0C82E">
            <w:pPr>
              <w:jc w:val="center"/>
            </w:pPr>
            <w:r>
              <w:rPr>
                <w:rFonts w:ascii="宋体" w:hAnsi="宋体" w:eastAsia="宋体"/>
                <w:sz w:val="16"/>
              </w:rPr>
              <w:t>年度总体目标</w:t>
            </w:r>
          </w:p>
        </w:tc>
        <w:tc>
          <w:tcPr>
            <w:tcW w:w="30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D17334">
            <w:pPr>
              <w:jc w:val="center"/>
            </w:pPr>
            <w:r>
              <w:rPr>
                <w:rFonts w:ascii="宋体" w:hAnsi="宋体" w:eastAsia="宋体"/>
                <w:sz w:val="16"/>
              </w:rPr>
              <w:t>预期目标</w:t>
            </w:r>
          </w:p>
        </w:tc>
        <w:tc>
          <w:tcPr>
            <w:tcW w:w="47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32188">
            <w:pPr>
              <w:jc w:val="center"/>
            </w:pPr>
            <w:r>
              <w:rPr>
                <w:rFonts w:ascii="宋体" w:hAnsi="宋体" w:eastAsia="宋体"/>
                <w:sz w:val="16"/>
              </w:rPr>
              <w:t>实际完成情况</w:t>
            </w:r>
          </w:p>
        </w:tc>
      </w:tr>
      <w:tr w14:paraId="4714A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2F6A7"/>
        </w:tc>
        <w:tc>
          <w:tcPr>
            <w:tcW w:w="30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943D43">
            <w:pPr>
              <w:jc w:val="both"/>
            </w:pPr>
            <w:r>
              <w:rPr>
                <w:rFonts w:ascii="宋体" w:hAnsi="宋体" w:eastAsia="宋体"/>
                <w:sz w:val="16"/>
              </w:rPr>
              <w:t>1、纪律检查委员会的职责是监督、执纪、问责，要经常对党员进行遵守纪律的教育，作出关于维护党纪的决定；2、对党的组织和党员领导干部履行职责、行使权力进行监督，受理处置党员群众检举举报，开展谈话提醒，约谈函询；3、监察委员会主要职能是维护宪法和法律权威，依法检查公职人员行使公权力的情况，调查职务违法和职务犯罪；开展廉政工作和反腐败工作，履行监督、调查、处置职责；4、完成在职干部</w:t>
            </w:r>
            <w:r>
              <w:rPr>
                <w:rFonts w:hint="eastAsia" w:ascii="宋体" w:hAnsi="宋体"/>
                <w:sz w:val="16"/>
                <w:lang w:val="en-US" w:eastAsia="zh-CN"/>
              </w:rPr>
              <w:t>及</w:t>
            </w:r>
            <w:r>
              <w:rPr>
                <w:rFonts w:ascii="宋体" w:hAnsi="宋体" w:eastAsia="宋体"/>
                <w:sz w:val="16"/>
              </w:rPr>
              <w:t>政府购买</w:t>
            </w:r>
            <w:r>
              <w:rPr>
                <w:rFonts w:hint="eastAsia" w:ascii="宋体" w:hAnsi="宋体"/>
                <w:sz w:val="16"/>
                <w:lang w:eastAsia="zh-CN"/>
              </w:rPr>
              <w:t>岗位</w:t>
            </w:r>
            <w:r>
              <w:rPr>
                <w:rFonts w:ascii="宋体" w:hAnsi="宋体" w:eastAsia="宋体"/>
                <w:sz w:val="16"/>
              </w:rPr>
              <w:t>工资发放及单位正常运行，做到基本支出按预算执行，</w:t>
            </w:r>
            <w:r>
              <w:rPr>
                <w:rFonts w:hint="eastAsia" w:ascii="宋体" w:hAnsi="宋体"/>
                <w:sz w:val="16"/>
                <w:lang w:eastAsia="zh-CN"/>
              </w:rPr>
              <w:t>“三公”经费</w:t>
            </w:r>
            <w:r>
              <w:rPr>
                <w:rFonts w:ascii="宋体" w:hAnsi="宋体" w:eastAsia="宋体"/>
                <w:sz w:val="16"/>
              </w:rPr>
              <w:t>得到控制，预决算及时公开。</w:t>
            </w:r>
          </w:p>
        </w:tc>
        <w:tc>
          <w:tcPr>
            <w:tcW w:w="47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6DC83">
            <w:pPr>
              <w:jc w:val="both"/>
            </w:pPr>
            <w:r>
              <w:rPr>
                <w:rFonts w:ascii="宋体" w:hAnsi="宋体" w:eastAsia="宋体"/>
                <w:sz w:val="16"/>
              </w:rPr>
              <w:t>2025年纪委监委实际完成2642.59万元，纪律检查委员会完成了监督、执纪、问责，要经常对党员进行遵守纪律的教育，作出关于维护党纪的决定；对党的组织和党员领导干部履行职责、行使权力进行监督，受理处置党员群众检举举报，开展谈话提醒，约谈函询；监察委员会主要职能是维护宪法和法律权威，依法检查公职人员行使公权力的情况，调查职务违法和职务犯罪；开展廉政工作和反腐败工作，履行监督、调查、处置职责；完成在职干部</w:t>
            </w:r>
            <w:r>
              <w:rPr>
                <w:rFonts w:hint="eastAsia" w:ascii="宋体" w:hAnsi="宋体"/>
                <w:sz w:val="16"/>
                <w:lang w:val="en-US" w:eastAsia="zh-CN"/>
              </w:rPr>
              <w:t>及</w:t>
            </w:r>
            <w:r>
              <w:rPr>
                <w:rFonts w:ascii="宋体" w:hAnsi="宋体" w:eastAsia="宋体"/>
                <w:sz w:val="16"/>
              </w:rPr>
              <w:t>政府购买</w:t>
            </w:r>
            <w:r>
              <w:rPr>
                <w:rFonts w:hint="eastAsia" w:ascii="宋体" w:hAnsi="宋体"/>
                <w:sz w:val="16"/>
                <w:lang w:eastAsia="zh-CN"/>
              </w:rPr>
              <w:t>岗位</w:t>
            </w:r>
            <w:r>
              <w:rPr>
                <w:rFonts w:ascii="宋体" w:hAnsi="宋体" w:eastAsia="宋体"/>
                <w:sz w:val="16"/>
              </w:rPr>
              <w:t>工资发放及单位正常运行，做到基本支出按预算执行，</w:t>
            </w:r>
            <w:r>
              <w:rPr>
                <w:rFonts w:hint="eastAsia" w:ascii="宋体" w:hAnsi="宋体"/>
                <w:sz w:val="16"/>
                <w:lang w:eastAsia="zh-CN"/>
              </w:rPr>
              <w:t>“三公”经费</w:t>
            </w:r>
            <w:r>
              <w:rPr>
                <w:rFonts w:ascii="宋体" w:hAnsi="宋体" w:eastAsia="宋体"/>
                <w:sz w:val="16"/>
              </w:rPr>
              <w:t>得到控制，预决算及时公开。</w:t>
            </w:r>
          </w:p>
        </w:tc>
      </w:tr>
      <w:tr w14:paraId="4C4D2D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A1CAB">
            <w:pPr>
              <w:jc w:val="center"/>
            </w:pPr>
            <w:r>
              <w:rPr>
                <w:rFonts w:ascii="宋体" w:hAnsi="宋体" w:eastAsia="宋体"/>
                <w:sz w:val="16"/>
              </w:rPr>
              <w:t>一级指标</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414A2F47">
            <w:pPr>
              <w:jc w:val="center"/>
            </w:pPr>
            <w:r>
              <w:rPr>
                <w:rFonts w:ascii="宋体" w:hAnsi="宋体" w:eastAsia="宋体"/>
                <w:sz w:val="16"/>
              </w:rPr>
              <w:t>二级指标</w:t>
            </w:r>
          </w:p>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B29D4">
            <w:pPr>
              <w:jc w:val="center"/>
            </w:pPr>
            <w:r>
              <w:rPr>
                <w:rFonts w:ascii="宋体" w:hAnsi="宋体" w:eastAsia="宋体"/>
                <w:sz w:val="16"/>
              </w:rPr>
              <w:t>三级指标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601EDD3">
            <w:pPr>
              <w:jc w:val="center"/>
            </w:pPr>
            <w:r>
              <w:rPr>
                <w:rFonts w:ascii="宋体" w:hAnsi="宋体" w:eastAsia="宋体"/>
                <w:sz w:val="16"/>
              </w:rPr>
              <w:t>预期指标值</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4472D27D">
            <w:pPr>
              <w:jc w:val="center"/>
            </w:pPr>
            <w:r>
              <w:rPr>
                <w:rFonts w:ascii="宋体" w:hAnsi="宋体" w:eastAsia="宋体"/>
                <w:sz w:val="16"/>
              </w:rPr>
              <w:t>指标值设定依据</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D9E48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12F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7221">
            <w:pPr>
              <w:jc w:val="center"/>
            </w:pPr>
            <w:r>
              <w:rPr>
                <w:rFonts w:ascii="宋体" w:hAnsi="宋体" w:eastAsia="宋体"/>
                <w:sz w:val="16"/>
              </w:rPr>
              <w:t>得分</w:t>
            </w:r>
          </w:p>
        </w:tc>
      </w:tr>
      <w:tr w14:paraId="202A79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BB016">
            <w:pPr>
              <w:jc w:val="center"/>
            </w:pPr>
            <w:r>
              <w:rPr>
                <w:rFonts w:ascii="宋体" w:hAnsi="宋体" w:eastAsia="宋体"/>
                <w:sz w:val="16"/>
              </w:rPr>
              <w:t>运行成本</w:t>
            </w:r>
          </w:p>
        </w:tc>
        <w:tc>
          <w:tcPr>
            <w:tcW w:w="6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C5F19">
            <w:pPr>
              <w:jc w:val="center"/>
            </w:pPr>
            <w:r>
              <w:rPr>
                <w:rFonts w:ascii="宋体" w:hAnsi="宋体" w:eastAsia="宋体"/>
                <w:sz w:val="16"/>
              </w:rPr>
              <w:t>数量指标</w:t>
            </w:r>
          </w:p>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5D82">
            <w:pPr>
              <w:jc w:val="center"/>
            </w:pPr>
            <w:r>
              <w:rPr>
                <w:rFonts w:ascii="宋体" w:hAnsi="宋体" w:eastAsia="宋体"/>
                <w:sz w:val="16"/>
              </w:rPr>
              <w:t>在职人数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5C39222">
            <w:pPr>
              <w:jc w:val="center"/>
            </w:pPr>
            <w:r>
              <w:rPr>
                <w:rFonts w:ascii="宋体" w:hAnsi="宋体" w:eastAsia="宋体"/>
                <w:sz w:val="16"/>
              </w:rPr>
              <w:t>&gt;=109人</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655B4353">
            <w:pPr>
              <w:jc w:val="center"/>
            </w:pPr>
            <w:r>
              <w:rPr>
                <w:rFonts w:ascii="宋体" w:hAnsi="宋体" w:eastAsia="宋体"/>
                <w:sz w:val="16"/>
              </w:rPr>
              <w:t>纪检委2023</w:t>
            </w:r>
            <w:r>
              <w:rPr>
                <w:rFonts w:hint="eastAsia" w:ascii="宋体" w:hAnsi="宋体"/>
                <w:sz w:val="16"/>
                <w:lang w:eastAsia="zh-CN"/>
              </w:rPr>
              <w:t>年度</w:t>
            </w:r>
            <w:r>
              <w:rPr>
                <w:rFonts w:ascii="宋体" w:hAnsi="宋体" w:eastAsia="宋体"/>
                <w:sz w:val="16"/>
              </w:rPr>
              <w:t>决算报表</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EFABA5A">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FBC9">
            <w:pPr>
              <w:jc w:val="center"/>
            </w:pPr>
            <w:r>
              <w:rPr>
                <w:rFonts w:ascii="宋体" w:hAnsi="宋体" w:eastAsia="宋体"/>
                <w:sz w:val="16"/>
              </w:rPr>
              <w:t>=112人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E0F9">
            <w:pPr>
              <w:jc w:val="center"/>
            </w:pPr>
            <w:r>
              <w:rPr>
                <w:rFonts w:ascii="宋体" w:hAnsi="宋体" w:eastAsia="宋体"/>
                <w:sz w:val="16"/>
              </w:rPr>
              <w:t>11</w:t>
            </w:r>
          </w:p>
        </w:tc>
      </w:tr>
      <w:tr w14:paraId="7D265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F6CCC"/>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6A0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30B9">
            <w:pPr>
              <w:jc w:val="center"/>
            </w:pPr>
            <w:r>
              <w:rPr>
                <w:rFonts w:ascii="宋体" w:hAnsi="宋体" w:eastAsia="宋体"/>
                <w:sz w:val="16"/>
              </w:rPr>
              <w:t>公务用车</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749B195F">
            <w:pPr>
              <w:jc w:val="center"/>
            </w:pPr>
            <w:r>
              <w:rPr>
                <w:rFonts w:ascii="宋体" w:hAnsi="宋体" w:eastAsia="宋体"/>
                <w:sz w:val="16"/>
              </w:rPr>
              <w:t>=15辆</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FEA17F3">
            <w:pPr>
              <w:jc w:val="center"/>
            </w:pPr>
            <w:r>
              <w:rPr>
                <w:rFonts w:ascii="宋体" w:hAnsi="宋体" w:eastAsia="宋体"/>
                <w:sz w:val="16"/>
              </w:rPr>
              <w:t>纪检委2023</w:t>
            </w:r>
            <w:r>
              <w:rPr>
                <w:rFonts w:hint="eastAsia" w:ascii="宋体" w:hAnsi="宋体"/>
                <w:sz w:val="16"/>
                <w:lang w:eastAsia="zh-CN"/>
              </w:rPr>
              <w:t>年度</w:t>
            </w:r>
            <w:r>
              <w:rPr>
                <w:rFonts w:ascii="宋体" w:hAnsi="宋体" w:eastAsia="宋体"/>
                <w:sz w:val="16"/>
              </w:rPr>
              <w:t>决算报表</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94C70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4077">
            <w:pPr>
              <w:jc w:val="center"/>
            </w:pPr>
            <w:r>
              <w:rPr>
                <w:rFonts w:ascii="宋体" w:hAnsi="宋体" w:eastAsia="宋体"/>
                <w:sz w:val="16"/>
              </w:rPr>
              <w:t>=15辆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53E0">
            <w:pPr>
              <w:jc w:val="center"/>
            </w:pPr>
            <w:r>
              <w:rPr>
                <w:rFonts w:ascii="宋体" w:hAnsi="宋体" w:eastAsia="宋体"/>
                <w:sz w:val="16"/>
              </w:rPr>
              <w:t>10</w:t>
            </w:r>
          </w:p>
        </w:tc>
      </w:tr>
      <w:tr w14:paraId="04141D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B2D8C">
            <w:pPr>
              <w:jc w:val="center"/>
            </w:pPr>
            <w:r>
              <w:rPr>
                <w:rFonts w:ascii="宋体" w:hAnsi="宋体" w:eastAsia="宋体"/>
                <w:sz w:val="16"/>
              </w:rPr>
              <w:t>履职效能</w:t>
            </w:r>
          </w:p>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C705"/>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98A3">
            <w:pPr>
              <w:jc w:val="center"/>
            </w:pPr>
            <w:r>
              <w:rPr>
                <w:rFonts w:ascii="宋体" w:hAnsi="宋体" w:eastAsia="宋体"/>
                <w:sz w:val="16"/>
              </w:rPr>
              <w:t>应缴税费</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E1376CC">
            <w:pPr>
              <w:jc w:val="center"/>
            </w:pPr>
            <w:r>
              <w:rPr>
                <w:rFonts w:ascii="宋体" w:hAnsi="宋体" w:eastAsia="宋体"/>
                <w:sz w:val="16"/>
              </w:rPr>
              <w:t>&gt;=100万元</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497F9B2">
            <w:pPr>
              <w:jc w:val="center"/>
            </w:pPr>
            <w:r>
              <w:rPr>
                <w:rFonts w:ascii="宋体" w:hAnsi="宋体" w:eastAsia="宋体"/>
                <w:sz w:val="16"/>
              </w:rPr>
              <w:t>非税收入缴款单</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9A1698E">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C5D46">
            <w:pPr>
              <w:jc w:val="center"/>
            </w:pPr>
            <w:r>
              <w:rPr>
                <w:rFonts w:ascii="宋体" w:hAnsi="宋体" w:eastAsia="宋体"/>
                <w:sz w:val="16"/>
              </w:rPr>
              <w:t>=177.89万元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562D">
            <w:pPr>
              <w:jc w:val="center"/>
            </w:pPr>
            <w:r>
              <w:rPr>
                <w:rFonts w:ascii="宋体" w:hAnsi="宋体" w:eastAsia="宋体"/>
                <w:sz w:val="16"/>
              </w:rPr>
              <w:t>16</w:t>
            </w:r>
          </w:p>
        </w:tc>
      </w:tr>
      <w:tr w14:paraId="35F45FF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EFA33"/>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464018D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013B7">
            <w:pPr>
              <w:jc w:val="center"/>
            </w:pPr>
            <w:r>
              <w:rPr>
                <w:rFonts w:ascii="宋体" w:hAnsi="宋体" w:eastAsia="宋体"/>
                <w:sz w:val="16"/>
              </w:rPr>
              <w:t>立案审查调查数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96698BF">
            <w:pPr>
              <w:jc w:val="center"/>
            </w:pPr>
            <w:r>
              <w:rPr>
                <w:rFonts w:ascii="宋体" w:hAnsi="宋体" w:eastAsia="宋体"/>
                <w:sz w:val="16"/>
              </w:rPr>
              <w:t>&gt;=200件</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19F2CE1F">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51B041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D4C4">
            <w:pPr>
              <w:jc w:val="center"/>
            </w:pPr>
            <w:r>
              <w:rPr>
                <w:rFonts w:ascii="宋体" w:hAnsi="宋体" w:eastAsia="宋体"/>
                <w:sz w:val="16"/>
              </w:rPr>
              <w:t>=237件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E51C">
            <w:pPr>
              <w:jc w:val="center"/>
            </w:pPr>
            <w:r>
              <w:rPr>
                <w:rFonts w:ascii="宋体" w:hAnsi="宋体" w:eastAsia="宋体"/>
                <w:sz w:val="16"/>
              </w:rPr>
              <w:t>18</w:t>
            </w:r>
          </w:p>
        </w:tc>
      </w:tr>
      <w:tr w14:paraId="33AD1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A47AA"/>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129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F8A5">
            <w:pPr>
              <w:jc w:val="center"/>
            </w:pPr>
            <w:r>
              <w:rPr>
                <w:rFonts w:ascii="宋体" w:hAnsi="宋体" w:eastAsia="宋体"/>
                <w:sz w:val="16"/>
              </w:rPr>
              <w:t>案件审理完成率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2C778C8">
            <w:pPr>
              <w:jc w:val="center"/>
            </w:pPr>
            <w:r>
              <w:rPr>
                <w:rFonts w:ascii="宋体" w:hAnsi="宋体" w:eastAsia="宋体"/>
                <w:sz w:val="16"/>
              </w:rPr>
              <w:t>&gt;=85%</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0063209E">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3AF2A5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808F">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D30E">
            <w:pPr>
              <w:jc w:val="center"/>
            </w:pPr>
            <w:r>
              <w:rPr>
                <w:rFonts w:ascii="宋体" w:hAnsi="宋体" w:eastAsia="宋体"/>
                <w:sz w:val="16"/>
              </w:rPr>
              <w:t>15</w:t>
            </w:r>
          </w:p>
        </w:tc>
      </w:tr>
      <w:tr w14:paraId="6EB05F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85EC2"/>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7858E1E5"/>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D81A9">
            <w:pPr>
              <w:jc w:val="center"/>
            </w:pPr>
            <w:r>
              <w:rPr>
                <w:rFonts w:ascii="宋体" w:hAnsi="宋体" w:eastAsia="宋体"/>
                <w:sz w:val="16"/>
              </w:rPr>
              <w:t>线上线下融合监督发现问题数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77634B3">
            <w:pPr>
              <w:jc w:val="center"/>
            </w:pPr>
            <w:r>
              <w:rPr>
                <w:rFonts w:ascii="宋体" w:hAnsi="宋体" w:eastAsia="宋体"/>
                <w:sz w:val="16"/>
              </w:rPr>
              <w:t>&gt;=260个</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B5EB43D">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15596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46DED">
            <w:pPr>
              <w:jc w:val="center"/>
            </w:pPr>
            <w:r>
              <w:rPr>
                <w:rFonts w:ascii="宋体" w:hAnsi="宋体" w:eastAsia="宋体"/>
                <w:sz w:val="16"/>
              </w:rPr>
              <w:t>=266个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EE35">
            <w:pPr>
              <w:jc w:val="center"/>
            </w:pPr>
            <w:r>
              <w:rPr>
                <w:rFonts w:ascii="宋体" w:hAnsi="宋体" w:eastAsia="宋体"/>
                <w:sz w:val="16"/>
              </w:rPr>
              <w:t>20</w:t>
            </w:r>
          </w:p>
        </w:tc>
      </w:tr>
    </w:tbl>
    <w:p w14:paraId="7C4153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3FC5E3C6">
        <w:tblPrEx>
          <w:tblCellMar>
            <w:top w:w="0" w:type="dxa"/>
            <w:left w:w="108" w:type="dxa"/>
            <w:bottom w:w="0" w:type="dxa"/>
            <w:right w:w="108" w:type="dxa"/>
          </w:tblCellMar>
        </w:tblPrEx>
        <w:tc>
          <w:tcPr>
            <w:tcW w:w="8848" w:type="dxa"/>
            <w:gridSpan w:val="14"/>
            <w:vAlign w:val="center"/>
          </w:tcPr>
          <w:p w14:paraId="7CFE4F24">
            <w:pPr>
              <w:jc w:val="center"/>
            </w:pPr>
            <w:r>
              <w:rPr>
                <w:rFonts w:ascii="宋体" w:hAnsi="宋体" w:eastAsia="宋体"/>
                <w:sz w:val="24"/>
              </w:rPr>
              <w:t>项目支出绩效自评表</w:t>
            </w:r>
          </w:p>
        </w:tc>
      </w:tr>
      <w:tr w14:paraId="32D4B97B">
        <w:tblPrEx>
          <w:tblCellMar>
            <w:top w:w="0" w:type="dxa"/>
            <w:left w:w="108" w:type="dxa"/>
            <w:bottom w:w="0" w:type="dxa"/>
            <w:right w:w="108" w:type="dxa"/>
          </w:tblCellMar>
        </w:tblPrEx>
        <w:tc>
          <w:tcPr>
            <w:tcW w:w="8848" w:type="dxa"/>
            <w:gridSpan w:val="14"/>
            <w:vAlign w:val="center"/>
          </w:tcPr>
          <w:p w14:paraId="33501D26">
            <w:pPr>
              <w:jc w:val="center"/>
            </w:pPr>
            <w:r>
              <w:rPr>
                <w:rFonts w:ascii="宋体" w:hAnsi="宋体" w:eastAsia="宋体"/>
                <w:sz w:val="24"/>
              </w:rPr>
              <w:t>(2024年度)</w:t>
            </w:r>
          </w:p>
        </w:tc>
      </w:tr>
      <w:tr w14:paraId="389136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B7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07FD0A">
            <w:pPr>
              <w:jc w:val="center"/>
            </w:pPr>
            <w:r>
              <w:rPr>
                <w:rFonts w:ascii="宋体" w:hAnsi="宋体" w:eastAsia="宋体"/>
                <w:sz w:val="16"/>
              </w:rPr>
              <w:t>昌州财行</w:t>
            </w:r>
            <w:r>
              <w:rPr>
                <w:rFonts w:hint="eastAsia" w:ascii="宋体" w:hAnsi="宋体"/>
                <w:sz w:val="16"/>
                <w:lang w:eastAsia="zh-CN"/>
              </w:rPr>
              <w:t>〔2023〕33号</w:t>
            </w:r>
            <w:r>
              <w:rPr>
                <w:rFonts w:ascii="宋体" w:hAnsi="宋体" w:eastAsia="宋体"/>
                <w:sz w:val="16"/>
              </w:rPr>
              <w:t>关于调整下达纪委监委协作办案经费的通知</w:t>
            </w:r>
          </w:p>
        </w:tc>
      </w:tr>
      <w:tr w14:paraId="07E50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3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0C563">
            <w:pPr>
              <w:jc w:val="center"/>
            </w:pPr>
            <w:r>
              <w:rPr>
                <w:rFonts w:ascii="宋体" w:hAnsi="宋体" w:eastAsia="宋体"/>
                <w:sz w:val="16"/>
              </w:rPr>
              <w:t>中共吉木萨尔县纪律检查委员会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A7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E7D2F1">
            <w:pPr>
              <w:jc w:val="center"/>
            </w:pPr>
            <w:r>
              <w:rPr>
                <w:rFonts w:ascii="宋体" w:hAnsi="宋体" w:eastAsia="宋体"/>
                <w:sz w:val="16"/>
              </w:rPr>
              <w:t>中共吉木萨尔县纪律检查委员会</w:t>
            </w:r>
          </w:p>
        </w:tc>
      </w:tr>
      <w:tr w14:paraId="58298A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713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48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AA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63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3F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6A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38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B14D">
            <w:pPr>
              <w:jc w:val="center"/>
            </w:pPr>
            <w:r>
              <w:rPr>
                <w:rFonts w:ascii="宋体" w:hAnsi="宋体" w:eastAsia="宋体"/>
                <w:sz w:val="16"/>
              </w:rPr>
              <w:t>得分</w:t>
            </w:r>
          </w:p>
        </w:tc>
      </w:tr>
      <w:tr w14:paraId="782D8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78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77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AA4D">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32403">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BF6B">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7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F5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581F">
            <w:pPr>
              <w:jc w:val="center"/>
            </w:pPr>
            <w:r>
              <w:rPr>
                <w:rFonts w:ascii="宋体" w:hAnsi="宋体" w:eastAsia="宋体"/>
                <w:sz w:val="16"/>
              </w:rPr>
              <w:t>10.00</w:t>
            </w:r>
          </w:p>
        </w:tc>
      </w:tr>
      <w:tr w14:paraId="434F5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29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6D3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853C">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B1F3">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36CE">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9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68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2DD8">
            <w:pPr>
              <w:jc w:val="center"/>
            </w:pPr>
            <w:r>
              <w:rPr>
                <w:rFonts w:ascii="宋体" w:hAnsi="宋体" w:eastAsia="宋体"/>
                <w:sz w:val="16"/>
              </w:rPr>
              <w:t>—</w:t>
            </w:r>
          </w:p>
        </w:tc>
      </w:tr>
      <w:tr w14:paraId="653E9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F8F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45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E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6C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8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3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A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DB3C">
            <w:pPr>
              <w:jc w:val="center"/>
            </w:pPr>
            <w:r>
              <w:rPr>
                <w:rFonts w:ascii="宋体" w:hAnsi="宋体" w:eastAsia="宋体"/>
                <w:sz w:val="16"/>
              </w:rPr>
              <w:t>—</w:t>
            </w:r>
          </w:p>
        </w:tc>
      </w:tr>
      <w:tr w14:paraId="4C357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DF2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0EF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F0189">
            <w:pPr>
              <w:jc w:val="center"/>
            </w:pPr>
            <w:r>
              <w:rPr>
                <w:rFonts w:ascii="宋体" w:hAnsi="宋体" w:eastAsia="宋体"/>
                <w:sz w:val="16"/>
              </w:rPr>
              <w:t>实际完成情况</w:t>
            </w:r>
          </w:p>
        </w:tc>
      </w:tr>
      <w:tr w14:paraId="62979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D5E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C142C">
            <w:pPr>
              <w:jc w:val="both"/>
            </w:pPr>
            <w:r>
              <w:rPr>
                <w:rFonts w:ascii="宋体" w:hAnsi="宋体" w:eastAsia="宋体"/>
                <w:sz w:val="16"/>
              </w:rPr>
              <w:t>以习近平新时代中国正规化建设特色社会主义思想为指导，加强纪检监察机关规范化、法治化、支持纪委监委开展各项业务工作，提高纪委监委办案水平，保障纪检监察业务工作的正常开展。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148F7">
            <w:pPr>
              <w:jc w:val="both"/>
            </w:pPr>
            <w:r>
              <w:rPr>
                <w:rFonts w:ascii="宋体" w:hAnsi="宋体" w:eastAsia="宋体"/>
                <w:sz w:val="16"/>
              </w:rPr>
              <w:t>2024年县纪委监委下达协作办案经费37.58万元，用于购置办公设备、办公用品、办案差旅费、车辆燃油，维修案点等，改善了纪委监委办案环境</w:t>
            </w:r>
            <w:r>
              <w:rPr>
                <w:rFonts w:hint="eastAsia" w:ascii="宋体" w:hAnsi="宋体"/>
                <w:sz w:val="16"/>
                <w:lang w:eastAsia="zh-CN"/>
              </w:rPr>
              <w:t>，为</w:t>
            </w:r>
            <w:r>
              <w:rPr>
                <w:rFonts w:ascii="宋体" w:hAnsi="宋体" w:eastAsia="宋体"/>
                <w:sz w:val="16"/>
              </w:rPr>
              <w:t>提高办案水平发挥重要作用，项目资金根据各室、各组上报办公需要并进行审批程序、采购按财政要求报计划，支付及时。合理安排资金计划，按时完成专项资金项目绩效目标及执行情况的跟踪评价，严格遵循国家法规和财务管理制度合法合规使用专项资金，保证资金拨付有完整的审批程序和要求。</w:t>
            </w:r>
          </w:p>
        </w:tc>
      </w:tr>
      <w:tr w14:paraId="06766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C61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03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59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9F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2F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C9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31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33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F03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71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0F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AF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00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9E23">
            <w:pPr>
              <w:jc w:val="center"/>
            </w:pPr>
            <w:r>
              <w:rPr>
                <w:rFonts w:ascii="宋体" w:hAnsi="宋体" w:eastAsia="宋体"/>
                <w:sz w:val="16"/>
              </w:rPr>
              <w:t>偏差原因分析及改进措施</w:t>
            </w:r>
          </w:p>
        </w:tc>
      </w:tr>
      <w:tr w14:paraId="72A6B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CA1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E3E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C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64A5">
            <w:pPr>
              <w:jc w:val="center"/>
            </w:pPr>
            <w:r>
              <w:rPr>
                <w:rFonts w:ascii="宋体" w:hAnsi="宋体" w:eastAsia="宋体"/>
                <w:sz w:val="16"/>
              </w:rPr>
              <w:t>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10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6B63">
            <w:pPr>
              <w:jc w:val="center"/>
            </w:pPr>
            <w:r>
              <w:rPr>
                <w:rFonts w:ascii="宋体" w:hAnsi="宋体" w:eastAsia="宋体"/>
                <w:sz w:val="16"/>
              </w:rPr>
              <w:t>&gt;=2组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0347">
            <w:pPr>
              <w:jc w:val="center"/>
            </w:pPr>
            <w:r>
              <w:rPr>
                <w:rFonts w:ascii="宋体" w:hAnsi="宋体" w:eastAsia="宋体"/>
                <w:sz w:val="16"/>
              </w:rPr>
              <w:t>=8组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A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39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8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09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0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4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5E7D">
            <w:pPr>
              <w:jc w:val="center"/>
            </w:pPr>
          </w:p>
        </w:tc>
      </w:tr>
      <w:tr w14:paraId="2970F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D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964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52F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48AF">
            <w:pPr>
              <w:jc w:val="center"/>
            </w:pPr>
            <w:r>
              <w:rPr>
                <w:rFonts w:ascii="宋体" w:hAnsi="宋体" w:eastAsia="宋体"/>
                <w:sz w:val="16"/>
              </w:rPr>
              <w:t>设备采购率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4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8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0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D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2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6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AE9C">
            <w:pPr>
              <w:jc w:val="center"/>
            </w:pPr>
          </w:p>
        </w:tc>
      </w:tr>
      <w:tr w14:paraId="5A007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23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3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F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4640">
            <w:pPr>
              <w:jc w:val="center"/>
            </w:pPr>
            <w:r>
              <w:rPr>
                <w:rFonts w:ascii="宋体" w:hAnsi="宋体" w:eastAsia="宋体"/>
                <w:sz w:val="16"/>
              </w:rPr>
              <w:t>纪检监察工作完成率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0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A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5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148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1D7A">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90A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3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A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B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749A">
            <w:pPr>
              <w:jc w:val="center"/>
            </w:pPr>
            <w:r>
              <w:rPr>
                <w:rFonts w:ascii="宋体" w:hAnsi="宋体" w:eastAsia="宋体"/>
                <w:sz w:val="16"/>
              </w:rPr>
              <w:t>项目资金主要用于购置办公设备、办公用品、办案差旅费、车辆燃油，维修案点等，项目资金根据各室、各组上报办公需要并进行审批程序、采购按财政要</w:t>
            </w:r>
            <w:r>
              <w:rPr>
                <w:rFonts w:hint="eastAsia" w:ascii="宋体" w:hAnsi="宋体"/>
                <w:sz w:val="16"/>
                <w:lang w:eastAsia="zh-CN"/>
              </w:rPr>
              <w:t>求申</w:t>
            </w:r>
            <w:r>
              <w:rPr>
                <w:rFonts w:ascii="宋体" w:hAnsi="宋体" w:eastAsia="宋体"/>
                <w:sz w:val="16"/>
              </w:rPr>
              <w:t>报计划。</w:t>
            </w:r>
          </w:p>
        </w:tc>
      </w:tr>
      <w:tr w14:paraId="2DDCB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31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0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BF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446E">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61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23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0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E28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7340">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8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7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3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1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79AF">
            <w:pPr>
              <w:jc w:val="center"/>
            </w:pPr>
            <w:r>
              <w:rPr>
                <w:rFonts w:ascii="宋体" w:hAnsi="宋体" w:eastAsia="宋体"/>
                <w:sz w:val="16"/>
              </w:rPr>
              <w:t>项目资金根据各室、各组上报办公需要并进行审批程序、采购按财政要</w:t>
            </w:r>
            <w:r>
              <w:rPr>
                <w:rFonts w:hint="eastAsia" w:ascii="宋体" w:hAnsi="宋体"/>
                <w:sz w:val="16"/>
                <w:lang w:eastAsia="zh-CN"/>
              </w:rPr>
              <w:t>求申</w:t>
            </w:r>
            <w:r>
              <w:rPr>
                <w:rFonts w:ascii="宋体" w:hAnsi="宋体" w:eastAsia="宋体"/>
                <w:sz w:val="16"/>
              </w:rPr>
              <w:t>报计划，支付及时。</w:t>
            </w:r>
          </w:p>
        </w:tc>
      </w:tr>
      <w:tr w14:paraId="6B8B8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E4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2E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1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BF18">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8C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AA42">
            <w:pPr>
              <w:jc w:val="center"/>
            </w:pPr>
            <w:r>
              <w:rPr>
                <w:rFonts w:ascii="宋体" w:hAnsi="宋体" w:eastAsia="宋体"/>
                <w:sz w:val="16"/>
              </w:rPr>
              <w:t>&lt;=35.96万元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CA1A">
            <w:pPr>
              <w:jc w:val="center"/>
            </w:pPr>
            <w:r>
              <w:rPr>
                <w:rFonts w:ascii="宋体" w:hAnsi="宋体" w:eastAsia="宋体"/>
                <w:sz w:val="16"/>
              </w:rPr>
              <w:t>=35.96万元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7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E8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F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C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0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0B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8BB">
            <w:pPr>
              <w:jc w:val="center"/>
            </w:pPr>
          </w:p>
        </w:tc>
      </w:tr>
      <w:tr w14:paraId="3A8D8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B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EE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7D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6388">
            <w:pPr>
              <w:jc w:val="center"/>
            </w:pPr>
            <w:r>
              <w:rPr>
                <w:rFonts w:ascii="宋体" w:hAnsi="宋体" w:eastAsia="宋体"/>
                <w:sz w:val="16"/>
              </w:rPr>
              <w:t>引导地方纪检</w:t>
            </w:r>
            <w:r>
              <w:rPr>
                <w:rFonts w:hint="eastAsia" w:ascii="宋体" w:hAnsi="宋体"/>
                <w:sz w:val="16"/>
                <w:lang w:eastAsia="zh-CN"/>
              </w:rPr>
              <w:t>国家监察委员会部</w:t>
            </w:r>
            <w:r>
              <w:rPr>
                <w:rFonts w:ascii="宋体" w:hAnsi="宋体" w:eastAsia="宋体"/>
                <w:sz w:val="16"/>
              </w:rPr>
              <w:t>门经费保障水平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6C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7DA1">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09A2">
            <w:pPr>
              <w:jc w:val="center"/>
            </w:pPr>
            <w:r>
              <w:rPr>
                <w:rFonts w:ascii="宋体" w:hAnsi="宋体" w:eastAsia="宋体"/>
                <w:sz w:val="16"/>
              </w:rPr>
              <w:t>稳步提</w:t>
            </w:r>
            <w:bookmarkStart w:id="0" w:name="_GoBack"/>
            <w:bookmarkEnd w:id="0"/>
            <w:r>
              <w:rPr>
                <w:rFonts w:ascii="宋体" w:hAnsi="宋体" w:eastAsia="宋体"/>
                <w:sz w:val="16"/>
              </w:rPr>
              <w:t>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7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3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9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56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9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3C5">
            <w:pPr>
              <w:jc w:val="center"/>
            </w:pPr>
          </w:p>
        </w:tc>
      </w:tr>
      <w:tr w14:paraId="1A810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3D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14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5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4B79">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2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63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63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FD6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3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9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3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94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F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A8DF">
            <w:pPr>
              <w:jc w:val="center"/>
            </w:pPr>
            <w:r>
              <w:rPr>
                <w:rFonts w:ascii="宋体" w:hAnsi="宋体" w:eastAsia="宋体"/>
                <w:sz w:val="16"/>
              </w:rPr>
              <w:t>干部职工对项目实施满意度达到95%。</w:t>
            </w:r>
          </w:p>
        </w:tc>
      </w:tr>
      <w:tr w14:paraId="2B4558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C8A6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2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4CC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CD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5F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D92C">
            <w:pPr>
              <w:jc w:val="center"/>
            </w:pPr>
            <w:r>
              <w:rPr>
                <w:rFonts w:ascii="宋体" w:hAnsi="宋体" w:eastAsia="宋体"/>
                <w:sz w:val="16"/>
              </w:rPr>
              <w:t>98.90分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75E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EE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735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57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2E614"/>
        </w:tc>
      </w:tr>
    </w:tbl>
    <w:p w14:paraId="2ED557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659C2FFF">
        <w:tblPrEx>
          <w:tblCellMar>
            <w:top w:w="0" w:type="dxa"/>
            <w:left w:w="108" w:type="dxa"/>
            <w:bottom w:w="0" w:type="dxa"/>
            <w:right w:w="108" w:type="dxa"/>
          </w:tblCellMar>
        </w:tblPrEx>
        <w:tc>
          <w:tcPr>
            <w:tcW w:w="8848" w:type="dxa"/>
            <w:gridSpan w:val="14"/>
            <w:vAlign w:val="center"/>
          </w:tcPr>
          <w:p w14:paraId="12EF7CF5">
            <w:pPr>
              <w:jc w:val="center"/>
            </w:pPr>
            <w:r>
              <w:rPr>
                <w:rFonts w:ascii="宋体" w:hAnsi="宋体" w:eastAsia="宋体"/>
                <w:sz w:val="24"/>
              </w:rPr>
              <w:t>项目支出绩效自评表</w:t>
            </w:r>
          </w:p>
        </w:tc>
      </w:tr>
      <w:tr w14:paraId="2641AF88">
        <w:tblPrEx>
          <w:tblCellMar>
            <w:top w:w="0" w:type="dxa"/>
            <w:left w:w="108" w:type="dxa"/>
            <w:bottom w:w="0" w:type="dxa"/>
            <w:right w:w="108" w:type="dxa"/>
          </w:tblCellMar>
        </w:tblPrEx>
        <w:tc>
          <w:tcPr>
            <w:tcW w:w="8848" w:type="dxa"/>
            <w:gridSpan w:val="14"/>
            <w:vAlign w:val="center"/>
          </w:tcPr>
          <w:p w14:paraId="4B1D6C1C">
            <w:pPr>
              <w:jc w:val="center"/>
            </w:pPr>
            <w:r>
              <w:rPr>
                <w:rFonts w:ascii="宋体" w:hAnsi="宋体" w:eastAsia="宋体"/>
                <w:sz w:val="24"/>
              </w:rPr>
              <w:t>(2024年度)</w:t>
            </w:r>
          </w:p>
        </w:tc>
      </w:tr>
      <w:tr w14:paraId="55C78B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89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D916C8">
            <w:pPr>
              <w:jc w:val="center"/>
            </w:pPr>
            <w:r>
              <w:rPr>
                <w:rFonts w:ascii="宋体" w:hAnsi="宋体" w:eastAsia="宋体"/>
                <w:sz w:val="16"/>
              </w:rPr>
              <w:t>纪检委2024年监察信息员工资</w:t>
            </w:r>
          </w:p>
        </w:tc>
      </w:tr>
      <w:tr w14:paraId="0B0B1A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95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6A4F1">
            <w:pPr>
              <w:jc w:val="center"/>
            </w:pPr>
            <w:r>
              <w:rPr>
                <w:rFonts w:ascii="宋体" w:hAnsi="宋体" w:eastAsia="宋体"/>
                <w:sz w:val="16"/>
              </w:rPr>
              <w:t>中共吉木萨尔县纪律检查委员会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01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18CC6">
            <w:pPr>
              <w:jc w:val="center"/>
            </w:pPr>
            <w:r>
              <w:rPr>
                <w:rFonts w:ascii="宋体" w:hAnsi="宋体" w:eastAsia="宋体"/>
                <w:sz w:val="16"/>
              </w:rPr>
              <w:t>中共吉木萨尔县纪律检查委员会</w:t>
            </w:r>
          </w:p>
        </w:tc>
      </w:tr>
      <w:tr w14:paraId="763F3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49C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4C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65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B2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52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EBD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29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92CB">
            <w:pPr>
              <w:jc w:val="center"/>
            </w:pPr>
            <w:r>
              <w:rPr>
                <w:rFonts w:ascii="宋体" w:hAnsi="宋体" w:eastAsia="宋体"/>
                <w:sz w:val="16"/>
              </w:rPr>
              <w:t>得分</w:t>
            </w:r>
          </w:p>
        </w:tc>
      </w:tr>
      <w:tr w14:paraId="0DCD1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B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27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D9EC">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3C6F">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DCB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2A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C1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73C6">
            <w:pPr>
              <w:jc w:val="center"/>
            </w:pPr>
            <w:r>
              <w:rPr>
                <w:rFonts w:ascii="宋体" w:hAnsi="宋体" w:eastAsia="宋体"/>
                <w:sz w:val="16"/>
              </w:rPr>
              <w:t>10.00</w:t>
            </w:r>
          </w:p>
        </w:tc>
      </w:tr>
      <w:tr w14:paraId="6564E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2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D8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64059">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BCE8">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CCF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71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1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5C6B">
            <w:pPr>
              <w:jc w:val="center"/>
            </w:pPr>
            <w:r>
              <w:rPr>
                <w:rFonts w:ascii="宋体" w:hAnsi="宋体" w:eastAsia="宋体"/>
                <w:sz w:val="16"/>
              </w:rPr>
              <w:t>—</w:t>
            </w:r>
          </w:p>
        </w:tc>
      </w:tr>
      <w:tr w14:paraId="2F843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E5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E2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9D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4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65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56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0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37DD">
            <w:pPr>
              <w:jc w:val="center"/>
            </w:pPr>
            <w:r>
              <w:rPr>
                <w:rFonts w:ascii="宋体" w:hAnsi="宋体" w:eastAsia="宋体"/>
                <w:sz w:val="16"/>
              </w:rPr>
              <w:t>—</w:t>
            </w:r>
          </w:p>
        </w:tc>
      </w:tr>
      <w:tr w14:paraId="240B3C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CAE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730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140BF">
            <w:pPr>
              <w:jc w:val="center"/>
            </w:pPr>
            <w:r>
              <w:rPr>
                <w:rFonts w:ascii="宋体" w:hAnsi="宋体" w:eastAsia="宋体"/>
                <w:sz w:val="16"/>
              </w:rPr>
              <w:t>实际完成情况</w:t>
            </w:r>
          </w:p>
        </w:tc>
      </w:tr>
      <w:tr w14:paraId="6351D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2B7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BE192">
            <w:pPr>
              <w:jc w:val="both"/>
            </w:pPr>
            <w:r>
              <w:rPr>
                <w:rFonts w:ascii="宋体" w:hAnsi="宋体" w:eastAsia="宋体"/>
                <w:sz w:val="16"/>
              </w:rPr>
              <w:t>为纪检监察信息员发放每人不少于2000的工作经费。2024年通过制定、聘任等形式在68个村（社区）设立监察信息员，工作经费共64万元。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83478">
            <w:pPr>
              <w:jc w:val="both"/>
            </w:pPr>
            <w:r>
              <w:rPr>
                <w:rFonts w:hint="eastAsia" w:ascii="宋体" w:hAnsi="宋体"/>
                <w:sz w:val="16"/>
                <w:lang w:eastAsia="zh-CN"/>
              </w:rPr>
              <w:t>截至</w:t>
            </w:r>
            <w:r>
              <w:rPr>
                <w:rFonts w:ascii="宋体" w:hAnsi="宋体" w:eastAsia="宋体"/>
                <w:sz w:val="16"/>
              </w:rPr>
              <w:t>2024年12月31日，项目实际支出64万元，预算执行率为100%。严格按照昌吉州县（市）监察委员会派出乡镇监察办公室聘任监察信息员管理制度执行，乡镇按照监察信息员考核细则，分两次报纪委监委办公室审核，发放人数282人，资金使用合规性和安全性，符合项目预算批复或合同规定的用途，不得存在截留、挤占、挪用、虚列支出等情况。</w:t>
            </w:r>
          </w:p>
        </w:tc>
      </w:tr>
      <w:tr w14:paraId="44038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18B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DF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16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C2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D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C41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A8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6F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89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38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06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44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15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5C1A">
            <w:pPr>
              <w:jc w:val="center"/>
            </w:pPr>
            <w:r>
              <w:rPr>
                <w:rFonts w:ascii="宋体" w:hAnsi="宋体" w:eastAsia="宋体"/>
                <w:sz w:val="16"/>
              </w:rPr>
              <w:t>偏差原因分析及改进措施</w:t>
            </w:r>
          </w:p>
        </w:tc>
      </w:tr>
      <w:tr w14:paraId="225C3C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33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475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9A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407F">
            <w:pPr>
              <w:jc w:val="center"/>
            </w:pPr>
            <w:r>
              <w:rPr>
                <w:rFonts w:ascii="宋体" w:hAnsi="宋体" w:eastAsia="宋体"/>
                <w:sz w:val="16"/>
              </w:rPr>
              <w:t>监察信息员人数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D5B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C7D4">
            <w:pPr>
              <w:jc w:val="center"/>
            </w:pPr>
            <w:r>
              <w:rPr>
                <w:rFonts w:ascii="宋体" w:hAnsi="宋体" w:eastAsia="宋体"/>
                <w:sz w:val="16"/>
              </w:rPr>
              <w:t>&lt;=320人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5127">
            <w:pPr>
              <w:jc w:val="center"/>
            </w:pPr>
            <w:r>
              <w:rPr>
                <w:rFonts w:ascii="宋体" w:hAnsi="宋体" w:eastAsia="宋体"/>
                <w:sz w:val="16"/>
              </w:rPr>
              <w:t>=242人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F5E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C2C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6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7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D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A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7474">
            <w:pPr>
              <w:jc w:val="center"/>
            </w:pPr>
            <w:r>
              <w:rPr>
                <w:rFonts w:ascii="宋体" w:hAnsi="宋体" w:eastAsia="宋体"/>
                <w:sz w:val="16"/>
              </w:rPr>
              <w:t>根据乡镇考核细则，对监察工作认真负责、提供线索、积极参加会议发放，对监察工作没有实质性作用的不予发放，实际发放人数为242人。</w:t>
            </w:r>
          </w:p>
        </w:tc>
      </w:tr>
      <w:tr w14:paraId="6AB3F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8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6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78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6CC9">
            <w:pPr>
              <w:jc w:val="center"/>
            </w:pPr>
            <w:r>
              <w:rPr>
                <w:rFonts w:ascii="宋体" w:hAnsi="宋体" w:eastAsia="宋体"/>
                <w:sz w:val="16"/>
              </w:rPr>
              <w:t>监察信息员考核合格率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582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1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E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3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2FF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227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2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4F0B">
            <w:pPr>
              <w:jc w:val="center"/>
            </w:pPr>
          </w:p>
        </w:tc>
      </w:tr>
      <w:tr w14:paraId="77242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D6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96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B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1703">
            <w:pPr>
              <w:jc w:val="center"/>
            </w:pPr>
            <w:r>
              <w:rPr>
                <w:rFonts w:ascii="宋体" w:hAnsi="宋体" w:eastAsia="宋体"/>
                <w:sz w:val="16"/>
              </w:rPr>
              <w:t>监察信息员补助发放覆盖率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377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7D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4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BEB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5DD9">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B2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C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F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5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1396">
            <w:pPr>
              <w:jc w:val="center"/>
            </w:pPr>
            <w:r>
              <w:rPr>
                <w:rFonts w:ascii="宋体" w:hAnsi="宋体" w:eastAsia="宋体"/>
                <w:sz w:val="16"/>
              </w:rPr>
              <w:t>根据乡镇考核细则，对监察工作认真负责、提供线索、积极参加会议发放，对监察工作没有实质性作用的不予发放，覆盖率就会低。</w:t>
            </w:r>
          </w:p>
        </w:tc>
      </w:tr>
      <w:tr w14:paraId="2CEE5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E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89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F5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519">
            <w:pPr>
              <w:jc w:val="center"/>
            </w:pPr>
            <w:r>
              <w:rPr>
                <w:rFonts w:ascii="宋体" w:hAnsi="宋体" w:eastAsia="宋体"/>
                <w:sz w:val="16"/>
              </w:rPr>
              <w:t>监察信息员补助发放次数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A4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E27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9F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2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A8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D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D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3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5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9C9">
            <w:pPr>
              <w:jc w:val="center"/>
            </w:pPr>
          </w:p>
        </w:tc>
      </w:tr>
      <w:tr w14:paraId="698F8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9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CD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F9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5A92">
            <w:pPr>
              <w:jc w:val="center"/>
            </w:pPr>
            <w:r>
              <w:rPr>
                <w:rFonts w:ascii="宋体" w:hAnsi="宋体" w:eastAsia="宋体"/>
                <w:sz w:val="16"/>
              </w:rPr>
              <w:t>监察信息员工作经费补助标准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FC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4495">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6CE2">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6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DC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5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B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8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19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6BE2">
            <w:pPr>
              <w:jc w:val="center"/>
            </w:pPr>
          </w:p>
        </w:tc>
      </w:tr>
      <w:tr w14:paraId="3C621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A6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C2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ADE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C08A">
            <w:pPr>
              <w:jc w:val="center"/>
            </w:pPr>
            <w:r>
              <w:rPr>
                <w:rFonts w:ascii="宋体" w:hAnsi="宋体" w:eastAsia="宋体"/>
                <w:sz w:val="16"/>
              </w:rPr>
              <w:t>推动监察职能向基层延伸，加强基层基础工作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1B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644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B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3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14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C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2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7B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2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1E7D">
            <w:pPr>
              <w:jc w:val="center"/>
            </w:pPr>
          </w:p>
        </w:tc>
      </w:tr>
      <w:tr w14:paraId="6D32C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B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7B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7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6F0A">
            <w:pPr>
              <w:jc w:val="center"/>
            </w:pPr>
            <w:r>
              <w:rPr>
                <w:rFonts w:ascii="宋体" w:hAnsi="宋体" w:eastAsia="宋体"/>
                <w:sz w:val="16"/>
              </w:rPr>
              <w:t>监察信息员满意度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F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A4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8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635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D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3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1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FE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3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4D4B">
            <w:pPr>
              <w:jc w:val="center"/>
            </w:pPr>
            <w:r>
              <w:rPr>
                <w:rFonts w:ascii="宋体" w:hAnsi="宋体" w:eastAsia="宋体"/>
                <w:sz w:val="16"/>
              </w:rPr>
              <w:t>实际收到补助</w:t>
            </w:r>
            <w:r>
              <w:rPr>
                <w:rFonts w:hint="eastAsia" w:ascii="宋体" w:hAnsi="宋体"/>
                <w:sz w:val="16"/>
                <w:lang w:eastAsia="zh-CN"/>
              </w:rPr>
              <w:t>的</w:t>
            </w:r>
            <w:r>
              <w:rPr>
                <w:rFonts w:ascii="宋体" w:hAnsi="宋体" w:eastAsia="宋体"/>
                <w:sz w:val="16"/>
              </w:rPr>
              <w:t>监察信息员满意度达到100%。</w:t>
            </w:r>
          </w:p>
        </w:tc>
      </w:tr>
      <w:tr w14:paraId="22A124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1CA2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2F7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D6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78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AD27">
            <w:pPr>
              <w:jc w:val="center"/>
            </w:pPr>
            <w:r>
              <w:rPr>
                <w:rFonts w:ascii="宋体" w:hAnsi="宋体" w:eastAsia="宋体"/>
                <w:sz w:val="16"/>
              </w:rPr>
              <w:t>91.51分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AE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F5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BA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B7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7A6E9"/>
        </w:tc>
      </w:tr>
    </w:tbl>
    <w:p w14:paraId="06B8FFCD">
      <w:r>
        <w:br w:type="page"/>
      </w:r>
    </w:p>
    <w:p w14:paraId="0F45FAC1">
      <w:pPr>
        <w:spacing w:line="640" w:lineRule="exact"/>
        <w:ind w:firstLine="640"/>
        <w:jc w:val="both"/>
        <w:outlineLvl w:val="2"/>
      </w:pPr>
      <w:r>
        <w:rPr>
          <w:rFonts w:ascii="黑体" w:hAnsi="黑体" w:eastAsia="黑体"/>
          <w:sz w:val="32"/>
        </w:rPr>
        <w:t>十二、其他需说明的事项</w:t>
      </w:r>
    </w:p>
    <w:p w14:paraId="230C8F57">
      <w:pPr>
        <w:spacing w:line="580" w:lineRule="exact"/>
        <w:ind w:firstLine="640"/>
        <w:jc w:val="both"/>
      </w:pPr>
      <w:r>
        <w:rPr>
          <w:rFonts w:ascii="仿宋_GB2312" w:hAnsi="仿宋_GB2312" w:eastAsia="仿宋_GB2312"/>
          <w:b w:val="0"/>
          <w:sz w:val="32"/>
        </w:rPr>
        <w:t>本单位无其他需说明的事项。</w:t>
      </w:r>
    </w:p>
    <w:p w14:paraId="63C67CFB">
      <w:r>
        <w:br w:type="page"/>
      </w:r>
    </w:p>
    <w:p w14:paraId="0330DA22">
      <w:pPr>
        <w:spacing w:line="240" w:lineRule="auto"/>
        <w:jc w:val="center"/>
        <w:outlineLvl w:val="1"/>
      </w:pPr>
      <w:r>
        <w:rPr>
          <w:rFonts w:ascii="黑体" w:hAnsi="黑体" w:eastAsia="黑体"/>
          <w:sz w:val="32"/>
        </w:rPr>
        <w:t>第三部分 专业名词解释</w:t>
      </w:r>
    </w:p>
    <w:p w14:paraId="08C7B9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5A4D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EE30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8C978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15BB6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3C399B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0ABB2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4416A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4B123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CD18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FC97F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B986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42AD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564B8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2CC981">
      <w:r>
        <w:br w:type="page"/>
      </w:r>
    </w:p>
    <w:p w14:paraId="575E5560">
      <w:pPr>
        <w:spacing w:line="240" w:lineRule="auto"/>
        <w:jc w:val="center"/>
        <w:outlineLvl w:val="1"/>
      </w:pPr>
      <w:r>
        <w:rPr>
          <w:rFonts w:ascii="黑体" w:hAnsi="黑体" w:eastAsia="黑体"/>
          <w:sz w:val="32"/>
        </w:rPr>
        <w:t>第四部分 部门决算报表（见附表）</w:t>
      </w:r>
    </w:p>
    <w:p w14:paraId="6FA60B20">
      <w:pPr>
        <w:spacing w:line="240" w:lineRule="auto"/>
        <w:ind w:firstLine="640"/>
        <w:jc w:val="both"/>
      </w:pPr>
      <w:r>
        <w:rPr>
          <w:rFonts w:ascii="仿宋_GB2312" w:hAnsi="仿宋_GB2312" w:eastAsia="仿宋_GB2312"/>
          <w:b w:val="0"/>
          <w:sz w:val="32"/>
        </w:rPr>
        <w:t>一、《收入支出决算总表》</w:t>
      </w:r>
    </w:p>
    <w:p w14:paraId="3BF0AA9B">
      <w:pPr>
        <w:spacing w:line="240" w:lineRule="auto"/>
        <w:ind w:firstLine="640"/>
        <w:jc w:val="both"/>
      </w:pPr>
      <w:r>
        <w:rPr>
          <w:rFonts w:ascii="仿宋_GB2312" w:hAnsi="仿宋_GB2312" w:eastAsia="仿宋_GB2312"/>
          <w:b w:val="0"/>
          <w:sz w:val="32"/>
        </w:rPr>
        <w:t>二、《收入决算表》</w:t>
      </w:r>
    </w:p>
    <w:p w14:paraId="6AC6B5E2">
      <w:pPr>
        <w:spacing w:line="240" w:lineRule="auto"/>
        <w:ind w:firstLine="640"/>
        <w:jc w:val="both"/>
      </w:pPr>
      <w:r>
        <w:rPr>
          <w:rFonts w:ascii="仿宋_GB2312" w:hAnsi="仿宋_GB2312" w:eastAsia="仿宋_GB2312"/>
          <w:b w:val="0"/>
          <w:sz w:val="32"/>
        </w:rPr>
        <w:t>三、《支出决算表》</w:t>
      </w:r>
    </w:p>
    <w:p w14:paraId="79CDBBA1">
      <w:pPr>
        <w:spacing w:line="240" w:lineRule="auto"/>
        <w:ind w:firstLine="640"/>
        <w:jc w:val="both"/>
      </w:pPr>
      <w:r>
        <w:rPr>
          <w:rFonts w:ascii="仿宋_GB2312" w:hAnsi="仿宋_GB2312" w:eastAsia="仿宋_GB2312"/>
          <w:b w:val="0"/>
          <w:sz w:val="32"/>
        </w:rPr>
        <w:t>四、《财政拨款收入支出决算总表》</w:t>
      </w:r>
    </w:p>
    <w:p w14:paraId="2E330288">
      <w:pPr>
        <w:spacing w:line="240" w:lineRule="auto"/>
        <w:ind w:firstLine="640"/>
        <w:jc w:val="both"/>
      </w:pPr>
      <w:r>
        <w:rPr>
          <w:rFonts w:ascii="仿宋_GB2312" w:hAnsi="仿宋_GB2312" w:eastAsia="仿宋_GB2312"/>
          <w:b w:val="0"/>
          <w:sz w:val="32"/>
        </w:rPr>
        <w:t>五、《一般公共预算财政拨款支出决算表》</w:t>
      </w:r>
    </w:p>
    <w:p w14:paraId="3394B0B7">
      <w:pPr>
        <w:spacing w:line="240" w:lineRule="auto"/>
        <w:ind w:firstLine="640"/>
        <w:jc w:val="both"/>
      </w:pPr>
      <w:r>
        <w:rPr>
          <w:rFonts w:ascii="仿宋_GB2312" w:hAnsi="仿宋_GB2312" w:eastAsia="仿宋_GB2312"/>
          <w:b w:val="0"/>
          <w:sz w:val="32"/>
        </w:rPr>
        <w:t>六、《一般公共预算财政拨款基本支出决算表》</w:t>
      </w:r>
    </w:p>
    <w:p w14:paraId="4C415243">
      <w:pPr>
        <w:spacing w:line="240" w:lineRule="auto"/>
        <w:ind w:firstLine="640"/>
        <w:jc w:val="both"/>
      </w:pPr>
      <w:r>
        <w:rPr>
          <w:rFonts w:ascii="仿宋_GB2312" w:hAnsi="仿宋_GB2312" w:eastAsia="仿宋_GB2312"/>
          <w:b w:val="0"/>
          <w:sz w:val="32"/>
        </w:rPr>
        <w:t>七、《政府性基金预算财政拨款收入支出决算表》</w:t>
      </w:r>
    </w:p>
    <w:p w14:paraId="10FD5A3B">
      <w:pPr>
        <w:spacing w:line="240" w:lineRule="auto"/>
        <w:ind w:firstLine="640"/>
        <w:jc w:val="both"/>
      </w:pPr>
      <w:r>
        <w:rPr>
          <w:rFonts w:ascii="仿宋_GB2312" w:hAnsi="仿宋_GB2312" w:eastAsia="仿宋_GB2312"/>
          <w:b w:val="0"/>
          <w:sz w:val="32"/>
        </w:rPr>
        <w:t>八、《国有资本经营预算财政拨款收入支出决算表》</w:t>
      </w:r>
    </w:p>
    <w:p w14:paraId="123E1B9C">
      <w:pPr>
        <w:spacing w:line="240" w:lineRule="auto"/>
        <w:ind w:firstLine="640"/>
        <w:jc w:val="both"/>
      </w:pPr>
      <w:r>
        <w:rPr>
          <w:rFonts w:ascii="仿宋_GB2312" w:hAnsi="仿宋_GB2312" w:eastAsia="仿宋_GB2312"/>
          <w:b w:val="0"/>
          <w:sz w:val="32"/>
        </w:rPr>
        <w:t>九、《财政拨款“三公”经费支出决算表》</w:t>
      </w:r>
    </w:p>
    <w:p w14:paraId="0F6B92FD">
      <w:pPr>
        <w:spacing w:line="240" w:lineRule="auto"/>
        <w:ind w:firstLine="640"/>
        <w:jc w:val="both"/>
      </w:pPr>
    </w:p>
    <w:p w14:paraId="5C55E4F3">
      <w:pPr>
        <w:spacing w:line="240" w:lineRule="auto"/>
        <w:ind w:firstLine="640"/>
        <w:jc w:val="both"/>
      </w:pPr>
    </w:p>
    <w:p w14:paraId="3126F629">
      <w:pPr>
        <w:spacing w:line="240" w:lineRule="auto"/>
        <w:ind w:firstLine="640"/>
        <w:jc w:val="both"/>
      </w:pPr>
    </w:p>
    <w:p w14:paraId="14BBF5CC">
      <w:pPr>
        <w:spacing w:line="240" w:lineRule="auto"/>
        <w:ind w:firstLine="640"/>
        <w:jc w:val="both"/>
      </w:pPr>
    </w:p>
    <w:p w14:paraId="7C8933B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7300B8-228F-4D68-B031-31C3C4DA49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CA611E1-D70A-424C-A018-E71EB7E089F5}"/>
  </w:font>
  <w:font w:name="仿宋_GB2312">
    <w:panose1 w:val="02010609030101010101"/>
    <w:charset w:val="86"/>
    <w:family w:val="modern"/>
    <w:pitch w:val="default"/>
    <w:sig w:usb0="00000001" w:usb1="080E0000" w:usb2="00000000" w:usb3="00000000" w:csb0="00040000" w:csb1="00000000"/>
    <w:embedRegular r:id="rId3" w:fontKey="{49E74859-B053-45EF-84BF-6D5F707C0DB1}"/>
  </w:font>
  <w:font w:name="楷体_GB2312">
    <w:panose1 w:val="02010609030101010101"/>
    <w:charset w:val="86"/>
    <w:family w:val="auto"/>
    <w:pitch w:val="default"/>
    <w:sig w:usb0="00000001" w:usb1="080E0000" w:usb2="00000000" w:usb3="00000000" w:csb0="00040000" w:csb1="00000000"/>
    <w:embedRegular r:id="rId4" w:fontKey="{8E4A1B2D-A9D6-429C-957D-3AEA2C1BAA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8A17CF"/>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7B347E"/>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6444</Words>
  <Characters>7485</Characters>
  <Lines>0</Lines>
  <Paragraphs>0</Paragraphs>
  <TotalTime>7</TotalTime>
  <ScaleCrop>false</ScaleCrop>
  <LinksUpToDate>false</LinksUpToDate>
  <CharactersWithSpaces>7495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