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1588ECC">
      <w:r>
        <w:br w:type="page"/>
      </w:r>
    </w:p>
    <w:p w14:paraId="6A873EAA">
      <w:pPr>
        <w:spacing w:line="640" w:lineRule="exact"/>
        <w:jc w:val="center"/>
        <w:outlineLvl w:val="1"/>
      </w:pPr>
      <w:r>
        <w:rPr>
          <w:rFonts w:ascii="黑体" w:hAnsi="黑体" w:eastAsia="黑体"/>
          <w:sz w:val="32"/>
        </w:rPr>
        <w:t>第一部分 单位概况</w:t>
      </w:r>
    </w:p>
    <w:p w14:paraId="5FF2EE2F">
      <w:pPr>
        <w:spacing w:line="640" w:lineRule="exact"/>
        <w:ind w:firstLine="640"/>
        <w:jc w:val="both"/>
        <w:outlineLvl w:val="2"/>
      </w:pPr>
      <w:r>
        <w:rPr>
          <w:rFonts w:ascii="黑体" w:hAnsi="黑体" w:eastAsia="黑体"/>
          <w:sz w:val="32"/>
        </w:rPr>
        <w:t>一、主要职能</w:t>
      </w:r>
    </w:p>
    <w:p w14:paraId="116ABC1F">
      <w:pPr>
        <w:spacing w:line="580" w:lineRule="exact"/>
        <w:ind w:firstLine="640"/>
        <w:jc w:val="both"/>
      </w:pPr>
      <w:r>
        <w:rPr>
          <w:rFonts w:ascii="仿宋_GB2312" w:hAnsi="仿宋_GB2312" w:eastAsia="仿宋_GB2312"/>
          <w:sz w:val="32"/>
        </w:rPr>
        <w:t>（1）负责全面了解掌握</w:t>
      </w:r>
      <w:r>
        <w:rPr>
          <w:rFonts w:hint="eastAsia" w:ascii="仿宋_GB2312" w:hAnsi="仿宋_GB2312" w:eastAsia="仿宋_GB2312"/>
          <w:sz w:val="32"/>
          <w:lang w:eastAsia="zh-CN"/>
        </w:rPr>
        <w:t>县域经济</w:t>
      </w:r>
      <w:r>
        <w:rPr>
          <w:rFonts w:ascii="仿宋_GB2312" w:hAnsi="仿宋_GB2312" w:eastAsia="仿宋_GB2312"/>
          <w:sz w:val="32"/>
        </w:rPr>
        <w:t>社会发展情况，为县委科学决策发挥参谋助手作用。</w:t>
      </w:r>
    </w:p>
    <w:p w14:paraId="4D6A03D7">
      <w:pPr>
        <w:spacing w:line="580" w:lineRule="exact"/>
        <w:ind w:firstLine="640"/>
        <w:jc w:val="both"/>
      </w:pPr>
      <w:r>
        <w:rPr>
          <w:rFonts w:ascii="仿宋_GB2312" w:hAnsi="仿宋_GB2312" w:eastAsia="仿宋_GB2312"/>
          <w:sz w:val="32"/>
        </w:rPr>
        <w:t>（2）负责县委日常工作的综合协调。</w:t>
      </w:r>
    </w:p>
    <w:p w14:paraId="2E32AA0A">
      <w:pPr>
        <w:spacing w:line="580" w:lineRule="exact"/>
        <w:ind w:firstLine="640"/>
        <w:jc w:val="both"/>
      </w:pPr>
      <w:r>
        <w:rPr>
          <w:rFonts w:ascii="仿宋_GB2312" w:hAnsi="仿宋_GB2312" w:eastAsia="仿宋_GB2312"/>
          <w:sz w:val="32"/>
        </w:rPr>
        <w:t>（3）负责县委的信息调研工作。</w:t>
      </w:r>
    </w:p>
    <w:p w14:paraId="6815734D">
      <w:pPr>
        <w:spacing w:line="580" w:lineRule="exact"/>
        <w:ind w:firstLine="640"/>
        <w:jc w:val="both"/>
      </w:pPr>
      <w:r>
        <w:rPr>
          <w:rFonts w:ascii="仿宋_GB2312" w:hAnsi="仿宋_GB2312" w:eastAsia="仿宋_GB2312"/>
          <w:sz w:val="32"/>
        </w:rPr>
        <w:t>（4）负责县委各种会议的会务工作和县委领导参加重大活动的组织安排。</w:t>
      </w:r>
    </w:p>
    <w:p w14:paraId="30FE6A77">
      <w:pPr>
        <w:spacing w:line="580" w:lineRule="exact"/>
        <w:ind w:firstLine="640"/>
        <w:jc w:val="both"/>
      </w:pPr>
      <w:r>
        <w:rPr>
          <w:rFonts w:ascii="仿宋_GB2312" w:hAnsi="仿宋_GB2312" w:eastAsia="仿宋_GB2312"/>
          <w:sz w:val="32"/>
        </w:rPr>
        <w:t>（5）负责县委办公室文件、文稿的起草、修改、校对、印发和日常文书处理工作等。</w:t>
      </w:r>
    </w:p>
    <w:p w14:paraId="78F075D2">
      <w:pPr>
        <w:spacing w:line="640" w:lineRule="exact"/>
        <w:ind w:firstLine="640"/>
        <w:jc w:val="both"/>
        <w:outlineLvl w:val="2"/>
      </w:pPr>
      <w:r>
        <w:rPr>
          <w:rFonts w:ascii="黑体" w:hAnsi="黑体" w:eastAsia="黑体"/>
          <w:sz w:val="32"/>
        </w:rPr>
        <w:t>二、机构设置及人员情况</w:t>
      </w:r>
    </w:p>
    <w:p w14:paraId="4C777357">
      <w:pPr>
        <w:spacing w:line="580" w:lineRule="exact"/>
        <w:ind w:firstLine="640"/>
        <w:jc w:val="both"/>
      </w:pPr>
      <w:r>
        <w:rPr>
          <w:rFonts w:ascii="仿宋_GB2312" w:hAnsi="仿宋_GB2312" w:eastAsia="仿宋_GB2312"/>
          <w:sz w:val="32"/>
        </w:rPr>
        <w:t>中共吉木萨尔县委员会办公室2024年度，实有人数63人，其中：在职人员44人，增加3人；离休人员0人，增加0人；退休人员19人,减少2人。</w:t>
      </w:r>
    </w:p>
    <w:p w14:paraId="4CA8E4A7">
      <w:pPr>
        <w:spacing w:line="580" w:lineRule="exact"/>
        <w:ind w:firstLine="640"/>
        <w:jc w:val="both"/>
      </w:pPr>
      <w:r>
        <w:rPr>
          <w:rFonts w:ascii="仿宋_GB2312" w:hAnsi="仿宋_GB2312" w:eastAsia="仿宋_GB2312"/>
          <w:sz w:val="32"/>
        </w:rPr>
        <w:t>中共吉木萨尔县委员会办公室无下属预算单位，下设6个科</w:t>
      </w:r>
      <w:r>
        <w:rPr>
          <w:rFonts w:ascii="仿宋_GB2312" w:hAnsi="仿宋_GB2312" w:eastAsia="仿宋_GB2312"/>
          <w:w w:val="97"/>
          <w:sz w:val="32"/>
        </w:rPr>
        <w:t>室，分别是：行政室、文书室、综合室、督察室、政研室、会务室。</w:t>
      </w:r>
    </w:p>
    <w:p w14:paraId="4BE92C5A">
      <w:r>
        <w:br w:type="page"/>
      </w:r>
    </w:p>
    <w:p w14:paraId="171C6401">
      <w:pPr>
        <w:spacing w:line="240" w:lineRule="auto"/>
        <w:jc w:val="center"/>
        <w:outlineLvl w:val="1"/>
      </w:pPr>
      <w:r>
        <w:rPr>
          <w:rFonts w:ascii="黑体" w:hAnsi="黑体" w:eastAsia="黑体"/>
          <w:sz w:val="32"/>
        </w:rPr>
        <w:t>第二部分 部门决算情况说明</w:t>
      </w:r>
    </w:p>
    <w:p w14:paraId="43CED859">
      <w:pPr>
        <w:spacing w:line="640" w:lineRule="exact"/>
        <w:ind w:firstLine="640"/>
        <w:jc w:val="both"/>
        <w:outlineLvl w:val="2"/>
      </w:pPr>
      <w:r>
        <w:rPr>
          <w:rFonts w:ascii="黑体" w:hAnsi="黑体" w:eastAsia="黑体"/>
          <w:sz w:val="32"/>
        </w:rPr>
        <w:t>一、收入支出决算总体情况说明</w:t>
      </w:r>
    </w:p>
    <w:p w14:paraId="0CD8A9CA">
      <w:pPr>
        <w:spacing w:line="580" w:lineRule="exact"/>
        <w:ind w:firstLine="640"/>
        <w:jc w:val="both"/>
      </w:pPr>
      <w:r>
        <w:rPr>
          <w:rFonts w:ascii="仿宋_GB2312" w:hAnsi="仿宋_GB2312" w:eastAsia="仿宋_GB2312"/>
          <w:b/>
          <w:sz w:val="32"/>
        </w:rPr>
        <w:t>2024年度收入总计1,059.99万元，</w:t>
      </w:r>
      <w:r>
        <w:rPr>
          <w:rFonts w:ascii="仿宋_GB2312" w:hAnsi="仿宋_GB2312" w:eastAsia="仿宋_GB2312"/>
          <w:b w:val="0"/>
          <w:sz w:val="32"/>
        </w:rPr>
        <w:t>其中：本年收入合计1,056.22万元，使用非财政拨款结余（含专用结余）0.00万元，年初结转和结余3.77万元。</w:t>
      </w:r>
    </w:p>
    <w:p w14:paraId="4ACE92E2">
      <w:pPr>
        <w:spacing w:line="580" w:lineRule="exact"/>
        <w:ind w:firstLine="640"/>
        <w:jc w:val="both"/>
      </w:pPr>
      <w:r>
        <w:rPr>
          <w:rFonts w:ascii="仿宋_GB2312" w:hAnsi="仿宋_GB2312" w:eastAsia="仿宋_GB2312"/>
          <w:b/>
          <w:sz w:val="32"/>
        </w:rPr>
        <w:t>2024年度支出总计1,059.99万元，</w:t>
      </w:r>
      <w:r>
        <w:rPr>
          <w:rFonts w:ascii="仿宋_GB2312" w:hAnsi="仿宋_GB2312" w:eastAsia="仿宋_GB2312"/>
          <w:b w:val="0"/>
          <w:sz w:val="32"/>
        </w:rPr>
        <w:t>其中：本年支出合计</w:t>
      </w:r>
      <w:r>
        <w:rPr>
          <w:rFonts w:ascii="仿宋_GB2312" w:hAnsi="仿宋_GB2312" w:eastAsia="仿宋_GB2312"/>
          <w:b w:val="0"/>
          <w:w w:val="97"/>
          <w:sz w:val="32"/>
        </w:rPr>
        <w:t>1,059.75万元，结余分配0.00万元，年末结转和结余0.24万元。</w:t>
      </w:r>
    </w:p>
    <w:p w14:paraId="3B199E33">
      <w:pPr>
        <w:spacing w:line="580" w:lineRule="exact"/>
        <w:ind w:firstLine="640"/>
        <w:jc w:val="both"/>
      </w:pPr>
      <w:r>
        <w:rPr>
          <w:rFonts w:ascii="仿宋_GB2312" w:hAnsi="仿宋_GB2312" w:eastAsia="仿宋_GB2312"/>
          <w:b w:val="0"/>
          <w:sz w:val="32"/>
        </w:rPr>
        <w:t>收入支出总体与上年相比，减少710.57万元，下降40.13%，主要原因是：本年减少办公费、租赁费、公务接待费、专用材料费、委托业务费等；减少聘请第三方开展2018至2022年重大政策重点项目专项监督检查经费、综合档案馆室内装修项目款等。</w:t>
      </w:r>
    </w:p>
    <w:p w14:paraId="58200305">
      <w:pPr>
        <w:spacing w:line="640" w:lineRule="exact"/>
        <w:ind w:firstLine="640"/>
        <w:jc w:val="both"/>
        <w:outlineLvl w:val="2"/>
      </w:pPr>
      <w:r>
        <w:rPr>
          <w:rFonts w:ascii="黑体" w:hAnsi="黑体" w:eastAsia="黑体"/>
          <w:sz w:val="32"/>
        </w:rPr>
        <w:t>二、收入决算情况说明</w:t>
      </w:r>
    </w:p>
    <w:p w14:paraId="27E8828C">
      <w:pPr>
        <w:spacing w:line="580" w:lineRule="exact"/>
        <w:ind w:firstLine="640"/>
        <w:jc w:val="both"/>
      </w:pPr>
      <w:r>
        <w:rPr>
          <w:rFonts w:ascii="仿宋_GB2312" w:hAnsi="仿宋_GB2312" w:eastAsia="仿宋_GB2312"/>
          <w:b/>
          <w:sz w:val="32"/>
        </w:rPr>
        <w:t>本年收入1,056.22万元，</w:t>
      </w:r>
      <w:r>
        <w:rPr>
          <w:rFonts w:ascii="仿宋_GB2312" w:hAnsi="仿宋_GB2312" w:eastAsia="仿宋_GB2312"/>
          <w:b w:val="0"/>
          <w:sz w:val="32"/>
        </w:rPr>
        <w:t>其中：财政拨款收入1,056.18万元，占100.00%；上级补助收入0.00万元，占0.00%；事业收入0.00万元，占0.00%；经营收入0.00万元，占0.00%；附属单位上缴收入0.00万元，占0.00%；其他收入0.04万元，占0.004%。</w:t>
      </w:r>
    </w:p>
    <w:p w14:paraId="5B9B5CCE">
      <w:pPr>
        <w:spacing w:line="640" w:lineRule="exact"/>
        <w:ind w:firstLine="640"/>
        <w:jc w:val="both"/>
        <w:outlineLvl w:val="2"/>
      </w:pPr>
      <w:r>
        <w:rPr>
          <w:rFonts w:ascii="黑体" w:hAnsi="黑体" w:eastAsia="黑体"/>
          <w:sz w:val="32"/>
        </w:rPr>
        <w:t>三、支出决算情况说明</w:t>
      </w:r>
    </w:p>
    <w:p w14:paraId="5828D2C2">
      <w:pPr>
        <w:spacing w:line="580" w:lineRule="exact"/>
        <w:ind w:firstLine="640"/>
        <w:jc w:val="both"/>
      </w:pPr>
      <w:r>
        <w:rPr>
          <w:rFonts w:ascii="仿宋_GB2312" w:hAnsi="仿宋_GB2312" w:eastAsia="仿宋_GB2312"/>
          <w:b/>
          <w:sz w:val="32"/>
        </w:rPr>
        <w:t>本年支出1,059.75万元，</w:t>
      </w:r>
      <w:r>
        <w:rPr>
          <w:rFonts w:ascii="仿宋_GB2312" w:hAnsi="仿宋_GB2312" w:eastAsia="仿宋_GB2312"/>
          <w:b w:val="0"/>
          <w:sz w:val="32"/>
        </w:rPr>
        <w:t>其中：基本支出1,053.12万元，占99.37%；项目支出6.63万元，占0.63%；上缴上级支出0.00万元，占0.00%；经营支出0.00万元，占0.00%；对附属单位补助支出0.00万元，占0.00%。</w:t>
      </w:r>
    </w:p>
    <w:p w14:paraId="4718B3B2">
      <w:pPr>
        <w:spacing w:line="640" w:lineRule="exact"/>
        <w:ind w:firstLine="640"/>
        <w:jc w:val="both"/>
        <w:outlineLvl w:val="2"/>
      </w:pPr>
      <w:r>
        <w:rPr>
          <w:rFonts w:ascii="黑体" w:hAnsi="黑体" w:eastAsia="黑体"/>
          <w:sz w:val="32"/>
        </w:rPr>
        <w:t>四、财政拨款收入支出决算总体情况说明</w:t>
      </w:r>
    </w:p>
    <w:p w14:paraId="47489E4E">
      <w:pPr>
        <w:spacing w:line="580" w:lineRule="exact"/>
        <w:ind w:firstLine="640"/>
        <w:jc w:val="both"/>
      </w:pPr>
      <w:r>
        <w:rPr>
          <w:rFonts w:ascii="仿宋_GB2312" w:hAnsi="仿宋_GB2312" w:eastAsia="仿宋_GB2312"/>
          <w:b/>
          <w:sz w:val="32"/>
        </w:rPr>
        <w:t>2024年度财政拨款收入总计1,056.18万元，</w:t>
      </w:r>
      <w:r>
        <w:rPr>
          <w:rFonts w:ascii="仿宋_GB2312" w:hAnsi="仿宋_GB2312" w:eastAsia="仿宋_GB2312"/>
          <w:b w:val="0"/>
          <w:sz w:val="32"/>
        </w:rPr>
        <w:t>其中：年初财政拨款结转和结余0.00万元，本年财政拨款收入1,056.18万元。</w:t>
      </w:r>
      <w:r>
        <w:rPr>
          <w:rFonts w:ascii="仿宋_GB2312" w:hAnsi="仿宋_GB2312" w:eastAsia="仿宋_GB2312"/>
          <w:b/>
          <w:sz w:val="32"/>
        </w:rPr>
        <w:t>财政拨款支出总计1,056.18万元，</w:t>
      </w:r>
      <w:r>
        <w:rPr>
          <w:rFonts w:ascii="仿宋_GB2312" w:hAnsi="仿宋_GB2312" w:eastAsia="仿宋_GB2312"/>
          <w:b w:val="0"/>
          <w:sz w:val="32"/>
        </w:rPr>
        <w:t>其中：年末财政拨款结转和结余0.00万元，本年财政拨款支出1,056.18万元。</w:t>
      </w:r>
    </w:p>
    <w:p w14:paraId="5DAFC67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704.02万元，下降40.00%，主要原因是：本年减少办公费、租赁费、公务接待费、专用材料费、委托业务费等；减少聘请第三方开展2018至2022年重大政策重点项目专项监督检查经费、综合档案馆室内装修项目款等。</w:t>
      </w:r>
      <w:r>
        <w:rPr>
          <w:rFonts w:ascii="仿宋_GB2312" w:hAnsi="仿宋_GB2312" w:eastAsia="仿宋_GB2312"/>
          <w:b/>
          <w:sz w:val="32"/>
        </w:rPr>
        <w:t>与年初预算相比，</w:t>
      </w:r>
      <w:r>
        <w:rPr>
          <w:rFonts w:ascii="仿宋_GB2312" w:hAnsi="仿宋_GB2312" w:eastAsia="仿宋_GB2312"/>
          <w:b w:val="0"/>
          <w:sz w:val="32"/>
        </w:rPr>
        <w:t>年初预算数1,006.97万元，决算数1,056.18万元，预决算差异率4.89%，主要原因是：年中追加人员工资、社保、公积金基数调增部分资金，导致预决算存在差异。</w:t>
      </w:r>
    </w:p>
    <w:p w14:paraId="3C035598">
      <w:pPr>
        <w:spacing w:line="640" w:lineRule="exact"/>
        <w:ind w:firstLine="640"/>
        <w:jc w:val="both"/>
        <w:outlineLvl w:val="2"/>
      </w:pPr>
      <w:r>
        <w:rPr>
          <w:rFonts w:ascii="黑体" w:hAnsi="黑体" w:eastAsia="黑体"/>
          <w:sz w:val="32"/>
        </w:rPr>
        <w:t>五、一般公共预算财政拨款支出决算情况说明</w:t>
      </w:r>
    </w:p>
    <w:p w14:paraId="5137E216">
      <w:pPr>
        <w:spacing w:line="640" w:lineRule="exact"/>
        <w:ind w:firstLine="640"/>
        <w:jc w:val="both"/>
        <w:outlineLvl w:val="3"/>
      </w:pPr>
      <w:r>
        <w:rPr>
          <w:rFonts w:ascii="楷体_GB2312" w:hAnsi="楷体_GB2312" w:eastAsia="楷体_GB2312"/>
          <w:b/>
          <w:sz w:val="32"/>
        </w:rPr>
        <w:t>（一）一般公共预算财政拨款支出决算总体情况</w:t>
      </w:r>
    </w:p>
    <w:p w14:paraId="3D13D07C">
      <w:pPr>
        <w:spacing w:line="580" w:lineRule="exact"/>
        <w:ind w:firstLine="640"/>
        <w:jc w:val="both"/>
      </w:pPr>
      <w:r>
        <w:rPr>
          <w:rFonts w:ascii="仿宋_GB2312" w:hAnsi="仿宋_GB2312" w:eastAsia="仿宋_GB2312"/>
          <w:b/>
          <w:sz w:val="32"/>
        </w:rPr>
        <w:t>2024年度一般公共预算财政拨款支出1,056.18万元，</w:t>
      </w:r>
      <w:r>
        <w:rPr>
          <w:rFonts w:ascii="仿宋_GB2312" w:hAnsi="仿宋_GB2312" w:eastAsia="仿宋_GB2312"/>
          <w:b w:val="0"/>
          <w:sz w:val="32"/>
        </w:rPr>
        <w:t>占本年支出合计的99.66%。</w:t>
      </w:r>
      <w:r>
        <w:rPr>
          <w:rFonts w:ascii="仿宋_GB2312" w:hAnsi="仿宋_GB2312" w:eastAsia="仿宋_GB2312"/>
          <w:b/>
          <w:sz w:val="32"/>
        </w:rPr>
        <w:t>与上年相比，</w:t>
      </w:r>
      <w:r>
        <w:rPr>
          <w:rFonts w:ascii="仿宋_GB2312" w:hAnsi="仿宋_GB2312" w:eastAsia="仿宋_GB2312"/>
          <w:b w:val="0"/>
          <w:sz w:val="32"/>
        </w:rPr>
        <w:t>减少704.02万元，下降40.00%，主要原因是：本年减少办公费、租赁费、公务接待费、专用材料费、委托业务费等；减少聘请第三方开展2018至2022年重大政策重点项目专项监督检查经费、综合档案馆室内装修项目款等。</w:t>
      </w:r>
      <w:r>
        <w:rPr>
          <w:rFonts w:ascii="仿宋_GB2312" w:hAnsi="仿宋_GB2312" w:eastAsia="仿宋_GB2312"/>
          <w:b/>
          <w:sz w:val="32"/>
        </w:rPr>
        <w:t>与年初预算相比,</w:t>
      </w:r>
      <w:r>
        <w:rPr>
          <w:rFonts w:ascii="仿宋_GB2312" w:hAnsi="仿宋_GB2312" w:eastAsia="仿宋_GB2312"/>
          <w:b w:val="0"/>
          <w:sz w:val="32"/>
        </w:rPr>
        <w:t>年初预算数1,006.97万元，决算数1,056.18万元，预决算差异率4.89%，主要原因是：年中追加人员工资、社保、公积金基数调增部分资金，导致预决算存在差异。</w:t>
      </w:r>
    </w:p>
    <w:p w14:paraId="377EEEF7">
      <w:pPr>
        <w:spacing w:line="640" w:lineRule="exact"/>
        <w:ind w:firstLine="640"/>
        <w:jc w:val="both"/>
        <w:outlineLvl w:val="3"/>
      </w:pPr>
      <w:r>
        <w:rPr>
          <w:rFonts w:ascii="楷体_GB2312" w:hAnsi="楷体_GB2312" w:eastAsia="楷体_GB2312"/>
          <w:b/>
          <w:sz w:val="32"/>
        </w:rPr>
        <w:t>（二）一般公共预算财政拨款支出决算结构情况</w:t>
      </w:r>
    </w:p>
    <w:p w14:paraId="6800F549">
      <w:pPr>
        <w:spacing w:line="580" w:lineRule="exact"/>
        <w:ind w:firstLine="640"/>
        <w:jc w:val="both"/>
      </w:pPr>
      <w:r>
        <w:rPr>
          <w:rFonts w:ascii="仿宋_GB2312" w:hAnsi="仿宋_GB2312" w:eastAsia="仿宋_GB2312"/>
          <w:b w:val="0"/>
          <w:sz w:val="32"/>
        </w:rPr>
        <w:t>1.一般公共服务支出(类)823.35万元,占77.96%。</w:t>
      </w:r>
    </w:p>
    <w:p w14:paraId="3A8B6CF2">
      <w:pPr>
        <w:spacing w:line="580" w:lineRule="exact"/>
        <w:ind w:firstLine="640"/>
        <w:jc w:val="both"/>
      </w:pPr>
      <w:r>
        <w:rPr>
          <w:rFonts w:ascii="仿宋_GB2312" w:hAnsi="仿宋_GB2312" w:eastAsia="仿宋_GB2312"/>
          <w:b w:val="0"/>
          <w:sz w:val="32"/>
        </w:rPr>
        <w:t>2.科学技术支出(类)3.00万元,占0.28%。</w:t>
      </w:r>
    </w:p>
    <w:p w14:paraId="260B30DE">
      <w:pPr>
        <w:spacing w:line="580" w:lineRule="exact"/>
        <w:ind w:firstLine="640"/>
        <w:jc w:val="both"/>
      </w:pPr>
      <w:r>
        <w:rPr>
          <w:rFonts w:ascii="仿宋_GB2312" w:hAnsi="仿宋_GB2312" w:eastAsia="仿宋_GB2312"/>
          <w:b w:val="0"/>
          <w:sz w:val="32"/>
        </w:rPr>
        <w:t>3.社会保障和就业支出(类)130.13万元,占12.32%。</w:t>
      </w:r>
    </w:p>
    <w:p w14:paraId="48287920">
      <w:pPr>
        <w:spacing w:line="580" w:lineRule="exact"/>
        <w:ind w:firstLine="640"/>
        <w:jc w:val="both"/>
      </w:pPr>
      <w:r>
        <w:rPr>
          <w:rFonts w:ascii="仿宋_GB2312" w:hAnsi="仿宋_GB2312" w:eastAsia="仿宋_GB2312"/>
          <w:b w:val="0"/>
          <w:sz w:val="32"/>
        </w:rPr>
        <w:t>4.卫生健康支出(类)41.76万元,占3.95%。</w:t>
      </w:r>
    </w:p>
    <w:p w14:paraId="3A45D8D9">
      <w:pPr>
        <w:spacing w:line="580" w:lineRule="exact"/>
        <w:ind w:firstLine="640"/>
        <w:jc w:val="both"/>
      </w:pPr>
      <w:r>
        <w:rPr>
          <w:rFonts w:ascii="仿宋_GB2312" w:hAnsi="仿宋_GB2312" w:eastAsia="仿宋_GB2312"/>
          <w:b w:val="0"/>
          <w:sz w:val="32"/>
        </w:rPr>
        <w:t>5.住房保障支出(类)57.94万元,占5.49%。</w:t>
      </w:r>
    </w:p>
    <w:p w14:paraId="4EFD40DD">
      <w:pPr>
        <w:spacing w:line="640" w:lineRule="exact"/>
        <w:ind w:firstLine="640"/>
        <w:jc w:val="both"/>
        <w:outlineLvl w:val="3"/>
      </w:pPr>
      <w:r>
        <w:rPr>
          <w:rFonts w:ascii="楷体_GB2312" w:hAnsi="楷体_GB2312" w:eastAsia="楷体_GB2312"/>
          <w:b/>
          <w:sz w:val="32"/>
        </w:rPr>
        <w:t>（三）一般公共预算财政拨款支出决算具体情况</w:t>
      </w:r>
    </w:p>
    <w:p w14:paraId="3A8D79AD">
      <w:pPr>
        <w:spacing w:line="580" w:lineRule="exact"/>
        <w:ind w:firstLine="640"/>
        <w:jc w:val="both"/>
      </w:pPr>
      <w:r>
        <w:rPr>
          <w:rFonts w:ascii="仿宋_GB2312" w:hAnsi="仿宋_GB2312" w:eastAsia="仿宋_GB2312"/>
          <w:b w:val="0"/>
          <w:sz w:val="32"/>
        </w:rPr>
        <w:t>1.一般公共服务支出(类)审计事务(款)审计业务(项):支出决算数为0.00万元，比上年决算减少29.50万元，下降100.00%,主要原因是：本年减少聘请第三方开展2018至2022年重大政策重点项目专项监督检查经费。</w:t>
      </w:r>
    </w:p>
    <w:p w14:paraId="377A7CA5">
      <w:pPr>
        <w:spacing w:line="580" w:lineRule="exact"/>
        <w:ind w:firstLine="640"/>
        <w:jc w:val="both"/>
      </w:pPr>
      <w:r>
        <w:rPr>
          <w:rFonts w:ascii="仿宋_GB2312" w:hAnsi="仿宋_GB2312" w:eastAsia="仿宋_GB2312"/>
          <w:b w:val="0"/>
          <w:sz w:val="32"/>
        </w:rPr>
        <w:t>2.一般公共服务支出(类)党委办公厅（室）及相关机构事务(款)行政运行(项):支出决算数为616.73万元，比上年决算减少630.01万元，下降50.53%,主要原因是：本年减少办公费、租赁费、公务接待费、专用材料费、委托业务费等。</w:t>
      </w:r>
    </w:p>
    <w:p w14:paraId="3ACA87DD">
      <w:pPr>
        <w:spacing w:line="580" w:lineRule="exact"/>
        <w:ind w:firstLine="640"/>
        <w:jc w:val="both"/>
      </w:pPr>
      <w:r>
        <w:rPr>
          <w:rFonts w:ascii="仿宋_GB2312" w:hAnsi="仿宋_GB2312" w:eastAsia="仿宋_GB2312"/>
          <w:b w:val="0"/>
          <w:sz w:val="32"/>
        </w:rPr>
        <w:t>3.一般公共服务支出(类)党委办公厅（室）及相关机构事务(款)事业运行(项):支出决算数为198.18万元，比上年决算增加23.70万元，增长13.58%,主要原因是：本年在职人员工资调增，相关人员经费增加。</w:t>
      </w:r>
    </w:p>
    <w:p w14:paraId="53485D9B">
      <w:pPr>
        <w:spacing w:line="580" w:lineRule="exact"/>
        <w:ind w:firstLine="640"/>
        <w:jc w:val="both"/>
      </w:pPr>
      <w:r>
        <w:rPr>
          <w:rFonts w:ascii="仿宋_GB2312" w:hAnsi="仿宋_GB2312" w:eastAsia="仿宋_GB2312"/>
          <w:b w:val="0"/>
          <w:sz w:val="32"/>
        </w:rPr>
        <w:t>4.一般公共服务支出(类)党委办公厅（室）及相关机构事务(款)其他党委办公厅（室）及相关机构事务支出(项):支出决算数为6.63万元，比上年决算增加6.63万元，增长100.00%,主要原因是：本年增加专通局平行会场3%质保金。</w:t>
      </w:r>
    </w:p>
    <w:p w14:paraId="2BC2286F">
      <w:pPr>
        <w:spacing w:line="580" w:lineRule="exact"/>
        <w:ind w:firstLine="640"/>
        <w:jc w:val="both"/>
      </w:pPr>
      <w:r>
        <w:rPr>
          <w:rFonts w:ascii="仿宋_GB2312" w:hAnsi="仿宋_GB2312" w:eastAsia="仿宋_GB2312"/>
          <w:b w:val="0"/>
          <w:sz w:val="32"/>
        </w:rPr>
        <w:t>5.一般公共服务支出(类)组织事务(款)其他组织事务支出(项):支出决算数为1.82万元，比上年决算减少103.63万元，下降98.27%,主要原因是：本年减少综合档案馆室内装修项目款。</w:t>
      </w:r>
    </w:p>
    <w:p w14:paraId="3A5D9995">
      <w:pPr>
        <w:spacing w:line="580" w:lineRule="exact"/>
        <w:ind w:firstLine="640"/>
        <w:jc w:val="both"/>
      </w:pPr>
      <w:r>
        <w:rPr>
          <w:rFonts w:ascii="仿宋_GB2312" w:hAnsi="仿宋_GB2312" w:eastAsia="仿宋_GB2312"/>
          <w:b w:val="0"/>
          <w:sz w:val="32"/>
        </w:rPr>
        <w:t>6.科学技术支出(类)科技条件与服务(款)其他科技条件与服务支出(项):支出决算数为3.00万元，比上年决算增加3.00万元，增长100.00%,主要原因是：本年增加办公设备购置款。</w:t>
      </w:r>
    </w:p>
    <w:p w14:paraId="2C377011">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7.社会保障和就业支出(类)行政事业单位养老支出(款)行政单位离退休(项):支出决算数为14.20万元，比上年决算增加9.04万元，增长175.19%,主要原因是：本年增加退休人员基础绩效奖，退休费支出增加。</w:t>
      </w:r>
    </w:p>
    <w:p w14:paraId="26A2C706">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76.47万元，比上年决算增加11.37万元，增长17.47%,主要原因是：本年在职人员工资基数调增，养老缴费基数上涨，相应支出增加。</w:t>
      </w:r>
    </w:p>
    <w:p w14:paraId="72032897">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9.社会保障和就业支出(类)行政事业单位养老支出(款)机关事业单位职业年金缴费支出(项):支出决算数为39.46万元，比上年决算增加0.75万元，增长1.94%,主要原因是：本年在职人员工资调增，导致职业年金缴费增加。</w:t>
      </w:r>
    </w:p>
    <w:p w14:paraId="2999E1C3">
      <w:pPr>
        <w:spacing w:line="580" w:lineRule="exact"/>
        <w:ind w:firstLine="640"/>
        <w:jc w:val="both"/>
      </w:pPr>
      <w:r>
        <w:rPr>
          <w:rFonts w:ascii="仿宋_GB2312" w:hAnsi="仿宋_GB2312" w:eastAsia="仿宋_GB2312"/>
          <w:b w:val="0"/>
          <w:sz w:val="32"/>
        </w:rPr>
        <w:t>10.卫生健康支出(类)行政事业单位医疗(款)行政单位医疗(项):支出决算数为26.81万元，比上年决算减少6.12万元，下降18.58%,主要原因是：本年在职人员工资基数调增，单位医疗缴费基数上涨，相应支出增加。</w:t>
      </w:r>
    </w:p>
    <w:p w14:paraId="09460DBB">
      <w:pPr>
        <w:spacing w:line="580" w:lineRule="exact"/>
        <w:ind w:firstLine="640"/>
        <w:jc w:val="both"/>
      </w:pPr>
      <w:r>
        <w:rPr>
          <w:rFonts w:ascii="仿宋_GB2312" w:hAnsi="仿宋_GB2312" w:eastAsia="仿宋_GB2312"/>
          <w:b w:val="0"/>
          <w:sz w:val="32"/>
        </w:rPr>
        <w:t>11.卫生健康支出(类)行政事业单位医疗(款)事业单位医疗(项):支出决算数为12.68万元，比上年决算增加3.49万元，增长37.98%,主要原因是：本年在职人员工资基数调增，单位医疗缴费基数上涨，相应支出增加。</w:t>
      </w:r>
    </w:p>
    <w:p w14:paraId="74BBB6EA">
      <w:pPr>
        <w:spacing w:line="580" w:lineRule="exact"/>
        <w:ind w:firstLine="640"/>
        <w:jc w:val="both"/>
      </w:pPr>
      <w:r>
        <w:rPr>
          <w:rFonts w:ascii="仿宋_GB2312" w:hAnsi="仿宋_GB2312" w:eastAsia="仿宋_GB2312"/>
          <w:b w:val="0"/>
          <w:sz w:val="32"/>
        </w:rPr>
        <w:t>12.卫生健康支出(类)行政事业单位医疗(款)公务员医疗补助(项):支出决算数为2.27万元，比上年决算增加0.33万元，增长17.01%,主要原因是：本年在职人员工资基数调增，医疗缴费基数上涨，相应支出增加。</w:t>
      </w:r>
    </w:p>
    <w:p w14:paraId="595FD6C8">
      <w:pPr>
        <w:spacing w:line="580" w:lineRule="exact"/>
        <w:ind w:firstLine="640"/>
        <w:jc w:val="both"/>
      </w:pPr>
      <w:r>
        <w:rPr>
          <w:rFonts w:ascii="仿宋_GB2312" w:hAnsi="仿宋_GB2312" w:eastAsia="仿宋_GB2312"/>
          <w:b w:val="0"/>
          <w:sz w:val="32"/>
        </w:rPr>
        <w:t>13.住房保障支出(类)住房改革支出(款)住房公积金(项):支出决算数为57.94万元，比上年决算增加9.44万元，增长19.46%,主要原因是：本年在职人员工资基数调增，公积金缴费基数上涨，相应支出增加。</w:t>
      </w:r>
    </w:p>
    <w:p w14:paraId="4F56BE2C">
      <w:pPr>
        <w:spacing w:line="580" w:lineRule="exact"/>
        <w:ind w:firstLine="640"/>
        <w:jc w:val="both"/>
      </w:pPr>
      <w:r>
        <w:rPr>
          <w:rFonts w:ascii="仿宋_GB2312" w:hAnsi="仿宋_GB2312" w:eastAsia="仿宋_GB2312"/>
          <w:b w:val="0"/>
          <w:sz w:val="32"/>
        </w:rPr>
        <w:t>14.其他支出(类)其他支出(款)其他支出(项):支出决算数为0.00万元，比上年决算减少2.50万元，下降100.00%,主要原因是：本年减少为民办实事相关经费。</w:t>
      </w:r>
    </w:p>
    <w:p w14:paraId="2855CBF4">
      <w:pPr>
        <w:spacing w:line="640" w:lineRule="exact"/>
        <w:ind w:firstLine="640"/>
        <w:jc w:val="both"/>
        <w:outlineLvl w:val="2"/>
      </w:pPr>
      <w:r>
        <w:rPr>
          <w:rFonts w:ascii="黑体" w:hAnsi="黑体" w:eastAsia="黑体"/>
          <w:sz w:val="32"/>
        </w:rPr>
        <w:t>六、一般公共预算财政拨款基本支出决算情况说明</w:t>
      </w:r>
    </w:p>
    <w:p w14:paraId="5288C7EB">
      <w:pPr>
        <w:spacing w:line="580" w:lineRule="exact"/>
        <w:ind w:firstLine="640"/>
        <w:jc w:val="both"/>
      </w:pPr>
      <w:r>
        <w:rPr>
          <w:rFonts w:ascii="仿宋_GB2312" w:hAnsi="仿宋_GB2312" w:eastAsia="仿宋_GB2312"/>
          <w:b w:val="0"/>
          <w:sz w:val="32"/>
        </w:rPr>
        <w:t>2024年度一般公共预算财政拨款基本支出1,049.55万元，其中：</w:t>
      </w:r>
      <w:r>
        <w:rPr>
          <w:rFonts w:ascii="仿宋_GB2312" w:hAnsi="仿宋_GB2312" w:eastAsia="仿宋_GB2312"/>
          <w:b/>
          <w:sz w:val="32"/>
        </w:rPr>
        <w:t>人员经费784.71万元，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其他对个人和家庭的补助。</w:t>
      </w:r>
    </w:p>
    <w:p w14:paraId="5BA356C8">
      <w:pPr>
        <w:spacing w:line="580" w:lineRule="exact"/>
        <w:ind w:firstLine="640"/>
        <w:jc w:val="both"/>
      </w:pPr>
      <w:r>
        <w:rPr>
          <w:rFonts w:ascii="仿宋_GB2312" w:hAnsi="仿宋_GB2312" w:eastAsia="仿宋_GB2312"/>
          <w:b/>
          <w:sz w:val="32"/>
        </w:rPr>
        <w:t>公用经费264.84万元，</w:t>
      </w:r>
      <w:r>
        <w:rPr>
          <w:rFonts w:ascii="仿宋_GB2312" w:hAnsi="仿宋_GB2312" w:eastAsia="仿宋_GB2312"/>
          <w:b w:val="0"/>
          <w:sz w:val="32"/>
        </w:rPr>
        <w:t>包括：办公费、印刷费、邮电费、差旅费、维修（护）费、租赁费、公务接待费、委托业务费、工会经费、公务用车运行维护费、其他交通费用、其他商品和服务支出、办公设备购置。</w:t>
      </w:r>
    </w:p>
    <w:p w14:paraId="475D980C">
      <w:pPr>
        <w:spacing w:line="640" w:lineRule="exact"/>
        <w:ind w:firstLine="640"/>
        <w:jc w:val="both"/>
        <w:outlineLvl w:val="2"/>
      </w:pPr>
      <w:r>
        <w:rPr>
          <w:rFonts w:ascii="黑体" w:hAnsi="黑体" w:eastAsia="黑体"/>
          <w:sz w:val="32"/>
        </w:rPr>
        <w:t>七、政府性基金预算财政拨款收入支出决算情况说明</w:t>
      </w:r>
    </w:p>
    <w:p w14:paraId="195DA74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F51ACD8">
      <w:pPr>
        <w:spacing w:line="640" w:lineRule="exact"/>
        <w:ind w:firstLine="640"/>
        <w:jc w:val="both"/>
        <w:outlineLvl w:val="2"/>
      </w:pPr>
      <w:r>
        <w:rPr>
          <w:rFonts w:ascii="黑体" w:hAnsi="黑体" w:eastAsia="黑体"/>
          <w:sz w:val="32"/>
        </w:rPr>
        <w:t>八、国有资本经营预算财政拨款收入支出决算情况说明</w:t>
      </w:r>
    </w:p>
    <w:p w14:paraId="437B006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301FBF">
      <w:pPr>
        <w:spacing w:line="640" w:lineRule="exact"/>
        <w:ind w:firstLine="640"/>
        <w:jc w:val="both"/>
        <w:outlineLvl w:val="2"/>
      </w:pPr>
      <w:r>
        <w:rPr>
          <w:rFonts w:ascii="黑体" w:hAnsi="黑体" w:eastAsia="黑体"/>
          <w:sz w:val="32"/>
        </w:rPr>
        <w:t>九、财政拨款“三公”经费支出决算情况说明</w:t>
      </w:r>
    </w:p>
    <w:p w14:paraId="3290B062">
      <w:pPr>
        <w:spacing w:line="580" w:lineRule="exact"/>
        <w:ind w:firstLine="640"/>
        <w:jc w:val="both"/>
      </w:pPr>
      <w:r>
        <w:rPr>
          <w:rFonts w:ascii="仿宋_GB2312" w:hAnsi="仿宋_GB2312" w:eastAsia="仿宋_GB2312"/>
          <w:b/>
          <w:sz w:val="32"/>
        </w:rPr>
        <w:t>2024年度财政拨款“三公”经费支出24.23万元，</w:t>
      </w:r>
      <w:r>
        <w:rPr>
          <w:rFonts w:ascii="仿宋_GB2312" w:hAnsi="仿宋_GB2312" w:eastAsia="仿宋_GB2312"/>
          <w:b w:val="0"/>
          <w:sz w:val="32"/>
        </w:rPr>
        <w:t>比上年减少69.30万元，下降74.09%，主要原因是：因机构职能调整，公务接待费按照相关经费按规定一并划转至机关事务服务中心，导致经费减少。其中：因公出国（境）费支出0.00万元，占0.00%，比上年增加0.00万元，增长0.00%，主要原因是：2023年与2024年均未安排因公出国（境）费支出。公务用车购置及运行维护费支出24.00万元，占99.05%，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0.23万元，占0.95%，比上年减少69.30万元，下降99.67%，主要原因是：因机构职能调整，公务接待费按照相关经费按规定一并划转至机关事务服务中心，导致经费减少。</w:t>
      </w:r>
    </w:p>
    <w:p w14:paraId="113F7EF5">
      <w:pPr>
        <w:spacing w:line="580" w:lineRule="exact"/>
        <w:ind w:firstLine="640"/>
        <w:jc w:val="both"/>
      </w:pPr>
      <w:r>
        <w:rPr>
          <w:rFonts w:ascii="仿宋_GB2312" w:hAnsi="仿宋_GB2312" w:eastAsia="仿宋_GB2312"/>
          <w:b/>
          <w:sz w:val="32"/>
        </w:rPr>
        <w:t>具体情况如下：</w:t>
      </w:r>
    </w:p>
    <w:p w14:paraId="38A94A5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3DA313">
      <w:pPr>
        <w:spacing w:line="580" w:lineRule="exact"/>
        <w:ind w:firstLine="640"/>
        <w:jc w:val="both"/>
      </w:pPr>
      <w:r>
        <w:rPr>
          <w:rFonts w:ascii="仿宋_GB2312" w:hAnsi="仿宋_GB2312" w:eastAsia="仿宋_GB2312"/>
          <w:b w:val="0"/>
          <w:sz w:val="32"/>
        </w:rPr>
        <w:t>公务用车购置及运行维护费24.00万元，其中：公务用车购置费0.00万元，公务用车运行维护费24.00万元。公务用车运行维护费开支内容包括车辆维修费、加油费。公务用车购置数0辆，公务用车保有量6辆。国有资产占用情况中固定资产车辆6辆，与公务用车保有量差异原因是：本单位固定资产车辆与公务用车保有量一致无差异。</w:t>
      </w:r>
    </w:p>
    <w:p w14:paraId="5EFD1D51">
      <w:pPr>
        <w:spacing w:line="580" w:lineRule="exact"/>
        <w:ind w:firstLine="640"/>
        <w:jc w:val="both"/>
      </w:pPr>
      <w:r>
        <w:rPr>
          <w:rFonts w:ascii="仿宋_GB2312" w:hAnsi="仿宋_GB2312" w:eastAsia="仿宋_GB2312"/>
          <w:b w:val="0"/>
          <w:sz w:val="32"/>
        </w:rPr>
        <w:t>公务接待费0.23万元，开支内容包括接待外来调研人员的就餐费。单位全年安排的国内公务接待4批次，13人次。</w:t>
      </w:r>
    </w:p>
    <w:p w14:paraId="76C5269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24.70万元，决算数24.23万元，预决算差异率-1.90%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24.00万元，决算数24.00万元，预决算差异率0.00%，主要原因是：严格按照预算执行，预决算无差异。公务接待费全年预算数0.70万元，决算数0.23万元，预决算差异率-67.14%，主要原因是：严格落实中央八项规定精神，厉行节约，减少经费支出。</w:t>
      </w:r>
    </w:p>
    <w:p w14:paraId="255760C7">
      <w:pPr>
        <w:spacing w:line="640" w:lineRule="exact"/>
        <w:ind w:firstLine="640"/>
        <w:jc w:val="both"/>
        <w:outlineLvl w:val="2"/>
      </w:pPr>
      <w:r>
        <w:rPr>
          <w:rFonts w:ascii="黑体" w:hAnsi="黑体" w:eastAsia="黑体"/>
          <w:sz w:val="32"/>
        </w:rPr>
        <w:t>十、其他重要事项的情况说明</w:t>
      </w:r>
    </w:p>
    <w:p w14:paraId="7B5CFB45">
      <w:pPr>
        <w:spacing w:line="640" w:lineRule="exact"/>
        <w:ind w:firstLine="640"/>
        <w:jc w:val="both"/>
        <w:outlineLvl w:val="3"/>
      </w:pPr>
      <w:r>
        <w:rPr>
          <w:rFonts w:ascii="楷体_GB2312" w:hAnsi="楷体_GB2312" w:eastAsia="楷体_GB2312"/>
          <w:b/>
          <w:sz w:val="32"/>
        </w:rPr>
        <w:t>（一）机关运行经费及公用经费支出情况</w:t>
      </w:r>
    </w:p>
    <w:p w14:paraId="5B226538">
      <w:pPr>
        <w:spacing w:line="580" w:lineRule="exact"/>
        <w:ind w:firstLine="640"/>
        <w:jc w:val="both"/>
      </w:pPr>
      <w:r>
        <w:rPr>
          <w:rFonts w:ascii="仿宋_GB2312" w:hAnsi="仿宋_GB2312" w:eastAsia="仿宋_GB2312"/>
          <w:b w:val="0"/>
          <w:sz w:val="32"/>
        </w:rPr>
        <w:t>2024年度中共吉木萨尔县委员会办公室（行政单位和参照公务员法管理事业单位）机关运行经费支出264.84万元，比上年减少628.47万元，下降70.35%，主要原因是：本年减少办公费、租赁费、公务接待费、专用材料费、委托业务费等。</w:t>
      </w:r>
    </w:p>
    <w:p w14:paraId="56B930F0">
      <w:pPr>
        <w:spacing w:line="640" w:lineRule="exact"/>
        <w:ind w:firstLine="640"/>
        <w:jc w:val="both"/>
        <w:outlineLvl w:val="3"/>
      </w:pPr>
      <w:r>
        <w:rPr>
          <w:rFonts w:ascii="楷体_GB2312" w:hAnsi="楷体_GB2312" w:eastAsia="楷体_GB2312"/>
          <w:b/>
          <w:sz w:val="32"/>
        </w:rPr>
        <w:t>（二）政府采购情况</w:t>
      </w:r>
    </w:p>
    <w:p w14:paraId="2FB2CB6F">
      <w:pPr>
        <w:spacing w:line="580" w:lineRule="exact"/>
        <w:ind w:firstLine="640"/>
        <w:jc w:val="both"/>
      </w:pPr>
      <w:r>
        <w:rPr>
          <w:rFonts w:ascii="仿宋_GB2312" w:hAnsi="仿宋_GB2312" w:eastAsia="仿宋_GB2312"/>
          <w:b w:val="0"/>
          <w:sz w:val="32"/>
        </w:rPr>
        <w:t>2024年度政府采购支出总额20.09万元，其中：政府采购货物支出4.95万元、政府采购工程支出0.00万元、政府采购服务支出15.14万元。</w:t>
      </w:r>
    </w:p>
    <w:p w14:paraId="3A6747B8">
      <w:pPr>
        <w:spacing w:line="580" w:lineRule="exact"/>
        <w:ind w:firstLine="640"/>
        <w:jc w:val="both"/>
      </w:pPr>
      <w:r>
        <w:rPr>
          <w:rFonts w:ascii="仿宋_GB2312" w:hAnsi="仿宋_GB2312" w:eastAsia="仿宋_GB2312"/>
          <w:b w:val="0"/>
          <w:sz w:val="32"/>
        </w:rPr>
        <w:t>授予中小企业合同金额17.40万元，占政府采购支出总额的86.61%，其中：授予小微企业合同金额17.40万元，占政府采购支出总额的86.61%。</w:t>
      </w:r>
    </w:p>
    <w:p w14:paraId="7CAE4108">
      <w:pPr>
        <w:spacing w:line="640" w:lineRule="exact"/>
        <w:ind w:firstLine="640"/>
        <w:jc w:val="both"/>
        <w:outlineLvl w:val="3"/>
      </w:pPr>
      <w:r>
        <w:rPr>
          <w:rFonts w:ascii="楷体_GB2312" w:hAnsi="楷体_GB2312" w:eastAsia="楷体_GB2312"/>
          <w:b/>
          <w:sz w:val="32"/>
        </w:rPr>
        <w:t>（三）国有资产占用情况说明</w:t>
      </w:r>
    </w:p>
    <w:p w14:paraId="65076D20">
      <w:pPr>
        <w:spacing w:line="580" w:lineRule="exact"/>
        <w:ind w:firstLine="640"/>
        <w:jc w:val="both"/>
      </w:pPr>
      <w:r>
        <w:rPr>
          <w:rFonts w:ascii="仿宋_GB2312" w:hAnsi="仿宋_GB2312" w:eastAsia="仿宋_GB2312"/>
          <w:b w:val="0"/>
          <w:sz w:val="32"/>
        </w:rPr>
        <w:t>截至2024年12月31日，房屋4,316.00平方米，价值22.72万元。车辆6辆，价值250.27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6CCDE3EB">
      <w:pPr>
        <w:spacing w:line="640" w:lineRule="exact"/>
        <w:ind w:firstLine="640"/>
        <w:jc w:val="both"/>
        <w:outlineLvl w:val="2"/>
      </w:pPr>
      <w:r>
        <w:rPr>
          <w:rFonts w:ascii="黑体" w:hAnsi="黑体" w:eastAsia="黑体"/>
          <w:sz w:val="32"/>
        </w:rPr>
        <w:t>十一、预算绩效的情况说明</w:t>
      </w:r>
    </w:p>
    <w:p w14:paraId="19B3D86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1,059.99万元，实际执行总额1,059.75万元；预算绩效评价项目0个，全年预算数0.00万元，全年执行数0.00万元。预算绩效管理取得的成效：在预算绩效管理中，一方面通过精准规划与动态监管，确保资金流向与使用契合工作需求，实现资金高效配置；另一方面，严格遵循工作规范及相关文件要求，对资金用途进行严格把关，确保了资金的专款专用，助力各项工作有序开展。发现的问题及原因：绩效目标设定的科学性及评价有待提高，如何科学整合全单位绩效目标比较困难。下一步改进措施：加强绩效目标管理，在设定绩效目标时，充分考虑单位职能，制定科学合理、可量化、可考核的绩效指标。具体附整体支出绩效自评表。</w:t>
      </w:r>
    </w:p>
    <w:p w14:paraId="665E9CE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E0B152">
        <w:tblPrEx>
          <w:tblCellMar>
            <w:top w:w="0" w:type="dxa"/>
            <w:left w:w="108" w:type="dxa"/>
            <w:bottom w:w="0" w:type="dxa"/>
            <w:right w:w="108" w:type="dxa"/>
          </w:tblCellMar>
        </w:tblPrEx>
        <w:tc>
          <w:tcPr>
            <w:tcW w:w="8847" w:type="dxa"/>
            <w:gridSpan w:val="9"/>
            <w:vAlign w:val="center"/>
          </w:tcPr>
          <w:p w14:paraId="7A6CCB5A">
            <w:pPr>
              <w:jc w:val="center"/>
            </w:pPr>
            <w:r>
              <w:rPr>
                <w:rFonts w:ascii="宋体" w:hAnsi="宋体" w:eastAsia="宋体"/>
                <w:sz w:val="24"/>
              </w:rPr>
              <w:t>单位整体支出绩效自评表</w:t>
            </w:r>
          </w:p>
        </w:tc>
      </w:tr>
      <w:tr w14:paraId="703D5C1B">
        <w:tblPrEx>
          <w:tblCellMar>
            <w:top w:w="0" w:type="dxa"/>
            <w:left w:w="108" w:type="dxa"/>
            <w:bottom w:w="0" w:type="dxa"/>
            <w:right w:w="108" w:type="dxa"/>
          </w:tblCellMar>
        </w:tblPrEx>
        <w:tc>
          <w:tcPr>
            <w:tcW w:w="8847" w:type="dxa"/>
            <w:gridSpan w:val="9"/>
            <w:vAlign w:val="center"/>
          </w:tcPr>
          <w:p w14:paraId="6DE4B775">
            <w:pPr>
              <w:jc w:val="center"/>
            </w:pPr>
            <w:r>
              <w:rPr>
                <w:rFonts w:ascii="宋体" w:hAnsi="宋体" w:eastAsia="宋体"/>
                <w:sz w:val="24"/>
              </w:rPr>
              <w:t>（2024年度）</w:t>
            </w:r>
          </w:p>
        </w:tc>
      </w:tr>
      <w:tr w14:paraId="0004B1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B923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4E4AE6">
            <w:pPr>
              <w:jc w:val="center"/>
            </w:pPr>
            <w:r>
              <w:rPr>
                <w:rFonts w:ascii="宋体" w:hAnsi="宋体" w:eastAsia="宋体"/>
                <w:sz w:val="16"/>
              </w:rPr>
              <w:t>中共吉木萨尔县委员会办公室</w:t>
            </w:r>
          </w:p>
        </w:tc>
      </w:tr>
      <w:tr w14:paraId="588BD2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D0274">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2C37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3601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C033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7A78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AE58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AC2E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169E4">
            <w:pPr>
              <w:jc w:val="center"/>
            </w:pPr>
            <w:r>
              <w:rPr>
                <w:rFonts w:ascii="宋体" w:hAnsi="宋体" w:eastAsia="宋体"/>
                <w:sz w:val="16"/>
              </w:rPr>
              <w:t>得分</w:t>
            </w:r>
          </w:p>
        </w:tc>
      </w:tr>
      <w:tr w14:paraId="024AEC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E72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BC8F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CF1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5AC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0FB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3E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AAE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5E137">
            <w:pPr>
              <w:jc w:val="center"/>
            </w:pPr>
            <w:r>
              <w:rPr>
                <w:rFonts w:ascii="宋体" w:hAnsi="宋体" w:eastAsia="宋体"/>
                <w:sz w:val="16"/>
              </w:rPr>
              <w:t>-</w:t>
            </w:r>
          </w:p>
        </w:tc>
      </w:tr>
      <w:tr w14:paraId="2243A0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531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BFE1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76700">
            <w:pPr>
              <w:jc w:val="center"/>
            </w:pPr>
            <w:r>
              <w:rPr>
                <w:rFonts w:ascii="宋体" w:hAnsi="宋体" w:eastAsia="宋体"/>
                <w:sz w:val="16"/>
              </w:rPr>
              <w:t>1,005.33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7A42A">
            <w:pPr>
              <w:jc w:val="center"/>
            </w:pPr>
            <w:r>
              <w:rPr>
                <w:rFonts w:ascii="宋体" w:hAnsi="宋体" w:eastAsia="宋体"/>
                <w:sz w:val="16"/>
              </w:rPr>
              <w:t>1,059.99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9C3F8">
            <w:pPr>
              <w:jc w:val="center"/>
            </w:pPr>
            <w:r>
              <w:rPr>
                <w:rFonts w:ascii="宋体" w:hAnsi="宋体" w:eastAsia="宋体"/>
                <w:sz w:val="16"/>
              </w:rPr>
              <w:t>1,059.75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6D6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EE6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0D580">
            <w:pPr>
              <w:jc w:val="center"/>
            </w:pPr>
            <w:r>
              <w:rPr>
                <w:rFonts w:ascii="宋体" w:hAnsi="宋体" w:eastAsia="宋体"/>
                <w:sz w:val="16"/>
              </w:rPr>
              <w:t>-</w:t>
            </w:r>
          </w:p>
        </w:tc>
      </w:tr>
      <w:tr w14:paraId="05F673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716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C3D2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851F7">
            <w:pPr>
              <w:jc w:val="center"/>
            </w:pPr>
            <w:r>
              <w:rPr>
                <w:rFonts w:ascii="宋体" w:hAnsi="宋体" w:eastAsia="宋体"/>
                <w:sz w:val="16"/>
              </w:rPr>
              <w:t>40.95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30A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638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AC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298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3C273">
            <w:pPr>
              <w:jc w:val="center"/>
            </w:pPr>
            <w:r>
              <w:rPr>
                <w:rFonts w:ascii="宋体" w:hAnsi="宋体" w:eastAsia="宋体"/>
                <w:sz w:val="16"/>
              </w:rPr>
              <w:t>-</w:t>
            </w:r>
          </w:p>
        </w:tc>
      </w:tr>
      <w:tr w14:paraId="6AAD57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351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B20D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0A1EF">
            <w:pPr>
              <w:jc w:val="center"/>
            </w:pPr>
            <w:r>
              <w:rPr>
                <w:rFonts w:ascii="宋体" w:hAnsi="宋体" w:eastAsia="宋体"/>
                <w:sz w:val="16"/>
              </w:rPr>
              <w:t>1,046.28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AAA5B">
            <w:pPr>
              <w:jc w:val="center"/>
            </w:pPr>
            <w:r>
              <w:rPr>
                <w:rFonts w:ascii="宋体" w:hAnsi="宋体" w:eastAsia="宋体"/>
                <w:sz w:val="16"/>
              </w:rPr>
              <w:t>1,059.99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BAE69">
            <w:pPr>
              <w:jc w:val="center"/>
            </w:pPr>
            <w:r>
              <w:rPr>
                <w:rFonts w:ascii="宋体" w:hAnsi="宋体" w:eastAsia="宋体"/>
                <w:sz w:val="16"/>
              </w:rPr>
              <w:t>1,059.75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8AA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A1BBF">
            <w:pPr>
              <w:jc w:val="center"/>
            </w:pPr>
            <w:r>
              <w:rPr>
                <w:rFonts w:ascii="宋体" w:hAnsi="宋体" w:eastAsia="宋体"/>
                <w:sz w:val="16"/>
              </w:rPr>
              <w:t>99.98%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5D2D0">
            <w:pPr>
              <w:jc w:val="center"/>
            </w:pPr>
            <w:r>
              <w:rPr>
                <w:rFonts w:ascii="宋体" w:hAnsi="宋体" w:eastAsia="宋体"/>
                <w:sz w:val="16"/>
              </w:rPr>
              <w:t>9.99</w:t>
            </w:r>
          </w:p>
        </w:tc>
      </w:tr>
      <w:tr w14:paraId="2F9494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D6F1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C9282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6AAA9C">
            <w:pPr>
              <w:jc w:val="center"/>
            </w:pPr>
            <w:r>
              <w:rPr>
                <w:rFonts w:ascii="宋体" w:hAnsi="宋体" w:eastAsia="宋体"/>
                <w:sz w:val="16"/>
              </w:rPr>
              <w:t>实际完成情况</w:t>
            </w:r>
          </w:p>
        </w:tc>
      </w:tr>
      <w:tr w14:paraId="3048AA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146F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460673">
            <w:pPr>
              <w:jc w:val="both"/>
            </w:pPr>
            <w:r>
              <w:rPr>
                <w:rFonts w:ascii="宋体" w:hAnsi="宋体" w:eastAsia="宋体"/>
                <w:sz w:val="16"/>
              </w:rPr>
              <w:t>保障本单位在职人员工资、津贴、社保、医疗、住房公积金、职业年金和7名购买岗服务人员工资、社保、医疗和退休人员交通费、独生子女奖金；保障本单位四套班子运行经费、办公费、车辆维修维护、公务接待及工会经费等正常运转；保障活动正常开展，保障</w:t>
            </w:r>
            <w:r>
              <w:rPr>
                <w:rFonts w:hint="eastAsia" w:ascii="宋体" w:hAnsi="宋体"/>
                <w:sz w:val="16"/>
                <w:lang w:eastAsia="zh-CN"/>
              </w:rPr>
              <w:t>专题</w:t>
            </w:r>
            <w:r>
              <w:rPr>
                <w:rFonts w:ascii="宋体" w:hAnsi="宋体" w:eastAsia="宋体"/>
                <w:sz w:val="16"/>
              </w:rPr>
              <w:t>活动正常开展。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586187">
            <w:pPr>
              <w:jc w:val="both"/>
            </w:pPr>
            <w:r>
              <w:rPr>
                <w:rFonts w:ascii="宋体" w:hAnsi="宋体" w:eastAsia="宋体"/>
                <w:sz w:val="16"/>
              </w:rPr>
              <w:t>2024年度预算资金执行完成年初既定目标，完成单位在编干部工资、津贴、社保、医疗、公积金、职业年金和购买服务岗工资发放工作，完成退休人员交通费、</w:t>
            </w:r>
            <w:r>
              <w:rPr>
                <w:rFonts w:hint="eastAsia" w:ascii="宋体" w:hAnsi="宋体"/>
                <w:sz w:val="16"/>
                <w:lang w:eastAsia="zh-CN"/>
              </w:rPr>
              <w:t>独生子女</w:t>
            </w:r>
            <w:r>
              <w:rPr>
                <w:rFonts w:ascii="宋体" w:hAnsi="宋体" w:eastAsia="宋体"/>
                <w:sz w:val="16"/>
              </w:rPr>
              <w:t>奖金发放工作，保障了四套班子正常运行，保障工会会员活动正常开展。保障会议正常开展。</w:t>
            </w:r>
          </w:p>
        </w:tc>
      </w:tr>
      <w:tr w14:paraId="5D2597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EF7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79BF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0062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444B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FDC9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3DF8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97A2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D7AB0">
            <w:pPr>
              <w:jc w:val="center"/>
            </w:pPr>
            <w:r>
              <w:rPr>
                <w:rFonts w:ascii="宋体" w:hAnsi="宋体" w:eastAsia="宋体"/>
                <w:sz w:val="16"/>
              </w:rPr>
              <w:t>得分</w:t>
            </w:r>
          </w:p>
        </w:tc>
      </w:tr>
      <w:tr w14:paraId="37D4B2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1B8C1">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ADAC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2C555">
            <w:pPr>
              <w:jc w:val="center"/>
            </w:pPr>
            <w:r>
              <w:rPr>
                <w:rFonts w:ascii="宋体" w:hAnsi="宋体" w:eastAsia="宋体"/>
                <w:sz w:val="16"/>
              </w:rPr>
              <w:t>在编在职人数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9109B">
            <w:pPr>
              <w:jc w:val="center"/>
            </w:pPr>
            <w:r>
              <w:rPr>
                <w:rFonts w:ascii="宋体" w:hAnsi="宋体" w:eastAsia="宋体"/>
                <w:sz w:val="16"/>
              </w:rPr>
              <w:t>&gt;=57人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29D8C">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年决算</w:t>
            </w:r>
            <w:r>
              <w:rPr>
                <w:rFonts w:hint="eastAsia" w:ascii="宋体" w:hAnsi="宋体"/>
                <w:sz w:val="16"/>
                <w:lang w:eastAsia="zh-CN"/>
              </w:rPr>
              <w:t>－</w:t>
            </w:r>
            <w:r>
              <w:rPr>
                <w:rFonts w:ascii="宋体" w:hAnsi="宋体" w:eastAsia="宋体"/>
                <w:sz w:val="16"/>
              </w:rPr>
              <w:t>县委办公室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E73D2">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CA45E">
            <w:pPr>
              <w:jc w:val="center"/>
            </w:pPr>
            <w:r>
              <w:rPr>
                <w:rFonts w:ascii="宋体" w:hAnsi="宋体" w:eastAsia="宋体"/>
                <w:sz w:val="16"/>
              </w:rPr>
              <w:t>=48人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1E12">
            <w:pPr>
              <w:jc w:val="center"/>
            </w:pPr>
            <w:r>
              <w:rPr>
                <w:rFonts w:ascii="宋体" w:hAnsi="宋体" w:eastAsia="宋体"/>
                <w:sz w:val="16"/>
              </w:rPr>
              <w:t>9.24</w:t>
            </w:r>
          </w:p>
        </w:tc>
      </w:tr>
      <w:tr w14:paraId="336DC7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81FA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3DE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23502">
            <w:pPr>
              <w:jc w:val="center"/>
            </w:pPr>
            <w:r>
              <w:rPr>
                <w:rFonts w:ascii="宋体" w:hAnsi="宋体" w:eastAsia="宋体"/>
                <w:sz w:val="16"/>
              </w:rPr>
              <w:t>退休人员数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0F46A">
            <w:pPr>
              <w:jc w:val="center"/>
            </w:pPr>
            <w:r>
              <w:rPr>
                <w:rFonts w:ascii="宋体" w:hAnsi="宋体" w:eastAsia="宋体"/>
                <w:sz w:val="16"/>
              </w:rPr>
              <w:t>&gt;=19人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8443F">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年决算</w:t>
            </w:r>
            <w:r>
              <w:rPr>
                <w:rFonts w:hint="eastAsia" w:ascii="宋体" w:hAnsi="宋体"/>
                <w:sz w:val="16"/>
                <w:lang w:eastAsia="zh-CN"/>
              </w:rPr>
              <w:t>－</w:t>
            </w:r>
            <w:r>
              <w:rPr>
                <w:rFonts w:ascii="宋体" w:hAnsi="宋体" w:eastAsia="宋体"/>
                <w:sz w:val="16"/>
              </w:rPr>
              <w:t>县委办公室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EC8D3">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98E26">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4014">
            <w:pPr>
              <w:jc w:val="center"/>
            </w:pPr>
            <w:r>
              <w:rPr>
                <w:rFonts w:ascii="宋体" w:hAnsi="宋体" w:eastAsia="宋体"/>
                <w:sz w:val="16"/>
              </w:rPr>
              <w:t>9</w:t>
            </w:r>
          </w:p>
        </w:tc>
      </w:tr>
      <w:tr w14:paraId="1C622F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FC9B5">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EC5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8C21F">
            <w:pPr>
              <w:jc w:val="center"/>
            </w:pPr>
            <w:r>
              <w:rPr>
                <w:rFonts w:ascii="宋体" w:hAnsi="宋体" w:eastAsia="宋体"/>
                <w:sz w:val="16"/>
              </w:rPr>
              <w:t>会议保障次数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F0AF2">
            <w:pPr>
              <w:jc w:val="center"/>
            </w:pPr>
            <w:r>
              <w:rPr>
                <w:rFonts w:ascii="宋体" w:hAnsi="宋体" w:eastAsia="宋体"/>
                <w:sz w:val="16"/>
              </w:rPr>
              <w:t>&gt;=30场次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7ED7A">
            <w:pPr>
              <w:jc w:val="center"/>
            </w:pPr>
            <w:r>
              <w:rPr>
                <w:rFonts w:ascii="宋体" w:hAnsi="宋体" w:eastAsia="宋体"/>
                <w:sz w:val="16"/>
              </w:rPr>
              <w:t>县委办公室工作总结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CD2E3">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A0682">
            <w:pPr>
              <w:jc w:val="center"/>
            </w:pPr>
            <w:r>
              <w:rPr>
                <w:rFonts w:ascii="宋体" w:hAnsi="宋体" w:eastAsia="宋体"/>
                <w:sz w:val="16"/>
              </w:rPr>
              <w:t>=70场/次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7FC6B">
            <w:pPr>
              <w:jc w:val="center"/>
            </w:pPr>
            <w:r>
              <w:rPr>
                <w:rFonts w:ascii="宋体" w:hAnsi="宋体" w:eastAsia="宋体"/>
                <w:sz w:val="16"/>
              </w:rPr>
              <w:t>25</w:t>
            </w:r>
          </w:p>
        </w:tc>
      </w:tr>
      <w:tr w14:paraId="6B9E86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DBF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6EA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455B6">
            <w:pPr>
              <w:jc w:val="center"/>
            </w:pPr>
            <w:r>
              <w:rPr>
                <w:rFonts w:ascii="宋体" w:hAnsi="宋体" w:eastAsia="宋体"/>
                <w:sz w:val="16"/>
              </w:rPr>
              <w:t>组织培训次数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9972E">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3A746">
            <w:pPr>
              <w:jc w:val="center"/>
            </w:pPr>
            <w:r>
              <w:rPr>
                <w:rFonts w:ascii="宋体" w:hAnsi="宋体" w:eastAsia="宋体"/>
                <w:sz w:val="16"/>
              </w:rPr>
              <w:t>县委办公室工作总结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77939">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1ED55">
            <w:pPr>
              <w:jc w:val="center"/>
            </w:pPr>
            <w:r>
              <w:rPr>
                <w:rFonts w:ascii="宋体" w:hAnsi="宋体" w:eastAsia="宋体"/>
                <w:sz w:val="16"/>
              </w:rPr>
              <w: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CE6F">
            <w:pPr>
              <w:jc w:val="center"/>
            </w:pPr>
            <w:r>
              <w:rPr>
                <w:rFonts w:ascii="宋体" w:hAnsi="宋体" w:eastAsia="宋体"/>
                <w:sz w:val="16"/>
              </w:rPr>
              <w:t>22</w:t>
            </w:r>
          </w:p>
        </w:tc>
      </w:tr>
      <w:tr w14:paraId="7F3DAF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F20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9DE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2A234">
            <w:pPr>
              <w:jc w:val="center"/>
            </w:pPr>
            <w:r>
              <w:rPr>
                <w:rFonts w:ascii="宋体" w:hAnsi="宋体" w:eastAsia="宋体"/>
                <w:sz w:val="16"/>
              </w:rPr>
              <w:t>法律宣传次数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59878">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1B9ED">
            <w:pPr>
              <w:jc w:val="center"/>
            </w:pPr>
            <w:r>
              <w:rPr>
                <w:rFonts w:ascii="宋体" w:hAnsi="宋体" w:eastAsia="宋体"/>
                <w:sz w:val="16"/>
              </w:rPr>
              <w:t>县委办公室</w:t>
            </w:r>
            <w:bookmarkStart w:id="0" w:name="_GoBack"/>
            <w:bookmarkEnd w:id="0"/>
            <w:r>
              <w:rPr>
                <w:rFonts w:ascii="宋体" w:hAnsi="宋体" w:eastAsia="宋体"/>
                <w:sz w:val="16"/>
              </w:rPr>
              <w:t>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1636C">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A7ECC">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05849">
            <w:pPr>
              <w:jc w:val="center"/>
            </w:pPr>
            <w:r>
              <w:rPr>
                <w:rFonts w:ascii="宋体" w:hAnsi="宋体" w:eastAsia="宋体"/>
                <w:sz w:val="16"/>
              </w:rPr>
              <w:t>23</w:t>
            </w:r>
          </w:p>
        </w:tc>
      </w:tr>
    </w:tbl>
    <w:p w14:paraId="44FCE923">
      <w:r>
        <w:br w:type="page"/>
      </w:r>
    </w:p>
    <w:p w14:paraId="74146B22">
      <w:pPr>
        <w:spacing w:line="640" w:lineRule="exact"/>
        <w:ind w:firstLine="640"/>
        <w:jc w:val="both"/>
        <w:outlineLvl w:val="2"/>
      </w:pPr>
      <w:r>
        <w:rPr>
          <w:rFonts w:ascii="黑体" w:hAnsi="黑体" w:eastAsia="黑体"/>
          <w:sz w:val="32"/>
        </w:rPr>
        <w:t>十二、其他需说明的事项</w:t>
      </w:r>
    </w:p>
    <w:p w14:paraId="7847BEFB">
      <w:pPr>
        <w:spacing w:line="580" w:lineRule="exact"/>
        <w:ind w:firstLine="640"/>
        <w:jc w:val="both"/>
      </w:pPr>
      <w:r>
        <w:rPr>
          <w:rFonts w:ascii="仿宋_GB2312" w:hAnsi="仿宋_GB2312" w:eastAsia="仿宋_GB2312"/>
          <w:b w:val="0"/>
          <w:sz w:val="32"/>
        </w:rPr>
        <w:t>本单位无其他需说明的事项。</w:t>
      </w:r>
    </w:p>
    <w:p w14:paraId="26A908AF">
      <w:r>
        <w:br w:type="page"/>
      </w:r>
    </w:p>
    <w:p w14:paraId="02A0EB0F">
      <w:pPr>
        <w:spacing w:line="240" w:lineRule="auto"/>
        <w:jc w:val="center"/>
        <w:outlineLvl w:val="1"/>
      </w:pPr>
      <w:r>
        <w:rPr>
          <w:rFonts w:ascii="黑体" w:hAnsi="黑体" w:eastAsia="黑体"/>
          <w:sz w:val="32"/>
        </w:rPr>
        <w:t>第三部分 专业名词解释</w:t>
      </w:r>
    </w:p>
    <w:p w14:paraId="69D914C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CAB605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BBD30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EBB52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38DE4E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3524A4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659B06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66EF3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9D628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420F0C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B7EED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C2B40C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48C8D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8A705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12DCA1D">
      <w:r>
        <w:br w:type="page"/>
      </w:r>
    </w:p>
    <w:p w14:paraId="4E01A677">
      <w:pPr>
        <w:spacing w:line="240" w:lineRule="auto"/>
        <w:jc w:val="center"/>
        <w:outlineLvl w:val="1"/>
      </w:pPr>
      <w:r>
        <w:rPr>
          <w:rFonts w:ascii="黑体" w:hAnsi="黑体" w:eastAsia="黑体"/>
          <w:sz w:val="32"/>
        </w:rPr>
        <w:t>第四部分 部门决算报表（见附表）</w:t>
      </w:r>
    </w:p>
    <w:p w14:paraId="0874A797">
      <w:pPr>
        <w:spacing w:line="240" w:lineRule="auto"/>
        <w:ind w:firstLine="640"/>
        <w:jc w:val="both"/>
      </w:pPr>
      <w:r>
        <w:rPr>
          <w:rFonts w:ascii="仿宋_GB2312" w:hAnsi="仿宋_GB2312" w:eastAsia="仿宋_GB2312"/>
          <w:b w:val="0"/>
          <w:sz w:val="32"/>
        </w:rPr>
        <w:t>一、《收入支出决算总表》</w:t>
      </w:r>
    </w:p>
    <w:p w14:paraId="5F65E472">
      <w:pPr>
        <w:spacing w:line="240" w:lineRule="auto"/>
        <w:ind w:firstLine="640"/>
        <w:jc w:val="both"/>
      </w:pPr>
      <w:r>
        <w:rPr>
          <w:rFonts w:ascii="仿宋_GB2312" w:hAnsi="仿宋_GB2312" w:eastAsia="仿宋_GB2312"/>
          <w:b w:val="0"/>
          <w:sz w:val="32"/>
        </w:rPr>
        <w:t>二、《收入决算表》</w:t>
      </w:r>
    </w:p>
    <w:p w14:paraId="1573212D">
      <w:pPr>
        <w:spacing w:line="240" w:lineRule="auto"/>
        <w:ind w:firstLine="640"/>
        <w:jc w:val="both"/>
      </w:pPr>
      <w:r>
        <w:rPr>
          <w:rFonts w:ascii="仿宋_GB2312" w:hAnsi="仿宋_GB2312" w:eastAsia="仿宋_GB2312"/>
          <w:b w:val="0"/>
          <w:sz w:val="32"/>
        </w:rPr>
        <w:t>三、《支出决算表》</w:t>
      </w:r>
    </w:p>
    <w:p w14:paraId="1A89FEEF">
      <w:pPr>
        <w:spacing w:line="240" w:lineRule="auto"/>
        <w:ind w:firstLine="640"/>
        <w:jc w:val="both"/>
      </w:pPr>
      <w:r>
        <w:rPr>
          <w:rFonts w:ascii="仿宋_GB2312" w:hAnsi="仿宋_GB2312" w:eastAsia="仿宋_GB2312"/>
          <w:b w:val="0"/>
          <w:sz w:val="32"/>
        </w:rPr>
        <w:t>四、《财政拨款收入支出决算总表》</w:t>
      </w:r>
    </w:p>
    <w:p w14:paraId="255BD078">
      <w:pPr>
        <w:spacing w:line="240" w:lineRule="auto"/>
        <w:ind w:firstLine="640"/>
        <w:jc w:val="both"/>
      </w:pPr>
      <w:r>
        <w:rPr>
          <w:rFonts w:ascii="仿宋_GB2312" w:hAnsi="仿宋_GB2312" w:eastAsia="仿宋_GB2312"/>
          <w:b w:val="0"/>
          <w:sz w:val="32"/>
        </w:rPr>
        <w:t>五、《一般公共预算财政拨款支出决算表》</w:t>
      </w:r>
    </w:p>
    <w:p w14:paraId="10D8FDE9">
      <w:pPr>
        <w:spacing w:line="240" w:lineRule="auto"/>
        <w:ind w:firstLine="640"/>
        <w:jc w:val="both"/>
      </w:pPr>
      <w:r>
        <w:rPr>
          <w:rFonts w:ascii="仿宋_GB2312" w:hAnsi="仿宋_GB2312" w:eastAsia="仿宋_GB2312"/>
          <w:b w:val="0"/>
          <w:sz w:val="32"/>
        </w:rPr>
        <w:t>六、《一般公共预算财政拨款基本支出决算表》</w:t>
      </w:r>
    </w:p>
    <w:p w14:paraId="2DE879FE">
      <w:pPr>
        <w:spacing w:line="240" w:lineRule="auto"/>
        <w:ind w:firstLine="640"/>
        <w:jc w:val="both"/>
      </w:pPr>
      <w:r>
        <w:rPr>
          <w:rFonts w:ascii="仿宋_GB2312" w:hAnsi="仿宋_GB2312" w:eastAsia="仿宋_GB2312"/>
          <w:b w:val="0"/>
          <w:sz w:val="32"/>
        </w:rPr>
        <w:t>七、《政府性基金预算财政拨款收入支出决算表》</w:t>
      </w:r>
    </w:p>
    <w:p w14:paraId="20A0BDB0">
      <w:pPr>
        <w:spacing w:line="240" w:lineRule="auto"/>
        <w:ind w:firstLine="640"/>
        <w:jc w:val="both"/>
      </w:pPr>
      <w:r>
        <w:rPr>
          <w:rFonts w:ascii="仿宋_GB2312" w:hAnsi="仿宋_GB2312" w:eastAsia="仿宋_GB2312"/>
          <w:b w:val="0"/>
          <w:sz w:val="32"/>
        </w:rPr>
        <w:t>八、《国有资本经营预算财政拨款收入支出决算表》</w:t>
      </w:r>
    </w:p>
    <w:p w14:paraId="5D6510FF">
      <w:pPr>
        <w:spacing w:line="240" w:lineRule="auto"/>
        <w:ind w:firstLine="640"/>
        <w:jc w:val="both"/>
      </w:pPr>
      <w:r>
        <w:rPr>
          <w:rFonts w:ascii="仿宋_GB2312" w:hAnsi="仿宋_GB2312" w:eastAsia="仿宋_GB2312"/>
          <w:b w:val="0"/>
          <w:sz w:val="32"/>
        </w:rPr>
        <w:t>九、《财政拨款“三公”经费支出决算表》</w:t>
      </w:r>
    </w:p>
    <w:p w14:paraId="128CE0DD">
      <w:pPr>
        <w:spacing w:line="240" w:lineRule="auto"/>
        <w:ind w:firstLine="640"/>
        <w:jc w:val="both"/>
      </w:pPr>
    </w:p>
    <w:p w14:paraId="09496812">
      <w:pPr>
        <w:spacing w:line="240" w:lineRule="auto"/>
        <w:ind w:firstLine="640"/>
        <w:jc w:val="both"/>
      </w:pPr>
    </w:p>
    <w:p w14:paraId="261DA965">
      <w:pPr>
        <w:spacing w:line="240" w:lineRule="auto"/>
        <w:ind w:firstLine="640"/>
        <w:jc w:val="both"/>
      </w:pPr>
    </w:p>
    <w:p w14:paraId="2B68F0AF">
      <w:pPr>
        <w:spacing w:line="240" w:lineRule="auto"/>
        <w:ind w:firstLine="640"/>
        <w:jc w:val="both"/>
      </w:pPr>
    </w:p>
    <w:p w14:paraId="3D91D9C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1A957EB"/>
    <w:rsid w:val="73423603"/>
    <w:rsid w:val="737A5923"/>
    <w:rsid w:val="73DE4104"/>
    <w:rsid w:val="73FB6630"/>
    <w:rsid w:val="74CE04EC"/>
    <w:rsid w:val="74E76DCD"/>
    <w:rsid w:val="76660D7C"/>
    <w:rsid w:val="77ED6F44"/>
    <w:rsid w:val="795A0A34"/>
    <w:rsid w:val="7A0D3BC7"/>
    <w:rsid w:val="7A3A3CDB"/>
    <w:rsid w:val="7AED1DB7"/>
    <w:rsid w:val="7D157C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6675</Words>
  <Characters>7637</Characters>
  <Lines>0</Lines>
  <Paragraphs>0</Paragraphs>
  <TotalTime>2</TotalTime>
  <ScaleCrop>false</ScaleCrop>
  <LinksUpToDate>false</LinksUpToDate>
  <CharactersWithSpaces>7647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2025-10-14T03:13:04Z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