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中共吉木萨尔县委员会党史和文献研究室2024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F513D0">
      <w:r>
        <w:br w:type="page"/>
      </w:r>
    </w:p>
    <w:p w14:paraId="47C9255E">
      <w:pPr>
        <w:spacing w:line="640" w:lineRule="exact"/>
        <w:jc w:val="center"/>
        <w:outlineLvl w:val="1"/>
      </w:pPr>
      <w:r>
        <w:rPr>
          <w:rFonts w:ascii="黑体" w:hAnsi="黑体" w:eastAsia="黑体"/>
          <w:sz w:val="32"/>
        </w:rPr>
        <w:t>第一部分 单位概况</w:t>
      </w:r>
    </w:p>
    <w:p w14:paraId="1314A941">
      <w:pPr>
        <w:spacing w:line="640" w:lineRule="exact"/>
        <w:ind w:firstLine="640"/>
        <w:jc w:val="both"/>
        <w:outlineLvl w:val="2"/>
      </w:pPr>
      <w:r>
        <w:rPr>
          <w:rFonts w:ascii="黑体" w:hAnsi="黑体" w:eastAsia="黑体"/>
          <w:sz w:val="32"/>
        </w:rPr>
        <w:t>一、主要职能</w:t>
      </w:r>
    </w:p>
    <w:p w14:paraId="408F8D1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承担区、州党委党史研究室、区州地方志编纂委员会和县委党史工作领导小组、县地方志编纂委员会分别下达的党史工作任务和地方志工作任务。</w:t>
      </w:r>
    </w:p>
    <w:p w14:paraId="3CBB34A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按照区、州党史研究室拟定的各阶段党史工作，搜集资料、编辑或出版对服务现实有积极作用的党史专题或丛书，指导部门专业志的编修及乡镇志的编制。</w:t>
      </w:r>
    </w:p>
    <w:p w14:paraId="58C6B97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编辑和出版县志，编写有关地情资料。</w:t>
      </w:r>
    </w:p>
    <w:p w14:paraId="7354A34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承办县委和县人民政府交办的其他事项。</w:t>
      </w:r>
    </w:p>
    <w:p w14:paraId="48DF8A0A">
      <w:pPr>
        <w:spacing w:line="640" w:lineRule="exact"/>
        <w:ind w:firstLine="640"/>
        <w:jc w:val="both"/>
        <w:outlineLvl w:val="2"/>
      </w:pPr>
      <w:r>
        <w:rPr>
          <w:rFonts w:ascii="黑体" w:hAnsi="黑体" w:eastAsia="黑体"/>
          <w:sz w:val="32"/>
        </w:rPr>
        <w:t>二、机构设置及人员情况</w:t>
      </w:r>
    </w:p>
    <w:p w14:paraId="39B3633F">
      <w:pPr>
        <w:spacing w:line="580" w:lineRule="exact"/>
        <w:ind w:firstLine="640"/>
        <w:jc w:val="both"/>
      </w:pPr>
      <w:r>
        <w:rPr>
          <w:rFonts w:ascii="仿宋_GB2312" w:hAnsi="仿宋_GB2312" w:eastAsia="仿宋_GB2312"/>
          <w:sz w:val="32"/>
        </w:rPr>
        <w:t>中共吉木萨尔县委员会党史和文献研究室2024年度，实有人数10人，其中：在职人员3人，增加0人；离休人员0人，增加0人；退休人员7人,增加0人。</w:t>
      </w:r>
    </w:p>
    <w:p w14:paraId="2A405AF3">
      <w:pPr>
        <w:spacing w:line="580" w:lineRule="exact"/>
        <w:ind w:firstLine="640"/>
        <w:jc w:val="both"/>
      </w:pPr>
      <w:r>
        <w:rPr>
          <w:rFonts w:ascii="仿宋_GB2312" w:hAnsi="仿宋_GB2312" w:eastAsia="仿宋_GB2312"/>
          <w:sz w:val="32"/>
        </w:rPr>
        <w:t>中共吉木萨尔县委员会党史和文献研究室无下属预算单位，下设2个科室，分别是：办公室、财务室。</w:t>
      </w:r>
    </w:p>
    <w:p w14:paraId="2935D554">
      <w:r>
        <w:br w:type="page"/>
      </w:r>
    </w:p>
    <w:p w14:paraId="3EFC53FA">
      <w:pPr>
        <w:spacing w:line="240" w:lineRule="auto"/>
        <w:jc w:val="center"/>
        <w:outlineLvl w:val="1"/>
      </w:pPr>
      <w:r>
        <w:rPr>
          <w:rFonts w:ascii="黑体" w:hAnsi="黑体" w:eastAsia="黑体"/>
          <w:sz w:val="32"/>
        </w:rPr>
        <w:t>第二部分 部门决算情况说明</w:t>
      </w:r>
    </w:p>
    <w:p w14:paraId="3A98E808">
      <w:pPr>
        <w:spacing w:line="640" w:lineRule="exact"/>
        <w:ind w:firstLine="640"/>
        <w:jc w:val="both"/>
        <w:outlineLvl w:val="2"/>
      </w:pPr>
      <w:r>
        <w:rPr>
          <w:rFonts w:ascii="黑体" w:hAnsi="黑体" w:eastAsia="黑体"/>
          <w:sz w:val="32"/>
        </w:rPr>
        <w:t>一、收入支出决算总体情况说明</w:t>
      </w:r>
    </w:p>
    <w:p w14:paraId="48550E33">
      <w:pPr>
        <w:spacing w:line="580" w:lineRule="exact"/>
        <w:ind w:firstLine="640"/>
        <w:jc w:val="both"/>
      </w:pPr>
      <w:r>
        <w:rPr>
          <w:rFonts w:ascii="仿宋_GB2312" w:hAnsi="仿宋_GB2312" w:eastAsia="仿宋_GB2312"/>
          <w:b/>
          <w:sz w:val="32"/>
        </w:rPr>
        <w:t>2024年度收入总计68.28万元，</w:t>
      </w:r>
      <w:r>
        <w:rPr>
          <w:rFonts w:ascii="仿宋_GB2312" w:hAnsi="仿宋_GB2312" w:eastAsia="仿宋_GB2312"/>
          <w:b w:val="0"/>
          <w:sz w:val="32"/>
        </w:rPr>
        <w:t>其中：本年收入合计67.77万元，使用非财政拨款结余（含专用结余）0.00万元，年初结转和结余0.51万元。</w:t>
      </w:r>
    </w:p>
    <w:p w14:paraId="2FD61D59">
      <w:pPr>
        <w:spacing w:line="580" w:lineRule="exact"/>
        <w:ind w:firstLine="640"/>
        <w:jc w:val="both"/>
      </w:pPr>
      <w:r>
        <w:rPr>
          <w:rFonts w:ascii="仿宋_GB2312" w:hAnsi="仿宋_GB2312" w:eastAsia="仿宋_GB2312"/>
          <w:b/>
          <w:sz w:val="32"/>
        </w:rPr>
        <w:t>2024年度支出总计68.28万元，</w:t>
      </w:r>
      <w:r>
        <w:rPr>
          <w:rFonts w:ascii="仿宋_GB2312" w:hAnsi="仿宋_GB2312" w:eastAsia="仿宋_GB2312"/>
          <w:b w:val="0"/>
          <w:sz w:val="32"/>
        </w:rPr>
        <w:t>其中：本年支出合计68.27万元，结余分配0.00万元，年末结转和结余0.02万元。</w:t>
      </w:r>
    </w:p>
    <w:p w14:paraId="5CB8222B">
      <w:pPr>
        <w:spacing w:line="580" w:lineRule="exact"/>
        <w:ind w:firstLine="640"/>
        <w:jc w:val="both"/>
        <w:rPr>
          <w:rFonts w:hint="eastAsia" w:eastAsia="仿宋_GB2312"/>
          <w:lang w:val="en-US" w:eastAsia="zh-CN"/>
        </w:rPr>
      </w:pPr>
      <w:r>
        <w:rPr>
          <w:rFonts w:ascii="仿宋_GB2312" w:hAnsi="仿宋_GB2312" w:eastAsia="仿宋_GB2312"/>
          <w:b w:val="0"/>
          <w:sz w:val="32"/>
        </w:rPr>
        <w:t>收入支出总体与上年相比，减少22.31万元，下降24.63%，主要原因是：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2023年补发以前年度各类奖金较多，2024年正常发放本年奖金，</w:t>
      </w:r>
      <w:r>
        <w:rPr>
          <w:rFonts w:hint="eastAsia" w:ascii="仿宋_GB2312" w:hAnsi="仿宋_GB2312" w:eastAsia="仿宋_GB2312"/>
          <w:b w:val="0"/>
          <w:sz w:val="32"/>
          <w:lang w:val="en-US" w:eastAsia="zh-CN"/>
        </w:rPr>
        <w:t>相关人员经费较上年</w:t>
      </w:r>
      <w:r>
        <w:rPr>
          <w:rFonts w:ascii="仿宋_GB2312" w:hAnsi="仿宋_GB2312" w:eastAsia="仿宋_GB2312"/>
          <w:b w:val="0"/>
          <w:sz w:val="32"/>
        </w:rPr>
        <w:t>减少</w:t>
      </w:r>
      <w:r>
        <w:rPr>
          <w:rFonts w:hint="eastAsia" w:ascii="仿宋_GB2312" w:hAnsi="仿宋_GB2312" w:eastAsia="仿宋_GB2312"/>
          <w:b w:val="0"/>
          <w:sz w:val="32"/>
          <w:lang w:eastAsia="zh-CN"/>
        </w:rPr>
        <w:t>。</w:t>
      </w:r>
    </w:p>
    <w:p w14:paraId="41ACCDF8">
      <w:pPr>
        <w:spacing w:line="640" w:lineRule="exact"/>
        <w:ind w:firstLine="640"/>
        <w:jc w:val="both"/>
        <w:outlineLvl w:val="2"/>
      </w:pPr>
      <w:r>
        <w:rPr>
          <w:rFonts w:ascii="黑体" w:hAnsi="黑体" w:eastAsia="黑体"/>
          <w:sz w:val="32"/>
        </w:rPr>
        <w:t>二、收入决算情况说明</w:t>
      </w:r>
    </w:p>
    <w:p w14:paraId="10F57418">
      <w:pPr>
        <w:spacing w:line="580" w:lineRule="exact"/>
        <w:ind w:firstLine="640"/>
        <w:jc w:val="both"/>
      </w:pPr>
      <w:r>
        <w:rPr>
          <w:rFonts w:ascii="仿宋_GB2312" w:hAnsi="仿宋_GB2312" w:eastAsia="仿宋_GB2312"/>
          <w:b/>
          <w:sz w:val="32"/>
        </w:rPr>
        <w:t>本年收入67.77万元，</w:t>
      </w:r>
      <w:r>
        <w:rPr>
          <w:rFonts w:ascii="仿宋_GB2312" w:hAnsi="仿宋_GB2312" w:eastAsia="仿宋_GB2312"/>
          <w:b w:val="0"/>
          <w:sz w:val="32"/>
        </w:rPr>
        <w:t>其中：财政拨款收入67.77万元，占100.00%；上级补助收入0.00万元，占0.00%；事业收入0.00万元，占0.00%；经营收入0.00万元，占0.00%；附属单位上缴收入0.00万元，占0.00%；其他收入0.00万元，占0.00%。</w:t>
      </w:r>
    </w:p>
    <w:p w14:paraId="7BACBDA6">
      <w:pPr>
        <w:spacing w:line="640" w:lineRule="exact"/>
        <w:ind w:firstLine="640"/>
        <w:jc w:val="both"/>
        <w:outlineLvl w:val="2"/>
      </w:pPr>
      <w:r>
        <w:rPr>
          <w:rFonts w:ascii="黑体" w:hAnsi="黑体" w:eastAsia="黑体"/>
          <w:sz w:val="32"/>
        </w:rPr>
        <w:t>三、支出决算情况说明</w:t>
      </w:r>
    </w:p>
    <w:p w14:paraId="26988E9F">
      <w:pPr>
        <w:spacing w:line="580" w:lineRule="exact"/>
        <w:ind w:firstLine="640"/>
        <w:jc w:val="both"/>
      </w:pPr>
      <w:r>
        <w:rPr>
          <w:rFonts w:ascii="仿宋_GB2312" w:hAnsi="仿宋_GB2312" w:eastAsia="仿宋_GB2312"/>
          <w:b/>
          <w:sz w:val="32"/>
        </w:rPr>
        <w:t>本年支出68.27万元，</w:t>
      </w:r>
      <w:r>
        <w:rPr>
          <w:rFonts w:ascii="仿宋_GB2312" w:hAnsi="仿宋_GB2312" w:eastAsia="仿宋_GB2312"/>
          <w:b w:val="0"/>
          <w:sz w:val="32"/>
        </w:rPr>
        <w:t>其中：基本支出60.13万元，占88.08%；项目支出8.14万元，占11.92%；上缴上级支出0.00万元，占0.00%；经营支出0.00万元，占0.00%；对附属单位补助支出0.00万元，占0.00%。</w:t>
      </w:r>
    </w:p>
    <w:p w14:paraId="2F84DB33">
      <w:pPr>
        <w:spacing w:line="640" w:lineRule="exact"/>
        <w:ind w:firstLine="640"/>
        <w:jc w:val="both"/>
        <w:outlineLvl w:val="2"/>
      </w:pPr>
      <w:r>
        <w:rPr>
          <w:rFonts w:ascii="黑体" w:hAnsi="黑体" w:eastAsia="黑体"/>
          <w:sz w:val="32"/>
        </w:rPr>
        <w:t>四、财政拨款收入支出决算总体情况说明</w:t>
      </w:r>
    </w:p>
    <w:p w14:paraId="03F87D99">
      <w:pPr>
        <w:spacing w:line="580" w:lineRule="exact"/>
        <w:ind w:firstLine="640"/>
        <w:jc w:val="both"/>
      </w:pPr>
      <w:r>
        <w:rPr>
          <w:rFonts w:ascii="仿宋_GB2312" w:hAnsi="仿宋_GB2312" w:eastAsia="仿宋_GB2312"/>
          <w:b/>
          <w:sz w:val="32"/>
        </w:rPr>
        <w:t>2024年度财政拨款收入总计67.77万元，</w:t>
      </w:r>
      <w:r>
        <w:rPr>
          <w:rFonts w:ascii="仿宋_GB2312" w:hAnsi="仿宋_GB2312" w:eastAsia="仿宋_GB2312"/>
          <w:b w:val="0"/>
          <w:sz w:val="32"/>
        </w:rPr>
        <w:t>其中：年初财政拨款结转和结余0.00万元，本年财政拨款收入67.77万元。</w:t>
      </w:r>
      <w:r>
        <w:rPr>
          <w:rFonts w:ascii="仿宋_GB2312" w:hAnsi="仿宋_GB2312" w:eastAsia="仿宋_GB2312"/>
          <w:b/>
          <w:sz w:val="32"/>
        </w:rPr>
        <w:t>财政拨款支出总计67.77万元，</w:t>
      </w:r>
      <w:r>
        <w:rPr>
          <w:rFonts w:ascii="仿宋_GB2312" w:hAnsi="仿宋_GB2312" w:eastAsia="仿宋_GB2312"/>
          <w:b w:val="0"/>
          <w:sz w:val="32"/>
        </w:rPr>
        <w:t>其中：年末财政拨款结转和结余0.00万元，本年财政拨款支出67.77万元。</w:t>
      </w:r>
    </w:p>
    <w:p w14:paraId="36D91E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减少14.60万元，下降17.72%，主要原因是：2023年补发以前年度各类奖金较多，2024年正常发放本年奖金，故较上年有所减少。</w:t>
      </w:r>
      <w:r>
        <w:rPr>
          <w:rFonts w:ascii="仿宋_GB2312" w:hAnsi="仿宋_GB2312" w:eastAsia="仿宋_GB2312"/>
          <w:b/>
          <w:sz w:val="32"/>
        </w:rPr>
        <w:t>与年初预算相比，</w:t>
      </w:r>
      <w:r>
        <w:rPr>
          <w:rFonts w:ascii="仿宋_GB2312" w:hAnsi="仿宋_GB2312" w:eastAsia="仿宋_GB2312"/>
          <w:b w:val="0"/>
          <w:sz w:val="32"/>
        </w:rPr>
        <w:t>年初预算数63.84万元，决算数67.77万元，预决算差异率6.16%，主要原因是：年中追加党史办编纂出版印制《吉木萨尔年鉴》2022刊和2023刊经费，导致预决算存在差异。</w:t>
      </w:r>
    </w:p>
    <w:p w14:paraId="71938BD0">
      <w:pPr>
        <w:spacing w:line="640" w:lineRule="exact"/>
        <w:ind w:firstLine="640"/>
        <w:jc w:val="both"/>
        <w:outlineLvl w:val="2"/>
      </w:pPr>
      <w:r>
        <w:rPr>
          <w:rFonts w:ascii="黑体" w:hAnsi="黑体" w:eastAsia="黑体"/>
          <w:sz w:val="32"/>
        </w:rPr>
        <w:t>五、一般公共预算财政拨款支出决算情况说明</w:t>
      </w:r>
    </w:p>
    <w:p w14:paraId="0000AEFC">
      <w:pPr>
        <w:spacing w:line="640" w:lineRule="exact"/>
        <w:ind w:firstLine="640"/>
        <w:jc w:val="both"/>
        <w:outlineLvl w:val="3"/>
      </w:pPr>
      <w:r>
        <w:rPr>
          <w:rFonts w:ascii="楷体_GB2312" w:hAnsi="楷体_GB2312" w:eastAsia="楷体_GB2312"/>
          <w:b/>
          <w:sz w:val="32"/>
        </w:rPr>
        <w:t>（一）一般公共预算财政拨款支出决算总体情况</w:t>
      </w:r>
    </w:p>
    <w:p w14:paraId="6BE809A5">
      <w:pPr>
        <w:spacing w:line="580" w:lineRule="exact"/>
        <w:ind w:firstLine="640"/>
        <w:jc w:val="both"/>
      </w:pPr>
      <w:r>
        <w:rPr>
          <w:rFonts w:ascii="仿宋_GB2312" w:hAnsi="仿宋_GB2312" w:eastAsia="仿宋_GB2312"/>
          <w:b/>
          <w:sz w:val="32"/>
        </w:rPr>
        <w:t>2024年度一般公共预算财政拨款支出67.77万元，</w:t>
      </w:r>
      <w:r>
        <w:rPr>
          <w:rFonts w:ascii="仿宋_GB2312" w:hAnsi="仿宋_GB2312" w:eastAsia="仿宋_GB2312"/>
          <w:b w:val="0"/>
          <w:sz w:val="32"/>
        </w:rPr>
        <w:t>占本年支出合计的99.27%。</w:t>
      </w:r>
      <w:r>
        <w:rPr>
          <w:rFonts w:ascii="仿宋_GB2312" w:hAnsi="仿宋_GB2312" w:eastAsia="仿宋_GB2312"/>
          <w:b/>
          <w:sz w:val="32"/>
        </w:rPr>
        <w:t>与上年相比，</w:t>
      </w:r>
      <w:r>
        <w:rPr>
          <w:rFonts w:ascii="仿宋_GB2312" w:hAnsi="仿宋_GB2312" w:eastAsia="仿宋_GB2312"/>
          <w:b w:val="0"/>
          <w:sz w:val="32"/>
        </w:rPr>
        <w:t>减少14.60万元，下降17.72%，主要原因是：2023年补发以前年度各类奖金较多，2024年正常发放本年奖金，故较上年有所减少。</w:t>
      </w:r>
      <w:r>
        <w:rPr>
          <w:rFonts w:ascii="仿宋_GB2312" w:hAnsi="仿宋_GB2312" w:eastAsia="仿宋_GB2312"/>
          <w:b/>
          <w:sz w:val="32"/>
        </w:rPr>
        <w:t>与年初预算相比,</w:t>
      </w:r>
      <w:r>
        <w:rPr>
          <w:rFonts w:ascii="仿宋_GB2312" w:hAnsi="仿宋_GB2312" w:eastAsia="仿宋_GB2312"/>
          <w:b w:val="0"/>
          <w:sz w:val="32"/>
        </w:rPr>
        <w:t>年初预算数63.84万元，决算数67.77万元，预决算差异率6.16%，主要原因是：年中追加党史办编纂出版印制《吉木萨尔年鉴》2022刊和2023刊经费，导致预决算存在差异。</w:t>
      </w:r>
    </w:p>
    <w:p w14:paraId="70E1C81F">
      <w:pPr>
        <w:spacing w:line="640" w:lineRule="exact"/>
        <w:ind w:firstLine="640"/>
        <w:jc w:val="both"/>
        <w:outlineLvl w:val="3"/>
      </w:pPr>
      <w:r>
        <w:rPr>
          <w:rFonts w:ascii="楷体_GB2312" w:hAnsi="楷体_GB2312" w:eastAsia="楷体_GB2312"/>
          <w:b/>
          <w:sz w:val="32"/>
        </w:rPr>
        <w:t>（二）一般公共预算财政拨款支出决算结构情况</w:t>
      </w:r>
    </w:p>
    <w:p w14:paraId="294B7AE9">
      <w:pPr>
        <w:spacing w:line="580" w:lineRule="exact"/>
        <w:ind w:firstLine="640"/>
        <w:jc w:val="both"/>
      </w:pPr>
      <w:r>
        <w:rPr>
          <w:rFonts w:ascii="仿宋_GB2312" w:hAnsi="仿宋_GB2312" w:eastAsia="仿宋_GB2312"/>
          <w:b w:val="0"/>
          <w:sz w:val="32"/>
        </w:rPr>
        <w:t>1.一般公共服务支出(类)46.59万元,占68.75%。</w:t>
      </w:r>
    </w:p>
    <w:p w14:paraId="734EC452">
      <w:pPr>
        <w:spacing w:line="580" w:lineRule="exact"/>
        <w:ind w:firstLine="640"/>
        <w:jc w:val="both"/>
      </w:pPr>
      <w:r>
        <w:rPr>
          <w:rFonts w:ascii="仿宋_GB2312" w:hAnsi="仿宋_GB2312" w:eastAsia="仿宋_GB2312"/>
          <w:b w:val="0"/>
          <w:sz w:val="32"/>
        </w:rPr>
        <w:t>2.科学技术支出(类)1.80万元,占2.66%。</w:t>
      </w:r>
    </w:p>
    <w:p w14:paraId="52403121">
      <w:pPr>
        <w:spacing w:line="580" w:lineRule="exact"/>
        <w:ind w:firstLine="640"/>
        <w:jc w:val="both"/>
      </w:pPr>
      <w:r>
        <w:rPr>
          <w:rFonts w:ascii="仿宋_GB2312" w:hAnsi="仿宋_GB2312" w:eastAsia="仿宋_GB2312"/>
          <w:b w:val="0"/>
          <w:sz w:val="32"/>
        </w:rPr>
        <w:t>3.社会保障和就业支出(类)12.80万元,占18.89%。</w:t>
      </w:r>
    </w:p>
    <w:p w14:paraId="1F6DDCDE">
      <w:pPr>
        <w:spacing w:line="580" w:lineRule="exact"/>
        <w:ind w:firstLine="640"/>
        <w:jc w:val="both"/>
      </w:pPr>
      <w:r>
        <w:rPr>
          <w:rFonts w:ascii="仿宋_GB2312" w:hAnsi="仿宋_GB2312" w:eastAsia="仿宋_GB2312"/>
          <w:b w:val="0"/>
          <w:sz w:val="32"/>
        </w:rPr>
        <w:t>4.卫生健康支出(类)2.73万元,占4.03%。</w:t>
      </w:r>
    </w:p>
    <w:p w14:paraId="2F4CDE95">
      <w:pPr>
        <w:spacing w:line="580" w:lineRule="exact"/>
        <w:ind w:firstLine="640"/>
        <w:jc w:val="both"/>
      </w:pPr>
      <w:r>
        <w:rPr>
          <w:rFonts w:ascii="仿宋_GB2312" w:hAnsi="仿宋_GB2312" w:eastAsia="仿宋_GB2312"/>
          <w:b w:val="0"/>
          <w:sz w:val="32"/>
        </w:rPr>
        <w:t>5.住房保障支出(类)3.85万元,占5.68%。</w:t>
      </w:r>
    </w:p>
    <w:p w14:paraId="3298758D">
      <w:pPr>
        <w:spacing w:line="640" w:lineRule="exact"/>
        <w:ind w:firstLine="640"/>
        <w:jc w:val="both"/>
        <w:outlineLvl w:val="3"/>
      </w:pPr>
      <w:r>
        <w:rPr>
          <w:rFonts w:ascii="楷体_GB2312" w:hAnsi="楷体_GB2312" w:eastAsia="楷体_GB2312"/>
          <w:b/>
          <w:sz w:val="32"/>
        </w:rPr>
        <w:t>（三）一般公共预算财政拨款支出决算具体情况</w:t>
      </w:r>
    </w:p>
    <w:p w14:paraId="772B523A">
      <w:pPr>
        <w:spacing w:line="580" w:lineRule="exact"/>
        <w:ind w:firstLine="640"/>
        <w:jc w:val="both"/>
      </w:pPr>
      <w:r>
        <w:rPr>
          <w:rFonts w:ascii="仿宋_GB2312" w:hAnsi="仿宋_GB2312" w:eastAsia="仿宋_GB2312"/>
          <w:b w:val="0"/>
          <w:sz w:val="32"/>
        </w:rPr>
        <w:t>1.一般公共服务支出(类)其他共产党事务支出(款)行政运行(项):支出决算数为38.45万元，比上年决算减少19.64万元，下降33.81%,主要原因是：2023年补发以前年度各类奖金较多，2024年正常发放本年奖金，故较上年有所减少。</w:t>
      </w:r>
    </w:p>
    <w:p w14:paraId="1DB52972">
      <w:pPr>
        <w:spacing w:line="580" w:lineRule="exact"/>
        <w:ind w:firstLine="640"/>
        <w:jc w:val="both"/>
      </w:pPr>
      <w:r>
        <w:rPr>
          <w:rFonts w:ascii="仿宋_GB2312" w:hAnsi="仿宋_GB2312" w:eastAsia="仿宋_GB2312"/>
          <w:b w:val="0"/>
          <w:sz w:val="32"/>
        </w:rPr>
        <w:t>2.一般公共服务支出(类)其他共产党事务支出(款)其他共产党事务支出(项):支出决算数为8.14万元，比上年决算增加4.04万元，增长98.54%,主要原因是：本年拨付吉木萨尔年鉴2022刊和2023刊经费，导致经费较上年增加。</w:t>
      </w:r>
    </w:p>
    <w:p w14:paraId="7B19E164">
      <w:pPr>
        <w:spacing w:line="580" w:lineRule="exact"/>
        <w:ind w:firstLine="640"/>
        <w:jc w:val="both"/>
      </w:pPr>
      <w:r>
        <w:rPr>
          <w:rFonts w:ascii="仿宋_GB2312" w:hAnsi="仿宋_GB2312" w:eastAsia="仿宋_GB2312"/>
          <w:b w:val="0"/>
          <w:sz w:val="32"/>
        </w:rPr>
        <w:t>3.科学技术支出(类)科技条件与服务(款)其他科技条件与服务支出(项):支出决算数为1.80万元，比上年决算增加1.80万元，增长100.00%,主要原因是：本年增加办公设备购置经费。</w:t>
      </w:r>
    </w:p>
    <w:p w14:paraId="08CA7E7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4.社会保障和就业支出(类)行政事业单位养老支出(款)行政单位离退休(项):支出决算数为5.70万元，比上年决算增加3.76万元，增长193.81%,主要原因是：本年增加退休人员基础绩效奖，退休费支出增加。</w:t>
      </w:r>
    </w:p>
    <w:p w14:paraId="52B7BD8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4.73万元，比上年决算减少1.52万元，下降24.32%,主要原因是：本年在职人员调入调出，人员职级不同，缴费基数不同，导致养老保险缴费较上年减少。</w:t>
      </w:r>
    </w:p>
    <w:p w14:paraId="7238C2BB">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2.37万元，比上年决算减少0.76万元，下降24.28%,主要原因是：本年在职人员调入调出，人员职级不同，缴费基数不同，导致职业年金缴费较上年减少。</w:t>
      </w:r>
    </w:p>
    <w:p w14:paraId="353C66ED">
      <w:pPr>
        <w:spacing w:line="580" w:lineRule="exact"/>
        <w:ind w:firstLine="640"/>
        <w:jc w:val="both"/>
      </w:pPr>
      <w:r>
        <w:rPr>
          <w:rFonts w:ascii="仿宋_GB2312" w:hAnsi="仿宋_GB2312" w:eastAsia="仿宋_GB2312"/>
          <w:b w:val="0"/>
          <w:sz w:val="32"/>
        </w:rPr>
        <w:t>7.卫生健康支出(类)行政事业单位医疗(款)行政单位医疗(项):支出决算数为2.57万元，比上年决算减少1.03万元，下降28.61%,主要原因是：本年在职人员调入调出，人员职级不同，缴费基数不同，导致行政单位医疗较上年减少。</w:t>
      </w:r>
    </w:p>
    <w:p w14:paraId="46672965">
      <w:pPr>
        <w:spacing w:line="580" w:lineRule="exact"/>
        <w:ind w:firstLine="640"/>
        <w:jc w:val="both"/>
      </w:pPr>
      <w:r>
        <w:rPr>
          <w:rFonts w:ascii="仿宋_GB2312" w:hAnsi="仿宋_GB2312" w:eastAsia="仿宋_GB2312"/>
          <w:b w:val="0"/>
          <w:sz w:val="32"/>
        </w:rPr>
        <w:t>8.卫生健康支出(类)行政事业单位医疗(款)公务员医疗补助(项):支出决算数为0.16万元，比上年决算减少0.09万元，下降36.00%,主要原因是：本年在职人员调入调出，人员职级不同，缴费基数不同，导致公务员医疗补助较上年减少。</w:t>
      </w:r>
    </w:p>
    <w:p w14:paraId="5A89BC75">
      <w:pPr>
        <w:spacing w:line="580" w:lineRule="exact"/>
        <w:ind w:firstLine="640"/>
        <w:jc w:val="both"/>
      </w:pPr>
      <w:r>
        <w:rPr>
          <w:rFonts w:ascii="仿宋_GB2312" w:hAnsi="仿宋_GB2312" w:eastAsia="仿宋_GB2312"/>
          <w:b w:val="0"/>
          <w:sz w:val="32"/>
        </w:rPr>
        <w:t>9.住房保障支出(类)住房改革支出(款)住房公积金(项):支出决算数为3.85万元，比上年决算减少1.17万元，下降23.31%,主要原因是：本年在职人员调入调出，人员职级不同，缴费基数不同，导致住房公积金较上年减少。</w:t>
      </w:r>
    </w:p>
    <w:p w14:paraId="3C3384D5">
      <w:pPr>
        <w:spacing w:line="640" w:lineRule="exact"/>
        <w:ind w:firstLine="640"/>
        <w:jc w:val="both"/>
        <w:outlineLvl w:val="2"/>
      </w:pPr>
      <w:r>
        <w:rPr>
          <w:rFonts w:ascii="黑体" w:hAnsi="黑体" w:eastAsia="黑体"/>
          <w:sz w:val="32"/>
        </w:rPr>
        <w:t>六、一般公共预算财政拨款基本支出决算情况说明</w:t>
      </w:r>
    </w:p>
    <w:p w14:paraId="5CBC69AC">
      <w:pPr>
        <w:spacing w:line="580" w:lineRule="exact"/>
        <w:ind w:firstLine="640"/>
        <w:jc w:val="both"/>
      </w:pPr>
      <w:r>
        <w:rPr>
          <w:rFonts w:ascii="仿宋_GB2312" w:hAnsi="仿宋_GB2312" w:eastAsia="仿宋_GB2312"/>
          <w:b w:val="0"/>
          <w:sz w:val="32"/>
        </w:rPr>
        <w:t>2024年度一般公共预算财政拨款基本支出59.64万元，其中：</w:t>
      </w:r>
      <w:r>
        <w:rPr>
          <w:rFonts w:ascii="仿宋_GB2312" w:hAnsi="仿宋_GB2312" w:eastAsia="仿宋_GB2312"/>
          <w:b/>
          <w:sz w:val="32"/>
        </w:rPr>
        <w:t>人员经费54.39万元，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7AB78119">
      <w:pPr>
        <w:spacing w:line="580" w:lineRule="exact"/>
        <w:ind w:firstLine="640"/>
        <w:jc w:val="both"/>
      </w:pPr>
      <w:r>
        <w:rPr>
          <w:rFonts w:ascii="仿宋_GB2312" w:hAnsi="仿宋_GB2312" w:eastAsia="仿宋_GB2312"/>
          <w:b/>
          <w:sz w:val="32"/>
        </w:rPr>
        <w:t>公用经费5.25万元，</w:t>
      </w:r>
      <w:r>
        <w:rPr>
          <w:rFonts w:ascii="仿宋_GB2312" w:hAnsi="仿宋_GB2312" w:eastAsia="仿宋_GB2312"/>
          <w:b w:val="0"/>
          <w:sz w:val="32"/>
        </w:rPr>
        <w:t>包括：办公费、印刷费、邮电费、劳务费、工会经费、其他商品和服务支出、办公设备购置。</w:t>
      </w:r>
    </w:p>
    <w:p w14:paraId="107CD202">
      <w:pPr>
        <w:spacing w:line="640" w:lineRule="exact"/>
        <w:ind w:firstLine="640"/>
        <w:jc w:val="both"/>
        <w:outlineLvl w:val="2"/>
      </w:pPr>
      <w:r>
        <w:rPr>
          <w:rFonts w:ascii="黑体" w:hAnsi="黑体" w:eastAsia="黑体"/>
          <w:sz w:val="32"/>
        </w:rPr>
        <w:t>七、政府性基金预算财政拨款收入支出决算情况说明</w:t>
      </w:r>
    </w:p>
    <w:p w14:paraId="70A1475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1D8577">
      <w:pPr>
        <w:spacing w:line="640" w:lineRule="exact"/>
        <w:ind w:firstLine="640"/>
        <w:jc w:val="both"/>
        <w:outlineLvl w:val="2"/>
      </w:pPr>
      <w:r>
        <w:rPr>
          <w:rFonts w:ascii="黑体" w:hAnsi="黑体" w:eastAsia="黑体"/>
          <w:sz w:val="32"/>
        </w:rPr>
        <w:t>八、国有资本经营预算财政拨款收入支出决算情况说明</w:t>
      </w:r>
    </w:p>
    <w:p w14:paraId="24C96DB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806968">
      <w:pPr>
        <w:spacing w:line="640" w:lineRule="exact"/>
        <w:ind w:firstLine="640"/>
        <w:jc w:val="both"/>
        <w:outlineLvl w:val="2"/>
      </w:pPr>
      <w:r>
        <w:rPr>
          <w:rFonts w:ascii="黑体" w:hAnsi="黑体" w:eastAsia="黑体"/>
          <w:sz w:val="32"/>
        </w:rPr>
        <w:t>九、财政拨款“三公”经费支出决算情况说明</w:t>
      </w:r>
    </w:p>
    <w:p w14:paraId="7208F85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FA4DACB">
      <w:pPr>
        <w:spacing w:line="580" w:lineRule="exact"/>
        <w:ind w:firstLine="640"/>
        <w:jc w:val="both"/>
      </w:pPr>
      <w:r>
        <w:rPr>
          <w:rFonts w:ascii="仿宋_GB2312" w:hAnsi="仿宋_GB2312" w:eastAsia="仿宋_GB2312"/>
          <w:b/>
          <w:sz w:val="32"/>
        </w:rPr>
        <w:t>具体情况如下：</w:t>
      </w:r>
    </w:p>
    <w:p w14:paraId="22C357C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A16C6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使用其他交通费用支出</w:t>
      </w:r>
      <w:r>
        <w:rPr>
          <w:rFonts w:ascii="仿宋_GB2312" w:hAnsi="仿宋_GB2312" w:eastAsia="仿宋_GB2312"/>
          <w:b w:val="0"/>
          <w:sz w:val="32"/>
        </w:rPr>
        <w:t>。</w:t>
      </w:r>
    </w:p>
    <w:p w14:paraId="6FF7667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BF3A8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CF329F7">
      <w:pPr>
        <w:spacing w:line="640" w:lineRule="exact"/>
        <w:ind w:firstLine="640"/>
        <w:jc w:val="both"/>
        <w:outlineLvl w:val="2"/>
      </w:pPr>
      <w:r>
        <w:rPr>
          <w:rFonts w:ascii="黑体" w:hAnsi="黑体" w:eastAsia="黑体"/>
          <w:sz w:val="32"/>
        </w:rPr>
        <w:t>十、其他重要事项的情况说明</w:t>
      </w:r>
    </w:p>
    <w:p w14:paraId="753194D2">
      <w:pPr>
        <w:spacing w:line="640" w:lineRule="exact"/>
        <w:ind w:firstLine="640"/>
        <w:jc w:val="both"/>
        <w:outlineLvl w:val="3"/>
      </w:pPr>
      <w:r>
        <w:rPr>
          <w:rFonts w:ascii="楷体_GB2312" w:hAnsi="楷体_GB2312" w:eastAsia="楷体_GB2312"/>
          <w:b/>
          <w:sz w:val="32"/>
        </w:rPr>
        <w:t>（一）机关运行经费及公用经费支出情况</w:t>
      </w:r>
    </w:p>
    <w:p w14:paraId="4E3EA9C5">
      <w:pPr>
        <w:spacing w:line="580" w:lineRule="exact"/>
        <w:ind w:firstLine="640"/>
        <w:jc w:val="both"/>
      </w:pPr>
      <w:r>
        <w:rPr>
          <w:rFonts w:ascii="仿宋_GB2312" w:hAnsi="仿宋_GB2312" w:eastAsia="仿宋_GB2312"/>
          <w:b w:val="0"/>
          <w:sz w:val="32"/>
        </w:rPr>
        <w:t>2024年度中共吉木萨尔县委员会党史和文献研究室（行政单位和参照公务员法管理事业单位）机关运行经费支出5.25万元，比上年增加0.96万元，增长22.38%，主要原因是：本年更新、维护补充办公用品，导致机关运行经费较上年增加。</w:t>
      </w:r>
    </w:p>
    <w:p w14:paraId="221293FF">
      <w:pPr>
        <w:spacing w:line="640" w:lineRule="exact"/>
        <w:ind w:firstLine="640"/>
        <w:jc w:val="both"/>
        <w:outlineLvl w:val="3"/>
      </w:pPr>
      <w:r>
        <w:rPr>
          <w:rFonts w:ascii="楷体_GB2312" w:hAnsi="楷体_GB2312" w:eastAsia="楷体_GB2312"/>
          <w:b/>
          <w:sz w:val="32"/>
        </w:rPr>
        <w:t>（二）政府采购情况</w:t>
      </w:r>
    </w:p>
    <w:p w14:paraId="5BF26CC8">
      <w:pPr>
        <w:spacing w:line="580" w:lineRule="exact"/>
        <w:ind w:firstLine="640"/>
        <w:jc w:val="both"/>
      </w:pPr>
      <w:r>
        <w:rPr>
          <w:rFonts w:ascii="仿宋_GB2312" w:hAnsi="仿宋_GB2312" w:eastAsia="仿宋_GB2312"/>
          <w:b w:val="0"/>
          <w:sz w:val="32"/>
        </w:rPr>
        <w:t>2024年度政府采购支出总额0.06万元，其中：政府采购货物支出0.00万元、政府采购工程支出0.00万元、政府采购服务支出0.06万元。</w:t>
      </w:r>
    </w:p>
    <w:p w14:paraId="33A024D8">
      <w:pPr>
        <w:spacing w:line="580" w:lineRule="exact"/>
        <w:ind w:firstLine="640"/>
        <w:jc w:val="both"/>
      </w:pPr>
      <w:r>
        <w:rPr>
          <w:rFonts w:ascii="仿宋_GB2312" w:hAnsi="仿宋_GB2312" w:eastAsia="仿宋_GB2312"/>
          <w:b w:val="0"/>
          <w:sz w:val="32"/>
        </w:rPr>
        <w:t>授予中小企业合同金额0.06万元，占政府采购支出总额的100.00%，其中：授予小微企业合同金额0.06万元，占政府采购支出总额的100.00%。</w:t>
      </w:r>
    </w:p>
    <w:p w14:paraId="1C5B82D5">
      <w:pPr>
        <w:spacing w:line="640" w:lineRule="exact"/>
        <w:ind w:firstLine="640"/>
        <w:jc w:val="both"/>
        <w:outlineLvl w:val="3"/>
      </w:pPr>
      <w:r>
        <w:rPr>
          <w:rFonts w:ascii="楷体_GB2312" w:hAnsi="楷体_GB2312" w:eastAsia="楷体_GB2312"/>
          <w:b/>
          <w:sz w:val="32"/>
        </w:rPr>
        <w:t>（三）国有资产占用情况说明</w:t>
      </w:r>
    </w:p>
    <w:p w14:paraId="304FA068">
      <w:pPr>
        <w:spacing w:line="580" w:lineRule="exact"/>
        <w:ind w:firstLine="640"/>
        <w:jc w:val="both"/>
      </w:pPr>
      <w:r>
        <w:rPr>
          <w:rFonts w:ascii="仿宋_GB2312" w:hAnsi="仿宋_GB2312" w:eastAsia="仿宋_GB2312"/>
          <w:b w:val="0"/>
          <w:sz w:val="32"/>
        </w:rPr>
        <w:t>截至2024年12月31日，房屋0.00平方米，价值0.00万元。车辆1辆，价值7.38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7E23B517">
      <w:pPr>
        <w:spacing w:line="640" w:lineRule="exact"/>
        <w:ind w:firstLine="640"/>
        <w:jc w:val="both"/>
        <w:outlineLvl w:val="2"/>
      </w:pPr>
      <w:r>
        <w:rPr>
          <w:rFonts w:ascii="黑体" w:hAnsi="黑体" w:eastAsia="黑体"/>
          <w:sz w:val="32"/>
        </w:rPr>
        <w:t>十一、预算绩效的情况说明</w:t>
      </w:r>
    </w:p>
    <w:p w14:paraId="2590048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68.28万元，实际执行总额68.26万元；预算绩效评价项目1个，全年预算数8.13万元，全年执行数8.13万元。预算绩效管理取得的成效：坚持党建引领，强化组织保证。坚持党史姓党，深刻领悟“两个确立”的决定性意义，切实增强“两个维护”的自觉性和坚定性。坚持用制度管人、制度办事，建立健全财务等4类规章制度。发现的问题及原因：一是县委党研室干部</w:t>
      </w:r>
      <w:r>
        <w:rPr>
          <w:rFonts w:hint="eastAsia" w:ascii="仿宋_GB2312" w:hAnsi="仿宋_GB2312" w:eastAsia="仿宋_GB2312"/>
          <w:b w:val="0"/>
          <w:sz w:val="32"/>
          <w:lang w:eastAsia="zh-CN"/>
        </w:rPr>
        <w:t>专业</w:t>
      </w:r>
      <w:r>
        <w:rPr>
          <w:rFonts w:ascii="仿宋_GB2312" w:hAnsi="仿宋_GB2312" w:eastAsia="仿宋_GB2312"/>
          <w:b w:val="0"/>
          <w:sz w:val="32"/>
        </w:rPr>
        <w:t>能力有待进一步增强，需要进一步提升自身理论水平和业务水平。二是党史研究以史鉴今、资政育人的作用发挥不够，党史宣教工作力度仍</w:t>
      </w:r>
      <w:r>
        <w:rPr>
          <w:rFonts w:hint="eastAsia" w:ascii="仿宋_GB2312" w:hAnsi="仿宋_GB2312" w:eastAsia="仿宋_GB2312"/>
          <w:b w:val="0"/>
          <w:sz w:val="32"/>
          <w:lang w:eastAsia="zh-CN"/>
        </w:rPr>
        <w:t>需</w:t>
      </w:r>
      <w:r>
        <w:rPr>
          <w:rFonts w:ascii="仿宋_GB2312" w:hAnsi="仿宋_GB2312" w:eastAsia="仿宋_GB2312"/>
          <w:b w:val="0"/>
          <w:sz w:val="32"/>
        </w:rPr>
        <w:t>加强，对县域内红色资源挖掘利用不足。三是党史编研主动深入基层调研较少，党史大事记等部分</w:t>
      </w:r>
      <w:r>
        <w:rPr>
          <w:rFonts w:hint="eastAsia" w:ascii="仿宋_GB2312" w:hAnsi="仿宋_GB2312" w:eastAsia="仿宋_GB2312"/>
          <w:b w:val="0"/>
          <w:sz w:val="32"/>
          <w:lang w:eastAsia="zh-CN"/>
        </w:rPr>
        <w:t>书籍</w:t>
      </w:r>
      <w:r>
        <w:rPr>
          <w:rFonts w:ascii="仿宋_GB2312" w:hAnsi="仿宋_GB2312" w:eastAsia="仿宋_GB2312"/>
          <w:b w:val="0"/>
          <w:sz w:val="32"/>
        </w:rPr>
        <w:t>出版不及时。下一步改进措施：一是对县域内的红色遗址进行普查，重点做好新地乡工业遗址、大有镇三线遗址资料征集和亲历者的口述资料整理，为下一步保护和开发利用做好基础工作。二是扎实做好党史资料征编利用，推进地方党史和地情研究，编纂党史大事记。三是深化与县委宣传部、统战部、北庭学研究院协作，开展铸牢中华民族共同体意识教育基地北庭故城专题研究。四是完成《吉木萨尔年鉴（2024刊）》出版印刷，筹备《吉木萨尔年鉴（2025刊）》撰稿员培训和资料征集工作。具体附整体支出绩效自评表，项目支出绩效自评表。</w:t>
      </w:r>
    </w:p>
    <w:p w14:paraId="7F3F1B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337"/>
        <w:gridCol w:w="629"/>
        <w:gridCol w:w="983"/>
        <w:gridCol w:w="983"/>
      </w:tblGrid>
      <w:tr w14:paraId="33044B9A">
        <w:tblPrEx>
          <w:tblCellMar>
            <w:top w:w="0" w:type="dxa"/>
            <w:left w:w="108" w:type="dxa"/>
            <w:bottom w:w="0" w:type="dxa"/>
            <w:right w:w="108" w:type="dxa"/>
          </w:tblCellMar>
        </w:tblPrEx>
        <w:tc>
          <w:tcPr>
            <w:tcW w:w="8847" w:type="dxa"/>
            <w:gridSpan w:val="9"/>
            <w:vAlign w:val="center"/>
          </w:tcPr>
          <w:p w14:paraId="5791DB43">
            <w:pPr>
              <w:jc w:val="center"/>
            </w:pPr>
            <w:r>
              <w:rPr>
                <w:rFonts w:ascii="宋体" w:hAnsi="宋体" w:eastAsia="宋体"/>
                <w:sz w:val="24"/>
              </w:rPr>
              <w:t>单位整体支出绩效自评表</w:t>
            </w:r>
          </w:p>
        </w:tc>
      </w:tr>
      <w:tr w14:paraId="7FE12D41">
        <w:tblPrEx>
          <w:tblCellMar>
            <w:top w:w="0" w:type="dxa"/>
            <w:left w:w="108" w:type="dxa"/>
            <w:bottom w:w="0" w:type="dxa"/>
            <w:right w:w="108" w:type="dxa"/>
          </w:tblCellMar>
        </w:tblPrEx>
        <w:tc>
          <w:tcPr>
            <w:tcW w:w="8847" w:type="dxa"/>
            <w:gridSpan w:val="9"/>
            <w:vAlign w:val="center"/>
          </w:tcPr>
          <w:p w14:paraId="12538C3C">
            <w:pPr>
              <w:jc w:val="center"/>
            </w:pPr>
            <w:r>
              <w:rPr>
                <w:rFonts w:ascii="宋体" w:hAnsi="宋体" w:eastAsia="宋体"/>
                <w:sz w:val="24"/>
              </w:rPr>
              <w:t>（2024年度）</w:t>
            </w:r>
          </w:p>
        </w:tc>
      </w:tr>
      <w:tr w14:paraId="6074D0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C38A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96BA1F">
            <w:pPr>
              <w:jc w:val="center"/>
            </w:pPr>
            <w:r>
              <w:rPr>
                <w:rFonts w:ascii="宋体" w:hAnsi="宋体" w:eastAsia="宋体"/>
                <w:sz w:val="16"/>
              </w:rPr>
              <w:t>中共吉木萨尔县委员会党史和文献研究室</w:t>
            </w:r>
          </w:p>
        </w:tc>
      </w:tr>
      <w:tr w14:paraId="4E9EA1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7CD63">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DD9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8AD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EAD5B">
            <w:pPr>
              <w:jc w:val="center"/>
            </w:pPr>
            <w:r>
              <w:rPr>
                <w:rFonts w:ascii="宋体" w:hAnsi="宋体" w:eastAsia="宋体"/>
                <w:sz w:val="16"/>
              </w:rPr>
              <w:t>全年预算数</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193D628D">
            <w:pPr>
              <w:jc w:val="center"/>
            </w:pPr>
            <w:r>
              <w:rPr>
                <w:rFonts w:ascii="宋体" w:hAnsi="宋体" w:eastAsia="宋体"/>
                <w:sz w:val="16"/>
              </w:rPr>
              <w:t>全年执行数</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44DAD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93E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4C46">
            <w:pPr>
              <w:jc w:val="center"/>
            </w:pPr>
            <w:r>
              <w:rPr>
                <w:rFonts w:ascii="宋体" w:hAnsi="宋体" w:eastAsia="宋体"/>
                <w:sz w:val="16"/>
              </w:rPr>
              <w:t>得分</w:t>
            </w:r>
          </w:p>
        </w:tc>
      </w:tr>
      <w:tr w14:paraId="44B1B4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644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7E0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A98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B608D">
            <w:pPr>
              <w:jc w:val="center"/>
            </w:pPr>
            <w:r>
              <w:rPr>
                <w:rFonts w:ascii="宋体" w:hAnsi="宋体" w:eastAsia="宋体"/>
                <w:sz w:val="16"/>
              </w:rPr>
              <w:t>0.00</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25B94B56">
            <w:pPr>
              <w:jc w:val="center"/>
            </w:pPr>
            <w:r>
              <w:rPr>
                <w:rFonts w:ascii="宋体" w:hAnsi="宋体" w:eastAsia="宋体"/>
                <w:sz w:val="16"/>
              </w:rPr>
              <w:t>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7BDD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C60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CFB4E">
            <w:pPr>
              <w:jc w:val="center"/>
            </w:pPr>
            <w:r>
              <w:rPr>
                <w:rFonts w:ascii="宋体" w:hAnsi="宋体" w:eastAsia="宋体"/>
                <w:sz w:val="16"/>
              </w:rPr>
              <w:t>-</w:t>
            </w:r>
          </w:p>
        </w:tc>
      </w:tr>
      <w:tr w14:paraId="1893FD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1E6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3BB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DA757">
            <w:pPr>
              <w:jc w:val="center"/>
            </w:pPr>
            <w:r>
              <w:rPr>
                <w:rFonts w:ascii="宋体" w:hAnsi="宋体" w:eastAsia="宋体"/>
                <w:sz w:val="16"/>
              </w:rPr>
              <w:t>63.84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F431">
            <w:pPr>
              <w:jc w:val="center"/>
            </w:pPr>
            <w:r>
              <w:rPr>
                <w:rFonts w:ascii="宋体" w:hAnsi="宋体" w:eastAsia="宋体"/>
                <w:sz w:val="16"/>
              </w:rPr>
              <w:t>67.77</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361BE7E3">
            <w:pPr>
              <w:jc w:val="center"/>
            </w:pPr>
            <w:r>
              <w:rPr>
                <w:rFonts w:ascii="宋体" w:hAnsi="宋体" w:eastAsia="宋体"/>
                <w:sz w:val="16"/>
              </w:rPr>
              <w:t>67.77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E2C31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E98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AF10">
            <w:pPr>
              <w:jc w:val="center"/>
            </w:pPr>
            <w:r>
              <w:rPr>
                <w:rFonts w:ascii="宋体" w:hAnsi="宋体" w:eastAsia="宋体"/>
                <w:sz w:val="16"/>
              </w:rPr>
              <w:t>-</w:t>
            </w:r>
          </w:p>
        </w:tc>
      </w:tr>
      <w:tr w14:paraId="5D4941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719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AAC4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E4F4">
            <w:pPr>
              <w:jc w:val="center"/>
            </w:pPr>
            <w:r>
              <w:rPr>
                <w:rFonts w:ascii="宋体" w:hAnsi="宋体" w:eastAsia="宋体"/>
                <w:sz w:val="16"/>
              </w:rPr>
              <w:t>8.03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13D23">
            <w:pPr>
              <w:jc w:val="center"/>
            </w:pPr>
            <w:r>
              <w:rPr>
                <w:rFonts w:ascii="宋体" w:hAnsi="宋体" w:eastAsia="宋体"/>
                <w:sz w:val="16"/>
              </w:rPr>
              <w:t>0.51</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7769C82E">
            <w:pPr>
              <w:jc w:val="center"/>
            </w:pPr>
            <w:r>
              <w:rPr>
                <w:rFonts w:ascii="宋体" w:hAnsi="宋体" w:eastAsia="宋体"/>
                <w:sz w:val="16"/>
              </w:rPr>
              <w:t>0.49</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2A5F2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18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39824">
            <w:pPr>
              <w:jc w:val="center"/>
            </w:pPr>
            <w:r>
              <w:rPr>
                <w:rFonts w:ascii="宋体" w:hAnsi="宋体" w:eastAsia="宋体"/>
                <w:sz w:val="16"/>
              </w:rPr>
              <w:t>-</w:t>
            </w:r>
          </w:p>
        </w:tc>
      </w:tr>
      <w:tr w14:paraId="7A145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B16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05E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1DBF">
            <w:pPr>
              <w:jc w:val="center"/>
            </w:pPr>
            <w:r>
              <w:rPr>
                <w:rFonts w:ascii="宋体" w:hAnsi="宋体" w:eastAsia="宋体"/>
                <w:sz w:val="16"/>
              </w:rPr>
              <w:t>71.87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9858">
            <w:pPr>
              <w:jc w:val="center"/>
            </w:pPr>
            <w:r>
              <w:rPr>
                <w:rFonts w:ascii="宋体" w:hAnsi="宋体" w:eastAsia="宋体"/>
                <w:sz w:val="16"/>
              </w:rPr>
              <w:t>68.28</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13FEB332">
            <w:pPr>
              <w:jc w:val="center"/>
            </w:pPr>
            <w:r>
              <w:rPr>
                <w:rFonts w:ascii="宋体" w:hAnsi="宋体" w:eastAsia="宋体"/>
                <w:sz w:val="16"/>
              </w:rPr>
              <w:t>68.26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9275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3F077">
            <w:pPr>
              <w:jc w:val="center"/>
            </w:pPr>
            <w:r>
              <w:rPr>
                <w:rFonts w:ascii="宋体" w:hAnsi="宋体" w:eastAsia="宋体"/>
                <w:sz w:val="16"/>
              </w:rPr>
              <w:t>99.97%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79695">
            <w:pPr>
              <w:jc w:val="center"/>
            </w:pPr>
            <w:r>
              <w:rPr>
                <w:rFonts w:ascii="宋体" w:hAnsi="宋体" w:eastAsia="宋体"/>
                <w:sz w:val="16"/>
              </w:rPr>
              <w:t>10</w:t>
            </w:r>
          </w:p>
        </w:tc>
      </w:tr>
      <w:tr w14:paraId="1FB15A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0FD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B2A7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914DE">
            <w:pPr>
              <w:jc w:val="center"/>
            </w:pPr>
            <w:r>
              <w:rPr>
                <w:rFonts w:ascii="宋体" w:hAnsi="宋体" w:eastAsia="宋体"/>
                <w:sz w:val="16"/>
              </w:rPr>
              <w:t>实际完成情况</w:t>
            </w:r>
          </w:p>
        </w:tc>
      </w:tr>
      <w:tr w14:paraId="5868E8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FE2E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E0DAB4">
            <w:pPr>
              <w:jc w:val="both"/>
            </w:pPr>
            <w:r>
              <w:rPr>
                <w:rFonts w:ascii="宋体" w:hAnsi="宋体" w:eastAsia="宋体"/>
                <w:sz w:val="16"/>
              </w:rPr>
              <w:t>保障本单位3名在职人员工资、津贴、社保、医保、住房公积金和6名退休人员交通补助、独生子女奖励金；保障本单位办公费、工会经费等运行费用正常运转；保障年鉴编辑出版业务工作的正常开展。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F2FC9A">
            <w:pPr>
              <w:jc w:val="both"/>
            </w:pPr>
            <w:r>
              <w:rPr>
                <w:rFonts w:ascii="宋体" w:hAnsi="宋体" w:eastAsia="宋体"/>
                <w:sz w:val="16"/>
              </w:rPr>
              <w:t>单位全年预算数为68.28万元，全年实际支出资金68.26万元，预算执行率为99.97%，其中：基本支出全年预算数为60.15万元，实际支出资金60.13万元；项目支出全年预算数为8.14万元，实际支出资金8.14万元。聚焦主责主业，开展地方党史编研。以铸牢中华民族共同体意识为主线，做好研究阐释工作。做好党史资料征集，编纂我县党史大事记。细化任务落实，提升编纂水平。</w:t>
            </w:r>
            <w:r>
              <w:rPr>
                <w:rFonts w:hint="eastAsia" w:ascii="宋体" w:hAnsi="宋体"/>
                <w:sz w:val="16"/>
                <w:lang w:eastAsia="zh-CN"/>
              </w:rPr>
              <w:t>开展</w:t>
            </w:r>
            <w:r>
              <w:rPr>
                <w:rFonts w:ascii="宋体" w:hAnsi="宋体" w:eastAsia="宋体"/>
                <w:sz w:val="16"/>
              </w:rPr>
              <w:t>“精品年鉴品读”活动，邀请区州专家开展年鉴编纂业务培训，完善年鉴编纂工作机制，不断提升年鉴编纂水平。挖掘红色资源，开展党史宣传教育。结合《党史</w:t>
            </w:r>
            <w:r>
              <w:rPr>
                <w:rFonts w:hint="eastAsia" w:ascii="宋体" w:hAnsi="宋体"/>
                <w:sz w:val="16"/>
                <w:lang w:eastAsia="zh-CN"/>
              </w:rPr>
              <w:t>主题</w:t>
            </w:r>
            <w:r>
              <w:rPr>
                <w:rFonts w:ascii="宋体" w:hAnsi="宋体" w:eastAsia="宋体"/>
                <w:sz w:val="16"/>
              </w:rPr>
              <w:t>教育工作条例》宣传开展宣讲活动，推动全社会学好党史、用好党史，从党的历史中汲取智慧和力量。</w:t>
            </w:r>
          </w:p>
        </w:tc>
      </w:tr>
      <w:tr w14:paraId="4096E1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EF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4009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6A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BD227">
            <w:pPr>
              <w:jc w:val="center"/>
            </w:pPr>
            <w:r>
              <w:rPr>
                <w:rFonts w:ascii="宋体" w:hAnsi="宋体" w:eastAsia="宋体"/>
                <w:sz w:val="16"/>
              </w:rPr>
              <w:t>预期指标值</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5046DC7C">
            <w:pPr>
              <w:jc w:val="center"/>
            </w:pPr>
            <w:r>
              <w:rPr>
                <w:rFonts w:ascii="宋体" w:hAnsi="宋体" w:eastAsia="宋体"/>
                <w:sz w:val="16"/>
              </w:rPr>
              <w:t>指标值设定依据</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679D0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AA76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D88B">
            <w:pPr>
              <w:jc w:val="center"/>
            </w:pPr>
            <w:r>
              <w:rPr>
                <w:rFonts w:ascii="宋体" w:hAnsi="宋体" w:eastAsia="宋体"/>
                <w:sz w:val="16"/>
              </w:rPr>
              <w:t>得分</w:t>
            </w:r>
          </w:p>
        </w:tc>
      </w:tr>
      <w:tr w14:paraId="255D69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C2F5">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04E8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BA5C">
            <w:pPr>
              <w:jc w:val="center"/>
            </w:pPr>
            <w:r>
              <w:rPr>
                <w:rFonts w:ascii="宋体" w:hAnsi="宋体" w:eastAsia="宋体"/>
                <w:sz w:val="16"/>
              </w:rPr>
              <w:t>党史办在职在编人员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59E95">
            <w:pPr>
              <w:jc w:val="center"/>
            </w:pPr>
            <w:r>
              <w:rPr>
                <w:rFonts w:ascii="宋体" w:hAnsi="宋体" w:eastAsia="宋体"/>
                <w:sz w:val="16"/>
              </w:rPr>
              <w:t>&gt;=3人</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65E176EC">
            <w:pPr>
              <w:jc w:val="center"/>
            </w:pPr>
            <w:r>
              <w:rPr>
                <w:rFonts w:ascii="宋体" w:hAnsi="宋体" w:eastAsia="宋体"/>
                <w:sz w:val="16"/>
              </w:rPr>
              <w:t>2023年决算报表</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6A696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0C370">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D2458">
            <w:pPr>
              <w:jc w:val="center"/>
            </w:pPr>
            <w:r>
              <w:rPr>
                <w:rFonts w:ascii="宋体" w:hAnsi="宋体" w:eastAsia="宋体"/>
                <w:sz w:val="16"/>
              </w:rPr>
              <w:t>5</w:t>
            </w:r>
          </w:p>
        </w:tc>
      </w:tr>
      <w:tr w14:paraId="46904A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65C6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9E9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6D07">
            <w:pPr>
              <w:jc w:val="center"/>
            </w:pPr>
            <w:r>
              <w:rPr>
                <w:rFonts w:ascii="宋体" w:hAnsi="宋体" w:eastAsia="宋体"/>
                <w:sz w:val="16"/>
              </w:rPr>
              <w:t>完成《吉木萨尔县年鉴（2024）刊》编辑工作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314D5">
            <w:pPr>
              <w:jc w:val="center"/>
            </w:pPr>
            <w:r>
              <w:rPr>
                <w:rFonts w:ascii="宋体" w:hAnsi="宋体" w:eastAsia="宋体"/>
                <w:sz w:val="16"/>
              </w:rPr>
              <w:t>&gt;=1次</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62AB3A7E">
            <w:pPr>
              <w:jc w:val="center"/>
            </w:pPr>
            <w:r>
              <w:rPr>
                <w:rFonts w:ascii="宋体" w:hAnsi="宋体" w:eastAsia="宋体"/>
                <w:sz w:val="16"/>
              </w:rPr>
              <w:t>党史办2024年工作计划</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5C8DABE">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BFD6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3CB6">
            <w:pPr>
              <w:jc w:val="center"/>
            </w:pPr>
            <w:r>
              <w:rPr>
                <w:rFonts w:ascii="宋体" w:hAnsi="宋体" w:eastAsia="宋体"/>
                <w:sz w:val="16"/>
              </w:rPr>
              <w:t>25</w:t>
            </w:r>
          </w:p>
        </w:tc>
      </w:tr>
      <w:tr w14:paraId="7B94DB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E58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8E3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F9BD">
            <w:pPr>
              <w:jc w:val="center"/>
            </w:pPr>
            <w:r>
              <w:rPr>
                <w:rFonts w:ascii="宋体" w:hAnsi="宋体" w:eastAsia="宋体"/>
                <w:sz w:val="16"/>
              </w:rPr>
              <w:t>完成《新疆年鉴》编辑的供稿任务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8BF0E">
            <w:pPr>
              <w:jc w:val="center"/>
            </w:pPr>
            <w:r>
              <w:rPr>
                <w:rFonts w:ascii="宋体" w:hAnsi="宋体" w:eastAsia="宋体"/>
                <w:sz w:val="16"/>
              </w:rPr>
              <w:t>&gt;=1次</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2DD7C0B9">
            <w:pPr>
              <w:jc w:val="center"/>
            </w:pPr>
            <w:r>
              <w:rPr>
                <w:rFonts w:ascii="宋体" w:hAnsi="宋体" w:eastAsia="宋体"/>
                <w:sz w:val="16"/>
              </w:rPr>
              <w:t>党史办2024年工作计划</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FAC568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8D1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C036D">
            <w:pPr>
              <w:jc w:val="center"/>
            </w:pPr>
            <w:r>
              <w:rPr>
                <w:rFonts w:ascii="宋体" w:hAnsi="宋体" w:eastAsia="宋体"/>
                <w:sz w:val="16"/>
              </w:rPr>
              <w:t>15</w:t>
            </w:r>
          </w:p>
        </w:tc>
      </w:tr>
      <w:tr w14:paraId="679964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FF1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602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4E84">
            <w:pPr>
              <w:jc w:val="center"/>
            </w:pPr>
            <w:r>
              <w:rPr>
                <w:rFonts w:ascii="宋体" w:hAnsi="宋体" w:eastAsia="宋体"/>
                <w:sz w:val="16"/>
              </w:rPr>
              <w:t>完成《昌吉年鉴》供稿任务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80FD1">
            <w:pPr>
              <w:jc w:val="center"/>
            </w:pPr>
            <w:r>
              <w:rPr>
                <w:rFonts w:ascii="宋体" w:hAnsi="宋体" w:eastAsia="宋体"/>
                <w:sz w:val="16"/>
              </w:rPr>
              <w:t>&gt;=1次</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15B8167A">
            <w:pPr>
              <w:jc w:val="center"/>
            </w:pPr>
            <w:r>
              <w:rPr>
                <w:rFonts w:ascii="宋体" w:hAnsi="宋体" w:eastAsia="宋体"/>
                <w:sz w:val="16"/>
              </w:rPr>
              <w:t>党史办2024年工作计划</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79126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5430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042E5">
            <w:pPr>
              <w:jc w:val="center"/>
            </w:pPr>
            <w:r>
              <w:rPr>
                <w:rFonts w:ascii="宋体" w:hAnsi="宋体" w:eastAsia="宋体"/>
                <w:sz w:val="16"/>
              </w:rPr>
              <w:t>10</w:t>
            </w:r>
          </w:p>
        </w:tc>
      </w:tr>
      <w:tr w14:paraId="1F5855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737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B3C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2066">
            <w:pPr>
              <w:jc w:val="center"/>
            </w:pPr>
            <w:r>
              <w:rPr>
                <w:rFonts w:ascii="宋体" w:hAnsi="宋体" w:eastAsia="宋体"/>
                <w:sz w:val="16"/>
              </w:rPr>
              <w:t>向相关单位赠送地方志书4大类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E9DF">
            <w:pPr>
              <w:jc w:val="center"/>
            </w:pPr>
            <w:r>
              <w:rPr>
                <w:rFonts w:ascii="宋体" w:hAnsi="宋体" w:eastAsia="宋体"/>
                <w:sz w:val="16"/>
              </w:rPr>
              <w:t>&gt;=230本</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36ECF72E">
            <w:pPr>
              <w:jc w:val="center"/>
            </w:pPr>
            <w:r>
              <w:rPr>
                <w:rFonts w:ascii="宋体" w:hAnsi="宋体" w:eastAsia="宋体"/>
                <w:sz w:val="16"/>
              </w:rPr>
              <w:t>党史办2024年工作计划</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F3ADA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774F3">
            <w:pPr>
              <w:jc w:val="center"/>
            </w:pPr>
            <w:r>
              <w:rPr>
                <w:rFonts w:ascii="宋体" w:hAnsi="宋体" w:eastAsia="宋体"/>
                <w:sz w:val="16"/>
              </w:rPr>
              <w:t>230本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CEDB5">
            <w:pPr>
              <w:jc w:val="center"/>
            </w:pPr>
            <w:r>
              <w:rPr>
                <w:rFonts w:ascii="宋体" w:hAnsi="宋体" w:eastAsia="宋体"/>
                <w:sz w:val="16"/>
              </w:rPr>
              <w:t>8</w:t>
            </w:r>
          </w:p>
        </w:tc>
      </w:tr>
      <w:tr w14:paraId="0037FA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13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731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FFE75">
            <w:pPr>
              <w:jc w:val="center"/>
            </w:pPr>
            <w:r>
              <w:rPr>
                <w:rFonts w:ascii="宋体" w:hAnsi="宋体" w:eastAsia="宋体"/>
                <w:sz w:val="16"/>
              </w:rPr>
              <w:t>为县博物馆赠书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8C9D8">
            <w:pPr>
              <w:jc w:val="center"/>
            </w:pPr>
            <w:r>
              <w:rPr>
                <w:rFonts w:ascii="宋体" w:hAnsi="宋体" w:eastAsia="宋体"/>
                <w:sz w:val="16"/>
              </w:rPr>
              <w:t>&gt;=5套</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0FA227EA">
            <w:pPr>
              <w:jc w:val="center"/>
            </w:pPr>
            <w:r>
              <w:rPr>
                <w:rFonts w:ascii="宋体" w:hAnsi="宋体" w:eastAsia="宋体"/>
                <w:sz w:val="16"/>
              </w:rPr>
              <w:t>党史办2024年工作计划</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5C34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2E548">
            <w:pPr>
              <w:jc w:val="center"/>
            </w:pPr>
            <w:r>
              <w:rPr>
                <w:rFonts w:ascii="宋体" w:hAnsi="宋体" w:eastAsia="宋体"/>
                <w:sz w:val="16"/>
              </w:rPr>
              <w:t>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1C125">
            <w:pPr>
              <w:jc w:val="center"/>
            </w:pPr>
            <w:r>
              <w:rPr>
                <w:rFonts w:ascii="宋体" w:hAnsi="宋体" w:eastAsia="宋体"/>
                <w:sz w:val="16"/>
              </w:rPr>
              <w:t>7</w:t>
            </w:r>
          </w:p>
        </w:tc>
      </w:tr>
      <w:tr w14:paraId="48386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47A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196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6BCD7">
            <w:pPr>
              <w:jc w:val="center"/>
            </w:pPr>
            <w:r>
              <w:rPr>
                <w:rFonts w:ascii="宋体" w:hAnsi="宋体" w:eastAsia="宋体"/>
                <w:sz w:val="16"/>
              </w:rPr>
              <w:t>吉木萨尔县零距离上稿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5DDF">
            <w:pPr>
              <w:jc w:val="center"/>
            </w:pPr>
            <w:r>
              <w:rPr>
                <w:rFonts w:ascii="宋体" w:hAnsi="宋体" w:eastAsia="宋体"/>
                <w:sz w:val="16"/>
              </w:rPr>
              <w:t>&gt;=1篇</w:t>
            </w:r>
          </w:p>
        </w:tc>
        <w:tc>
          <w:tcPr>
            <w:tcW w:w="1337" w:type="dxa"/>
            <w:tcBorders>
              <w:top w:val="single" w:color="auto" w:sz="10" w:space="0"/>
              <w:left w:val="single" w:color="auto" w:sz="10" w:space="0"/>
              <w:bottom w:val="single" w:color="auto" w:sz="10" w:space="0"/>
              <w:right w:val="single" w:color="auto" w:sz="10" w:space="0"/>
              <w:insideV w:val="single" w:sz="10" w:space="0"/>
            </w:tcBorders>
            <w:vAlign w:val="center"/>
          </w:tcPr>
          <w:p w14:paraId="6F6BC918">
            <w:pPr>
              <w:jc w:val="center"/>
            </w:pPr>
            <w:r>
              <w:rPr>
                <w:rFonts w:ascii="宋体" w:hAnsi="宋体" w:eastAsia="宋体"/>
                <w:sz w:val="16"/>
              </w:rPr>
              <w:t>党史办2024年工作计划</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4B6A03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805E">
            <w:pPr>
              <w:jc w:val="center"/>
            </w:pPr>
            <w:r>
              <w:rPr>
                <w:rFonts w:ascii="宋体" w:hAnsi="宋体" w:eastAsia="宋体"/>
                <w:sz w:val="16"/>
              </w:rPr>
              <w:t>1篇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318A5">
            <w:pPr>
              <w:jc w:val="center"/>
            </w:pPr>
            <w:r>
              <w:rPr>
                <w:rFonts w:ascii="宋体" w:hAnsi="宋体" w:eastAsia="宋体"/>
                <w:sz w:val="16"/>
              </w:rPr>
              <w:t>20</w:t>
            </w:r>
          </w:p>
        </w:tc>
      </w:tr>
    </w:tbl>
    <w:p w14:paraId="75D41D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532"/>
        <w:gridCol w:w="100"/>
        <w:gridCol w:w="632"/>
      </w:tblGrid>
      <w:tr w14:paraId="775A0766">
        <w:tblPrEx>
          <w:tblCellMar>
            <w:top w:w="0" w:type="dxa"/>
            <w:left w:w="108" w:type="dxa"/>
            <w:bottom w:w="0" w:type="dxa"/>
            <w:right w:w="108" w:type="dxa"/>
          </w:tblCellMar>
        </w:tblPrEx>
        <w:tc>
          <w:tcPr>
            <w:tcW w:w="8976" w:type="dxa"/>
            <w:gridSpan w:val="15"/>
            <w:vAlign w:val="center"/>
          </w:tcPr>
          <w:p w14:paraId="04E3E549">
            <w:pPr>
              <w:jc w:val="center"/>
            </w:pPr>
            <w:r>
              <w:rPr>
                <w:rFonts w:ascii="宋体" w:hAnsi="宋体" w:eastAsia="宋体"/>
                <w:sz w:val="24"/>
              </w:rPr>
              <w:t>项目支出绩效自评表</w:t>
            </w:r>
          </w:p>
        </w:tc>
      </w:tr>
      <w:tr w14:paraId="15BE74E6">
        <w:tblPrEx>
          <w:tblCellMar>
            <w:top w:w="0" w:type="dxa"/>
            <w:left w:w="108" w:type="dxa"/>
            <w:bottom w:w="0" w:type="dxa"/>
            <w:right w:w="108" w:type="dxa"/>
          </w:tblCellMar>
        </w:tblPrEx>
        <w:tc>
          <w:tcPr>
            <w:tcW w:w="8976" w:type="dxa"/>
            <w:gridSpan w:val="15"/>
            <w:vAlign w:val="center"/>
          </w:tcPr>
          <w:p w14:paraId="68BDBCDB">
            <w:pPr>
              <w:jc w:val="center"/>
            </w:pPr>
            <w:r>
              <w:rPr>
                <w:rFonts w:ascii="宋体" w:hAnsi="宋体" w:eastAsia="宋体"/>
                <w:sz w:val="24"/>
              </w:rPr>
              <w:t>(2024年度)</w:t>
            </w:r>
          </w:p>
        </w:tc>
      </w:tr>
      <w:tr w14:paraId="65586B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A662">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DDBD8CC">
            <w:pPr>
              <w:jc w:val="center"/>
            </w:pPr>
            <w:r>
              <w:rPr>
                <w:rFonts w:ascii="宋体" w:hAnsi="宋体" w:eastAsia="宋体"/>
                <w:sz w:val="16"/>
              </w:rPr>
              <w:t>党史办编纂出版印制《吉木萨尔县年鉴》2022刊和2023刊费用</w:t>
            </w:r>
          </w:p>
        </w:tc>
      </w:tr>
      <w:tr w14:paraId="0488B6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018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82071">
            <w:pPr>
              <w:jc w:val="center"/>
            </w:pPr>
            <w:r>
              <w:rPr>
                <w:rFonts w:ascii="宋体" w:hAnsi="宋体" w:eastAsia="宋体"/>
                <w:sz w:val="16"/>
              </w:rPr>
              <w:t>中共吉木萨尔县委员会党史和文献研究室</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19E71E">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1EE81">
            <w:pPr>
              <w:jc w:val="center"/>
            </w:pPr>
            <w:r>
              <w:rPr>
                <w:rFonts w:ascii="宋体" w:hAnsi="宋体" w:eastAsia="宋体"/>
                <w:sz w:val="16"/>
              </w:rPr>
              <w:t>中共吉木萨尔县委员会党史和文献研究室</w:t>
            </w:r>
          </w:p>
        </w:tc>
      </w:tr>
      <w:tr w14:paraId="05F3BD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4D62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1E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1E7F">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B2F7A">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8C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8A1A">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7198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3AC1">
            <w:pPr>
              <w:jc w:val="center"/>
            </w:pPr>
            <w:r>
              <w:rPr>
                <w:rFonts w:ascii="宋体" w:hAnsi="宋体" w:eastAsia="宋体"/>
                <w:sz w:val="16"/>
              </w:rPr>
              <w:t>得分</w:t>
            </w:r>
          </w:p>
        </w:tc>
      </w:tr>
      <w:tr w14:paraId="60C09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536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CF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96C1">
            <w:pPr>
              <w:jc w:val="center"/>
            </w:pPr>
            <w:r>
              <w:rPr>
                <w:rFonts w:ascii="宋体" w:hAnsi="宋体" w:eastAsia="宋体"/>
                <w:sz w:val="16"/>
              </w:rPr>
              <w:t>8.13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7966">
            <w:pPr>
              <w:jc w:val="center"/>
            </w:pPr>
            <w:r>
              <w:rPr>
                <w:rFonts w:ascii="宋体" w:hAnsi="宋体" w:eastAsia="宋体"/>
                <w:sz w:val="16"/>
              </w:rPr>
              <w:t>8.13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FD7D">
            <w:pPr>
              <w:jc w:val="center"/>
            </w:pPr>
            <w:r>
              <w:rPr>
                <w:rFonts w:ascii="宋体" w:hAnsi="宋体" w:eastAsia="宋体"/>
                <w:sz w:val="16"/>
              </w:rPr>
              <w:t>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0D32">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6675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A3D3">
            <w:pPr>
              <w:jc w:val="center"/>
            </w:pPr>
            <w:r>
              <w:rPr>
                <w:rFonts w:ascii="宋体" w:hAnsi="宋体" w:eastAsia="宋体"/>
                <w:sz w:val="16"/>
              </w:rPr>
              <w:t>10.00</w:t>
            </w:r>
          </w:p>
        </w:tc>
      </w:tr>
      <w:tr w14:paraId="472F7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56A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2A4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71AD9">
            <w:pPr>
              <w:jc w:val="center"/>
            </w:pPr>
            <w:r>
              <w:rPr>
                <w:rFonts w:ascii="宋体" w:hAnsi="宋体" w:eastAsia="宋体"/>
                <w:sz w:val="16"/>
              </w:rPr>
              <w:t>8.13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C10A4">
            <w:pPr>
              <w:jc w:val="center"/>
            </w:pPr>
            <w:r>
              <w:rPr>
                <w:rFonts w:ascii="宋体" w:hAnsi="宋体" w:eastAsia="宋体"/>
                <w:sz w:val="16"/>
              </w:rPr>
              <w:t>8.13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DE526">
            <w:pPr>
              <w:jc w:val="center"/>
            </w:pPr>
            <w:r>
              <w:rPr>
                <w:rFonts w:ascii="宋体" w:hAnsi="宋体" w:eastAsia="宋体"/>
                <w:sz w:val="16"/>
              </w:rPr>
              <w:t>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2829">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AB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259C">
            <w:pPr>
              <w:jc w:val="center"/>
            </w:pPr>
            <w:r>
              <w:rPr>
                <w:rFonts w:ascii="宋体" w:hAnsi="宋体" w:eastAsia="宋体"/>
                <w:sz w:val="16"/>
              </w:rPr>
              <w:t>—</w:t>
            </w:r>
          </w:p>
        </w:tc>
      </w:tr>
      <w:tr w14:paraId="16EED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26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B2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79204">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D0CB4">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DC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BF620">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A13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7A30">
            <w:pPr>
              <w:jc w:val="center"/>
            </w:pPr>
            <w:r>
              <w:rPr>
                <w:rFonts w:ascii="宋体" w:hAnsi="宋体" w:eastAsia="宋体"/>
                <w:sz w:val="16"/>
              </w:rPr>
              <w:t>—</w:t>
            </w:r>
          </w:p>
        </w:tc>
      </w:tr>
      <w:tr w14:paraId="78719E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F53DF">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89D0F">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45A91">
            <w:pPr>
              <w:jc w:val="center"/>
            </w:pPr>
            <w:r>
              <w:rPr>
                <w:rFonts w:ascii="宋体" w:hAnsi="宋体" w:eastAsia="宋体"/>
                <w:sz w:val="16"/>
              </w:rPr>
              <w:t>实际完成情况</w:t>
            </w:r>
          </w:p>
        </w:tc>
      </w:tr>
      <w:tr w14:paraId="4FF11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EF56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17CA96">
            <w:pPr>
              <w:jc w:val="both"/>
            </w:pPr>
            <w:r>
              <w:rPr>
                <w:rFonts w:ascii="宋体" w:hAnsi="宋体" w:eastAsia="宋体"/>
                <w:sz w:val="16"/>
              </w:rPr>
              <w:t>《吉木萨尔年鉴》是系统记述上一年度吉木萨尔县经济、政治、文化、社会和生态文明建设进程的年度资料性文献，全面反映吉木萨尔县的发展面貌，是宣传吉木萨尔县的重要窗口。主要用于支付出版社年鉴前期运行的编纂审校费8.13万元。使得委托单位满意度不低于95%。</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6A3FD7">
            <w:pPr>
              <w:jc w:val="both"/>
            </w:pPr>
            <w:r>
              <w:rPr>
                <w:rFonts w:ascii="宋体" w:hAnsi="宋体" w:eastAsia="宋体"/>
                <w:sz w:val="16"/>
              </w:rPr>
              <w:t>截至2024年12月31日，本项目实际支出资金8.13万元，预算执行率为100%，实际已完成《吉木萨尔年鉴》前期编纂审校工作。全面反映吉木萨尔县的发展面貌，是宣传吉木萨尔县的重要窗口。委托单位满意度达到100%。</w:t>
            </w:r>
          </w:p>
        </w:tc>
      </w:tr>
      <w:tr w14:paraId="5395B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CA4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68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49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FD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2551">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A3E73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93A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541F">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904FF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6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C7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C665">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D7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37EF">
            <w:pPr>
              <w:jc w:val="center"/>
            </w:pPr>
            <w:r>
              <w:rPr>
                <w:rFonts w:ascii="宋体" w:hAnsi="宋体" w:eastAsia="宋体"/>
                <w:sz w:val="16"/>
              </w:rPr>
              <w:t>偏差原因分析及改进措施</w:t>
            </w:r>
          </w:p>
        </w:tc>
      </w:tr>
      <w:tr w14:paraId="4D59F5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2A7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4D3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EFC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09CF">
            <w:pPr>
              <w:jc w:val="center"/>
            </w:pPr>
            <w:r>
              <w:rPr>
                <w:rFonts w:ascii="宋体" w:hAnsi="宋体" w:eastAsia="宋体"/>
                <w:sz w:val="16"/>
              </w:rPr>
              <w:t>委托第三方单位数量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4D6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0884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5F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81F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731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B93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3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8E6F">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39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EF5F">
            <w:pPr>
              <w:jc w:val="center"/>
            </w:pPr>
          </w:p>
        </w:tc>
      </w:tr>
      <w:tr w14:paraId="4148E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6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9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78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EDDC">
            <w:pPr>
              <w:jc w:val="center"/>
            </w:pPr>
            <w:r>
              <w:rPr>
                <w:rFonts w:ascii="宋体" w:hAnsi="宋体" w:eastAsia="宋体"/>
                <w:sz w:val="16"/>
              </w:rPr>
              <w:t>出具年鉴数量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C2DA">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A470CD">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F424">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02B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36E5C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C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C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BAB1">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75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2AD4">
            <w:pPr>
              <w:jc w:val="center"/>
            </w:pPr>
          </w:p>
        </w:tc>
      </w:tr>
      <w:tr w14:paraId="01FD6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88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E4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869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0B7E">
            <w:pPr>
              <w:jc w:val="center"/>
            </w:pPr>
            <w:r>
              <w:rPr>
                <w:rFonts w:ascii="宋体" w:hAnsi="宋体" w:eastAsia="宋体"/>
                <w:sz w:val="16"/>
              </w:rPr>
              <w:t>文字规范标准率（%）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FDEE">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DCA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D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B93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680A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EDF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5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44CB">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04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5076">
            <w:pPr>
              <w:jc w:val="center"/>
            </w:pPr>
          </w:p>
        </w:tc>
      </w:tr>
      <w:tr w14:paraId="243A1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E8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65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76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2FB4">
            <w:pPr>
              <w:jc w:val="center"/>
            </w:pPr>
            <w:r>
              <w:rPr>
                <w:rFonts w:ascii="宋体" w:hAnsi="宋体" w:eastAsia="宋体"/>
                <w:sz w:val="16"/>
              </w:rPr>
              <w:t>图片数量和质量合格率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68E5">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91D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A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9C9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4968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620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C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665B">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6DE87127">
            <w:pPr>
              <w:jc w:val="center"/>
            </w:pPr>
            <w:r>
              <w:rPr>
                <w:rFonts w:ascii="宋体" w:hAnsi="宋体" w:eastAsia="宋体"/>
                <w:sz w:val="16"/>
              </w:rPr>
              <w:t>工作资料</w:t>
            </w:r>
          </w:p>
        </w:tc>
        <w:tc>
          <w:tcPr>
            <w:tcW w:w="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1A23E">
            <w:pPr>
              <w:jc w:val="center"/>
            </w:pPr>
          </w:p>
        </w:tc>
      </w:tr>
      <w:tr w14:paraId="5E3EE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E4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D7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A5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D376">
            <w:pPr>
              <w:jc w:val="center"/>
            </w:pPr>
            <w:r>
              <w:rPr>
                <w:rFonts w:ascii="宋体" w:hAnsi="宋体" w:eastAsia="宋体"/>
                <w:sz w:val="16"/>
              </w:rPr>
              <w:t>数据更新率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BC4D">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91D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2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39D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A93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E95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7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5ECC">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26A7875C">
            <w:pPr>
              <w:jc w:val="center"/>
            </w:pPr>
            <w:r>
              <w:rPr>
                <w:rFonts w:ascii="宋体" w:hAnsi="宋体" w:eastAsia="宋体"/>
                <w:sz w:val="16"/>
              </w:rPr>
              <w:t>工作资料,原始凭证</w:t>
            </w:r>
          </w:p>
        </w:tc>
        <w:tc>
          <w:tcPr>
            <w:tcW w:w="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A161">
            <w:pPr>
              <w:jc w:val="center"/>
            </w:pPr>
          </w:p>
        </w:tc>
      </w:tr>
      <w:tr w14:paraId="16269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0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A2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4A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8A13">
            <w:pPr>
              <w:jc w:val="center"/>
            </w:pPr>
            <w:r>
              <w:rPr>
                <w:rFonts w:ascii="宋体" w:hAnsi="宋体" w:eastAsia="宋体"/>
                <w:sz w:val="16"/>
              </w:rPr>
              <w:t>支付款项费用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7F59">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7B90EC">
            <w:pPr>
              <w:jc w:val="center"/>
            </w:pPr>
            <w:r>
              <w:rPr>
                <w:rFonts w:ascii="宋体" w:hAnsi="宋体" w:eastAsia="宋体"/>
                <w:sz w:val="16"/>
              </w:rPr>
              <w:t>&lt;=8.13万元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D4F1">
            <w:pPr>
              <w:jc w:val="center"/>
            </w:pPr>
            <w:r>
              <w:rPr>
                <w:rFonts w:ascii="宋体" w:hAnsi="宋体" w:eastAsia="宋体"/>
                <w:sz w:val="16"/>
              </w:rPr>
              <w:t>=8.13万元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1C8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D08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0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C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19AD">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3D9F2E4E">
            <w:pPr>
              <w:jc w:val="center"/>
            </w:pPr>
            <w:r>
              <w:rPr>
                <w:rFonts w:ascii="宋体" w:hAnsi="宋体" w:eastAsia="宋体"/>
                <w:sz w:val="16"/>
              </w:rPr>
              <w:t>原始凭证,工作资料</w:t>
            </w:r>
          </w:p>
        </w:tc>
        <w:tc>
          <w:tcPr>
            <w:tcW w:w="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6E94">
            <w:pPr>
              <w:jc w:val="center"/>
            </w:pPr>
          </w:p>
        </w:tc>
      </w:tr>
      <w:tr w14:paraId="5D30A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C97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820E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37E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470B">
            <w:pPr>
              <w:jc w:val="center"/>
            </w:pPr>
            <w:r>
              <w:rPr>
                <w:rFonts w:ascii="宋体" w:hAnsi="宋体" w:eastAsia="宋体"/>
                <w:sz w:val="16"/>
              </w:rPr>
              <w:t>为全县社会经济发展提供历史参考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FD0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9394C6">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B360">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125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998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48B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9D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0683">
            <w:pPr>
              <w:jc w:val="center"/>
            </w:pPr>
            <w:r>
              <w:rPr>
                <w:rFonts w:ascii="宋体" w:hAnsi="宋体" w:eastAsia="宋体"/>
                <w:sz w:val="16"/>
              </w:rPr>
              <w:t>按评判等级赋分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6743AD04">
            <w:pPr>
              <w:jc w:val="center"/>
            </w:pPr>
            <w:r>
              <w:rPr>
                <w:rFonts w:ascii="宋体" w:hAnsi="宋体" w:eastAsia="宋体"/>
                <w:sz w:val="16"/>
              </w:rPr>
              <w:t>工作资料</w:t>
            </w:r>
          </w:p>
        </w:tc>
        <w:tc>
          <w:tcPr>
            <w:tcW w:w="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B9D78">
            <w:pPr>
              <w:jc w:val="center"/>
            </w:pPr>
          </w:p>
        </w:tc>
      </w:tr>
      <w:tr w14:paraId="71B5A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DF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36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E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78FC">
            <w:pPr>
              <w:jc w:val="center"/>
            </w:pPr>
            <w:r>
              <w:rPr>
                <w:rFonts w:ascii="宋体" w:hAnsi="宋体" w:eastAsia="宋体"/>
                <w:sz w:val="16"/>
              </w:rPr>
              <w:t>全面反映吉木萨尔县的发展面貌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080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4F4BBE">
            <w:pPr>
              <w:jc w:val="center"/>
            </w:pPr>
            <w:r>
              <w:rPr>
                <w:rFonts w:ascii="宋体" w:hAnsi="宋体" w:eastAsia="宋体"/>
                <w:sz w:val="16"/>
              </w:rPr>
              <w:t>全面反映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A1F0">
            <w:pPr>
              <w:jc w:val="center"/>
            </w:pPr>
            <w:r>
              <w:rPr>
                <w:rFonts w:ascii="宋体" w:hAnsi="宋体" w:eastAsia="宋体"/>
                <w:sz w:val="16"/>
              </w:rPr>
              <w:t>全面反映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71E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D2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E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E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2289">
            <w:pPr>
              <w:jc w:val="center"/>
            </w:pPr>
            <w:r>
              <w:rPr>
                <w:rFonts w:ascii="宋体" w:hAnsi="宋体" w:eastAsia="宋体"/>
                <w:sz w:val="16"/>
              </w:rPr>
              <w:t>按评判等级赋分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1F0FEAF1">
            <w:pPr>
              <w:jc w:val="center"/>
            </w:pPr>
            <w:r>
              <w:rPr>
                <w:rFonts w:ascii="宋体" w:hAnsi="宋体" w:eastAsia="宋体"/>
                <w:sz w:val="16"/>
              </w:rPr>
              <w:t>工作资料</w:t>
            </w:r>
          </w:p>
        </w:tc>
        <w:tc>
          <w:tcPr>
            <w:tcW w:w="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BBF89">
            <w:pPr>
              <w:jc w:val="center"/>
            </w:pPr>
          </w:p>
        </w:tc>
      </w:tr>
      <w:tr w14:paraId="24289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29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1F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E3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B472">
            <w:pPr>
              <w:jc w:val="center"/>
            </w:pPr>
            <w:r>
              <w:rPr>
                <w:rFonts w:ascii="宋体" w:hAnsi="宋体" w:eastAsia="宋体"/>
                <w:sz w:val="16"/>
              </w:rPr>
              <w:t>委托单位满意度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4F3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D336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E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089B">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EBB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F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66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6F9A">
            <w:pPr>
              <w:jc w:val="center"/>
            </w:pPr>
            <w:r>
              <w:rPr>
                <w:rFonts w:ascii="宋体" w:hAnsi="宋体" w:eastAsia="宋体"/>
                <w:sz w:val="16"/>
              </w:rPr>
              <w:t>满意度赋分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4B94E4D8">
            <w:pPr>
              <w:jc w:val="center"/>
            </w:pPr>
            <w:r>
              <w:rPr>
                <w:rFonts w:ascii="宋体" w:hAnsi="宋体" w:eastAsia="宋体"/>
                <w:sz w:val="16"/>
              </w:rPr>
              <w:t>工作资料</w:t>
            </w:r>
          </w:p>
        </w:tc>
        <w:tc>
          <w:tcPr>
            <w:tcW w:w="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D774A">
            <w:pPr>
              <w:jc w:val="center"/>
            </w:pPr>
            <w:r>
              <w:rPr>
                <w:rFonts w:hint="eastAsia" w:ascii="宋体" w:hAnsi="宋体"/>
                <w:sz w:val="16"/>
                <w:lang w:eastAsia="zh-CN"/>
              </w:rPr>
              <w:t>本单位</w:t>
            </w:r>
            <w:bookmarkStart w:id="0" w:name="_GoBack"/>
            <w:bookmarkEnd w:id="0"/>
            <w:r>
              <w:rPr>
                <w:rFonts w:ascii="宋体" w:hAnsi="宋体" w:eastAsia="宋体"/>
                <w:sz w:val="16"/>
              </w:rPr>
              <w:t>对服务单位完成《吉木萨尔年鉴》前期编纂审校工作非常满意。</w:t>
            </w:r>
          </w:p>
        </w:tc>
      </w:tr>
      <w:tr w14:paraId="3B7594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F8CA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672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C045E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3CA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3EC8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A6E6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1EF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17FD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75F0B"/>
        </w:tc>
        <w:tc>
          <w:tcPr>
            <w:tcW w:w="532" w:type="dxa"/>
            <w:tcBorders>
              <w:top w:val="single" w:color="auto" w:sz="10" w:space="0"/>
              <w:left w:val="single" w:color="auto" w:sz="10" w:space="0"/>
              <w:bottom w:val="single" w:color="auto" w:sz="10" w:space="0"/>
              <w:right w:val="single" w:color="auto" w:sz="10" w:space="0"/>
              <w:insideV w:val="single" w:sz="10" w:space="0"/>
            </w:tcBorders>
          </w:tcPr>
          <w:p w14:paraId="17B3AF6D"/>
        </w:tc>
        <w:tc>
          <w:tcPr>
            <w:tcW w:w="732" w:type="dxa"/>
            <w:gridSpan w:val="2"/>
            <w:tcBorders>
              <w:top w:val="single" w:color="auto" w:sz="10" w:space="0"/>
              <w:left w:val="single" w:color="auto" w:sz="10" w:space="0"/>
              <w:bottom w:val="single" w:color="auto" w:sz="10" w:space="0"/>
              <w:right w:val="single" w:color="auto" w:sz="10" w:space="0"/>
              <w:insideV w:val="single" w:sz="10" w:space="0"/>
            </w:tcBorders>
          </w:tcPr>
          <w:p w14:paraId="6026698F"/>
        </w:tc>
      </w:tr>
    </w:tbl>
    <w:p w14:paraId="3EAFFDF1">
      <w:r>
        <w:br w:type="page"/>
      </w:r>
    </w:p>
    <w:p w14:paraId="79F5CBA3">
      <w:pPr>
        <w:spacing w:line="640" w:lineRule="exact"/>
        <w:ind w:firstLine="640"/>
        <w:jc w:val="both"/>
        <w:outlineLvl w:val="2"/>
      </w:pPr>
      <w:r>
        <w:rPr>
          <w:rFonts w:ascii="黑体" w:hAnsi="黑体" w:eastAsia="黑体"/>
          <w:sz w:val="32"/>
        </w:rPr>
        <w:t>十二、其他需说明的事项</w:t>
      </w:r>
    </w:p>
    <w:p w14:paraId="298B0685">
      <w:pPr>
        <w:spacing w:line="580" w:lineRule="exact"/>
        <w:ind w:firstLine="640"/>
        <w:jc w:val="both"/>
      </w:pPr>
      <w:r>
        <w:rPr>
          <w:rFonts w:ascii="仿宋_GB2312" w:hAnsi="仿宋_GB2312" w:eastAsia="仿宋_GB2312"/>
          <w:b w:val="0"/>
          <w:sz w:val="32"/>
        </w:rPr>
        <w:t>本单位无其他需说明的事项。</w:t>
      </w:r>
    </w:p>
    <w:p w14:paraId="35C5BFB3">
      <w:r>
        <w:br w:type="page"/>
      </w:r>
    </w:p>
    <w:p w14:paraId="46EC6F7C">
      <w:pPr>
        <w:spacing w:line="240" w:lineRule="auto"/>
        <w:jc w:val="center"/>
        <w:outlineLvl w:val="1"/>
      </w:pPr>
      <w:r>
        <w:rPr>
          <w:rFonts w:ascii="黑体" w:hAnsi="黑体" w:eastAsia="黑体"/>
          <w:sz w:val="32"/>
        </w:rPr>
        <w:t>第三部分 专业名词解释</w:t>
      </w:r>
    </w:p>
    <w:p w14:paraId="586E7A7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3EC75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95A25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4A53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61436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DCF0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7B3D7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7F66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BF27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D9572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E9B7D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D4C02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3A512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B13B8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A4C0D86">
      <w:r>
        <w:br w:type="page"/>
      </w:r>
    </w:p>
    <w:p w14:paraId="391D91C2">
      <w:pPr>
        <w:spacing w:line="240" w:lineRule="auto"/>
        <w:jc w:val="center"/>
        <w:outlineLvl w:val="1"/>
      </w:pPr>
      <w:r>
        <w:rPr>
          <w:rFonts w:ascii="黑体" w:hAnsi="黑体" w:eastAsia="黑体"/>
          <w:sz w:val="32"/>
        </w:rPr>
        <w:t>第四部分 部门决算报表（见附表）</w:t>
      </w:r>
    </w:p>
    <w:p w14:paraId="7DF736BC">
      <w:pPr>
        <w:spacing w:line="240" w:lineRule="auto"/>
        <w:ind w:firstLine="640"/>
        <w:jc w:val="both"/>
      </w:pPr>
      <w:r>
        <w:rPr>
          <w:rFonts w:ascii="仿宋_GB2312" w:hAnsi="仿宋_GB2312" w:eastAsia="仿宋_GB2312"/>
          <w:b w:val="0"/>
          <w:sz w:val="32"/>
        </w:rPr>
        <w:t>一、《收入支出决算总表》</w:t>
      </w:r>
    </w:p>
    <w:p w14:paraId="1CBE156B">
      <w:pPr>
        <w:spacing w:line="240" w:lineRule="auto"/>
        <w:ind w:firstLine="640"/>
        <w:jc w:val="both"/>
      </w:pPr>
      <w:r>
        <w:rPr>
          <w:rFonts w:ascii="仿宋_GB2312" w:hAnsi="仿宋_GB2312" w:eastAsia="仿宋_GB2312"/>
          <w:b w:val="0"/>
          <w:sz w:val="32"/>
        </w:rPr>
        <w:t>二、《收入决算表》</w:t>
      </w:r>
    </w:p>
    <w:p w14:paraId="68778BA6">
      <w:pPr>
        <w:spacing w:line="240" w:lineRule="auto"/>
        <w:ind w:firstLine="640"/>
        <w:jc w:val="both"/>
      </w:pPr>
      <w:r>
        <w:rPr>
          <w:rFonts w:ascii="仿宋_GB2312" w:hAnsi="仿宋_GB2312" w:eastAsia="仿宋_GB2312"/>
          <w:b w:val="0"/>
          <w:sz w:val="32"/>
        </w:rPr>
        <w:t>三、《支出决算表》</w:t>
      </w:r>
    </w:p>
    <w:p w14:paraId="7C7CDC0C">
      <w:pPr>
        <w:spacing w:line="240" w:lineRule="auto"/>
        <w:ind w:firstLine="640"/>
        <w:jc w:val="both"/>
      </w:pPr>
      <w:r>
        <w:rPr>
          <w:rFonts w:ascii="仿宋_GB2312" w:hAnsi="仿宋_GB2312" w:eastAsia="仿宋_GB2312"/>
          <w:b w:val="0"/>
          <w:sz w:val="32"/>
        </w:rPr>
        <w:t>四、《财政拨款收入支出决算总表》</w:t>
      </w:r>
    </w:p>
    <w:p w14:paraId="417CB24A">
      <w:pPr>
        <w:spacing w:line="240" w:lineRule="auto"/>
        <w:ind w:firstLine="640"/>
        <w:jc w:val="both"/>
      </w:pPr>
      <w:r>
        <w:rPr>
          <w:rFonts w:ascii="仿宋_GB2312" w:hAnsi="仿宋_GB2312" w:eastAsia="仿宋_GB2312"/>
          <w:b w:val="0"/>
          <w:sz w:val="32"/>
        </w:rPr>
        <w:t>五、《一般公共预算财政拨款支出决算表》</w:t>
      </w:r>
    </w:p>
    <w:p w14:paraId="11EAB94A">
      <w:pPr>
        <w:spacing w:line="240" w:lineRule="auto"/>
        <w:ind w:firstLine="640"/>
        <w:jc w:val="both"/>
      </w:pPr>
      <w:r>
        <w:rPr>
          <w:rFonts w:ascii="仿宋_GB2312" w:hAnsi="仿宋_GB2312" w:eastAsia="仿宋_GB2312"/>
          <w:b w:val="0"/>
          <w:sz w:val="32"/>
        </w:rPr>
        <w:t>六、《一般公共预算财政拨款基本支出决算表》</w:t>
      </w:r>
    </w:p>
    <w:p w14:paraId="6001DD7F">
      <w:pPr>
        <w:spacing w:line="240" w:lineRule="auto"/>
        <w:ind w:firstLine="640"/>
        <w:jc w:val="both"/>
      </w:pPr>
      <w:r>
        <w:rPr>
          <w:rFonts w:ascii="仿宋_GB2312" w:hAnsi="仿宋_GB2312" w:eastAsia="仿宋_GB2312"/>
          <w:b w:val="0"/>
          <w:sz w:val="32"/>
        </w:rPr>
        <w:t>七、《政府性基金预算财政拨款收入支出决算表》</w:t>
      </w:r>
    </w:p>
    <w:p w14:paraId="76EAD8FE">
      <w:pPr>
        <w:spacing w:line="240" w:lineRule="auto"/>
        <w:ind w:firstLine="640"/>
        <w:jc w:val="both"/>
      </w:pPr>
      <w:r>
        <w:rPr>
          <w:rFonts w:ascii="仿宋_GB2312" w:hAnsi="仿宋_GB2312" w:eastAsia="仿宋_GB2312"/>
          <w:b w:val="0"/>
          <w:sz w:val="32"/>
        </w:rPr>
        <w:t>八、《国有资本经营预算财政拨款收入支出决算表》</w:t>
      </w:r>
    </w:p>
    <w:p w14:paraId="13C4B5A8">
      <w:pPr>
        <w:spacing w:line="240" w:lineRule="auto"/>
        <w:ind w:firstLine="640"/>
        <w:jc w:val="both"/>
      </w:pPr>
      <w:r>
        <w:rPr>
          <w:rFonts w:ascii="仿宋_GB2312" w:hAnsi="仿宋_GB2312" w:eastAsia="仿宋_GB2312"/>
          <w:b w:val="0"/>
          <w:sz w:val="32"/>
        </w:rPr>
        <w:t>九、《财政拨款“三公”经费支出决算表》</w:t>
      </w:r>
    </w:p>
    <w:p w14:paraId="0906B918">
      <w:pPr>
        <w:spacing w:line="240" w:lineRule="auto"/>
        <w:ind w:firstLine="640"/>
        <w:jc w:val="both"/>
      </w:pPr>
    </w:p>
    <w:p w14:paraId="711A98E8">
      <w:pPr>
        <w:spacing w:line="240" w:lineRule="auto"/>
        <w:ind w:firstLine="640"/>
        <w:jc w:val="both"/>
      </w:pPr>
    </w:p>
    <w:p w14:paraId="22800DD5">
      <w:pPr>
        <w:spacing w:line="240" w:lineRule="auto"/>
        <w:ind w:firstLine="640"/>
        <w:jc w:val="both"/>
      </w:pPr>
    </w:p>
    <w:p w14:paraId="168DD2CD">
      <w:pPr>
        <w:spacing w:line="240" w:lineRule="auto"/>
        <w:ind w:firstLine="640"/>
        <w:jc w:val="both"/>
      </w:pPr>
    </w:p>
    <w:p w14:paraId="794E837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C595A0-71DC-44E0-A624-A66E08AF0C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FA4DE97-9E98-495A-82C4-6E80CAE2A4D9}"/>
  </w:font>
  <w:font w:name="仿宋_GB2312">
    <w:panose1 w:val="02010609030101010101"/>
    <w:charset w:val="86"/>
    <w:family w:val="modern"/>
    <w:pitch w:val="default"/>
    <w:sig w:usb0="00000001" w:usb1="080E0000" w:usb2="00000000" w:usb3="00000000" w:csb0="00040000" w:csb1="00000000"/>
    <w:embedRegular r:id="rId3" w:fontKey="{173B38B1-5FF1-43F0-976E-F3338B0576AF}"/>
  </w:font>
  <w:font w:name="楷体_GB2312">
    <w:panose1 w:val="02010609030101010101"/>
    <w:charset w:val="86"/>
    <w:family w:val="auto"/>
    <w:pitch w:val="default"/>
    <w:sig w:usb0="00000001" w:usb1="080E0000" w:usb2="00000000" w:usb3="00000000" w:csb0="00040000" w:csb1="00000000"/>
    <w:embedRegular r:id="rId4" w:fontKey="{40FD803D-163B-43BB-911A-42CC592245D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2F95D30"/>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F91A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5904</Words>
  <Characters>6618</Characters>
  <Lines>0</Lines>
  <Paragraphs>0</Paragraphs>
  <TotalTime>11</TotalTime>
  <ScaleCrop>false</ScaleCrop>
  <LinksUpToDate>false</LinksUpToDate>
  <CharactersWithSpaces>6627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2025-10-13T10:00:21Z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