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color w:val="auto"/>
          <w:sz w:val="44"/>
          <w:szCs w:val="44"/>
        </w:rPr>
      </w:pPr>
      <w:r>
        <w:rPr>
          <w:rFonts w:hint="eastAsia" w:ascii="方正小标宋_GBK" w:hAnsi="宋体" w:eastAsia="方正小标宋_GBK"/>
          <w:color w:val="auto"/>
          <w:sz w:val="44"/>
          <w:szCs w:val="44"/>
        </w:rPr>
        <w:t>中国人民政治协商会议吉木萨尔县委员会办公室2021年度部门决算公开说明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spacing w:line="60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1、负责县政协全体会议、常委会议、主席会议、党组会议的文秘工作与会务组织等工作;</w:t>
      </w:r>
    </w:p>
    <w:p>
      <w:pPr>
        <w:spacing w:line="60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2、负责督查县政协全体会议、常委会议、主席会议、党组会议的决议、决定的实施工作；</w:t>
      </w:r>
    </w:p>
    <w:p>
      <w:pPr>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3、研究、宣传统一战线和人民政协的理论政策，研究总结政协工作经验。组织安排政协委员集中学习，传达上级有关重要会议精神，举办报告会、通报会、座谈会等；</w:t>
      </w:r>
    </w:p>
    <w:p>
      <w:pPr>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4、负责各专门委员会组织的委员视察、调</w:t>
      </w:r>
      <w:r>
        <w:rPr>
          <w:rFonts w:hint="eastAsia" w:ascii="仿宋_GB2312" w:eastAsia="仿宋_GB2312"/>
          <w:color w:val="auto"/>
          <w:sz w:val="32"/>
          <w:szCs w:val="32"/>
          <w:highlight w:val="none"/>
          <w:lang w:eastAsia="zh-CN"/>
        </w:rPr>
        <w:t>研</w:t>
      </w:r>
      <w:r>
        <w:rPr>
          <w:rFonts w:hint="eastAsia" w:ascii="仿宋_GB2312" w:eastAsia="仿宋_GB2312"/>
          <w:color w:val="auto"/>
          <w:sz w:val="32"/>
          <w:szCs w:val="32"/>
          <w:highlight w:val="none"/>
        </w:rPr>
        <w:t>、座谈</w:t>
      </w:r>
      <w:r>
        <w:rPr>
          <w:rFonts w:hint="eastAsia" w:ascii="仿宋_GB2312" w:eastAsia="仿宋_GB2312"/>
          <w:color w:val="auto"/>
          <w:sz w:val="32"/>
          <w:szCs w:val="32"/>
          <w:highlight w:val="none"/>
          <w:lang w:eastAsia="zh-CN"/>
        </w:rPr>
        <w:t>协商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观摩</w:t>
      </w:r>
      <w:r>
        <w:rPr>
          <w:rFonts w:hint="eastAsia" w:ascii="仿宋_GB2312" w:eastAsia="仿宋_GB2312"/>
          <w:color w:val="auto"/>
          <w:sz w:val="32"/>
          <w:szCs w:val="32"/>
          <w:highlight w:val="none"/>
        </w:rPr>
        <w:t>等活动的后勤保障工作；</w:t>
      </w:r>
    </w:p>
    <w:p>
      <w:pPr>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5、收集、反映社会各界人士的意见和建议；</w:t>
      </w:r>
    </w:p>
    <w:p>
      <w:pPr>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6、负责与县委、人大、政府、纪检的工作联系；</w:t>
      </w:r>
    </w:p>
    <w:p>
      <w:pPr>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7、负责政协系统的</w:t>
      </w:r>
      <w:r>
        <w:rPr>
          <w:rFonts w:hint="eastAsia" w:ascii="仿宋_GB2312" w:eastAsia="仿宋_GB2312"/>
          <w:color w:val="auto"/>
          <w:sz w:val="32"/>
          <w:szCs w:val="32"/>
          <w:highlight w:val="none"/>
          <w:lang w:eastAsia="zh-CN"/>
        </w:rPr>
        <w:t>相</w:t>
      </w:r>
      <w:r>
        <w:rPr>
          <w:rFonts w:hint="eastAsia" w:ascii="仿宋_GB2312" w:eastAsia="仿宋_GB2312"/>
          <w:color w:val="auto"/>
          <w:sz w:val="32"/>
          <w:szCs w:val="32"/>
          <w:highlight w:val="none"/>
        </w:rPr>
        <w:t>关联络接待工作。</w:t>
      </w:r>
    </w:p>
    <w:p>
      <w:pPr>
        <w:ind w:firstLine="640" w:firstLineChars="200"/>
        <w:outlineLvl w:val="1"/>
        <w:rPr>
          <w:rFonts w:ascii="黑体" w:hAnsi="黑体" w:eastAsia="黑体" w:cs="宋体"/>
          <w:bCs/>
          <w:color w:val="auto"/>
          <w:kern w:val="0"/>
          <w:sz w:val="32"/>
          <w:szCs w:val="32"/>
        </w:rPr>
      </w:pPr>
      <w:bookmarkStart w:id="5" w:name="_Toc31238"/>
      <w:bookmarkStart w:id="6" w:name="_Toc2151"/>
      <w:r>
        <w:rPr>
          <w:rFonts w:hint="eastAsia" w:ascii="黑体" w:hAnsi="黑体" w:eastAsia="黑体" w:cs="宋体"/>
          <w:bCs/>
          <w:color w:val="auto"/>
          <w:kern w:val="0"/>
          <w:sz w:val="32"/>
          <w:szCs w:val="32"/>
        </w:rPr>
        <w:t>二、机构设置及</w:t>
      </w:r>
      <w:bookmarkEnd w:id="5"/>
      <w:r>
        <w:rPr>
          <w:rFonts w:hint="eastAsia" w:ascii="黑体" w:hAnsi="黑体" w:eastAsia="黑体" w:cs="宋体"/>
          <w:bCs/>
          <w:color w:val="auto"/>
          <w:kern w:val="0"/>
          <w:sz w:val="32"/>
          <w:szCs w:val="32"/>
        </w:rPr>
        <w:t>人员情况</w:t>
      </w:r>
      <w:bookmarkEnd w:id="6"/>
    </w:p>
    <w:p>
      <w:pPr>
        <w:ind w:firstLine="640" w:firstLineChars="200"/>
        <w:rPr>
          <w:rFonts w:ascii="仿宋_GB2312" w:eastAsia="仿宋_GB2312"/>
          <w:color w:val="auto"/>
          <w:sz w:val="32"/>
          <w:szCs w:val="32"/>
        </w:rPr>
      </w:pPr>
      <w:r>
        <w:rPr>
          <w:rFonts w:hint="eastAsia" w:ascii="仿宋_GB2312" w:eastAsia="仿宋_GB2312"/>
          <w:color w:val="auto"/>
          <w:sz w:val="32"/>
          <w:szCs w:val="32"/>
        </w:rPr>
        <w:t>中国人民政治协商会议吉木萨尔县委员会办公室</w:t>
      </w:r>
      <w:r>
        <w:rPr>
          <w:rFonts w:ascii="仿宋_GB2312" w:eastAsia="仿宋_GB2312"/>
          <w:color w:val="auto"/>
          <w:sz w:val="32"/>
          <w:szCs w:val="32"/>
        </w:rPr>
        <w:t>2021</w:t>
      </w:r>
      <w:r>
        <w:rPr>
          <w:rFonts w:hint="eastAsia" w:ascii="仿宋_GB2312" w:eastAsia="仿宋_GB2312"/>
          <w:color w:val="auto"/>
          <w:sz w:val="32"/>
          <w:szCs w:val="32"/>
        </w:rPr>
        <w:t>年度，实有人数</w:t>
      </w:r>
      <w:r>
        <w:rPr>
          <w:rFonts w:ascii="仿宋_GB2312" w:eastAsia="仿宋_GB2312"/>
          <w:color w:val="auto"/>
          <w:sz w:val="32"/>
          <w:szCs w:val="32"/>
        </w:rPr>
        <w:t>44</w:t>
      </w:r>
      <w:r>
        <w:rPr>
          <w:rFonts w:hint="eastAsia" w:ascii="仿宋_GB2312" w:eastAsia="仿宋_GB2312"/>
          <w:color w:val="auto"/>
          <w:sz w:val="32"/>
          <w:szCs w:val="32"/>
        </w:rPr>
        <w:t>人，其中：在职人员</w:t>
      </w:r>
      <w:r>
        <w:rPr>
          <w:rFonts w:ascii="仿宋_GB2312" w:eastAsia="仿宋_GB2312"/>
          <w:color w:val="auto"/>
          <w:sz w:val="32"/>
          <w:szCs w:val="32"/>
        </w:rPr>
        <w:t>18</w:t>
      </w:r>
      <w:r>
        <w:rPr>
          <w:rFonts w:hint="eastAsia" w:ascii="仿宋_GB2312" w:eastAsia="仿宋_GB2312"/>
          <w:color w:val="auto"/>
          <w:sz w:val="32"/>
          <w:szCs w:val="32"/>
        </w:rPr>
        <w:t>人，离休人员</w:t>
      </w:r>
      <w:r>
        <w:rPr>
          <w:rFonts w:ascii="仿宋_GB2312" w:eastAsia="仿宋_GB2312"/>
          <w:color w:val="auto"/>
          <w:sz w:val="32"/>
          <w:szCs w:val="32"/>
        </w:rPr>
        <w:t>0</w:t>
      </w:r>
      <w:r>
        <w:rPr>
          <w:rFonts w:hint="eastAsia" w:ascii="仿宋_GB2312" w:eastAsia="仿宋_GB2312"/>
          <w:color w:val="auto"/>
          <w:sz w:val="32"/>
          <w:szCs w:val="32"/>
        </w:rPr>
        <w:t>人，退休人员</w:t>
      </w:r>
      <w:r>
        <w:rPr>
          <w:rFonts w:ascii="仿宋_GB2312" w:eastAsia="仿宋_GB2312"/>
          <w:color w:val="auto"/>
          <w:sz w:val="32"/>
          <w:szCs w:val="32"/>
        </w:rPr>
        <w:t>26</w:t>
      </w:r>
      <w:r>
        <w:rPr>
          <w:rFonts w:hint="eastAsia" w:ascii="仿宋_GB2312" w:eastAsia="仿宋_GB2312"/>
          <w:color w:val="auto"/>
          <w:sz w:val="32"/>
          <w:szCs w:val="32"/>
        </w:rPr>
        <w:t>人。</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从部门决算单位构成看，中国人民政治协商会议吉木萨尔县委员会办公室部门决算包括：中国人民政治协商会议吉木萨尔县委员会办公室决算。</w:t>
      </w:r>
      <w:r>
        <w:rPr>
          <w:rFonts w:hint="eastAsia" w:ascii="仿宋_GB2312" w:hAnsi="黑体" w:eastAsia="仿宋_GB2312" w:cs="宋体"/>
          <w:bCs/>
          <w:color w:val="auto"/>
          <w:kern w:val="0"/>
          <w:sz w:val="32"/>
          <w:szCs w:val="32"/>
        </w:rPr>
        <w:t>单位无下属预算单位，下设</w:t>
      </w:r>
      <w:r>
        <w:rPr>
          <w:rFonts w:hint="eastAsia" w:ascii="仿宋_GB2312" w:eastAsia="仿宋_GB2312"/>
          <w:color w:val="auto"/>
          <w:sz w:val="32"/>
          <w:szCs w:val="32"/>
          <w:lang w:val="en-US" w:eastAsia="zh-CN"/>
        </w:rPr>
        <w:t>4</w:t>
      </w:r>
      <w:r>
        <w:rPr>
          <w:rFonts w:hint="eastAsia" w:ascii="仿宋_GB2312" w:hAnsi="黑体" w:eastAsia="仿宋_GB2312" w:cs="宋体"/>
          <w:bCs/>
          <w:color w:val="auto"/>
          <w:kern w:val="0"/>
          <w:sz w:val="32"/>
          <w:szCs w:val="32"/>
        </w:rPr>
        <w:t>个处室，分别是：</w:t>
      </w:r>
      <w:r>
        <w:rPr>
          <w:rFonts w:hint="eastAsia" w:ascii="仿宋_GB2312" w:hAnsi="黑体" w:eastAsia="仿宋_GB2312" w:cs="宋体"/>
          <w:bCs/>
          <w:color w:val="auto"/>
          <w:kern w:val="0"/>
          <w:sz w:val="32"/>
          <w:szCs w:val="32"/>
          <w:lang w:eastAsia="zh-CN"/>
        </w:rPr>
        <w:t>政协办公室、提案法制民族宗教社会侨务委员会、经济科技资源环境委员会、政协委员联络中心</w:t>
      </w:r>
      <w:r>
        <w:rPr>
          <w:rFonts w:hint="eastAsia" w:ascii="仿宋_GB2312" w:hAnsi="宋体" w:eastAsia="仿宋_GB2312" w:cs="宋体"/>
          <w:color w:val="auto"/>
          <w:kern w:val="0"/>
          <w:sz w:val="32"/>
          <w:szCs w:val="32"/>
        </w:rPr>
        <w:t>。</w:t>
      </w:r>
    </w:p>
    <w:p>
      <w:pPr>
        <w:rPr>
          <w:rFonts w:ascii="Arial" w:hAnsi="Arial" w:cs="Arial"/>
          <w:color w:val="FF0000"/>
          <w:shd w:val="clear" w:color="auto" w:fill="FFFFFF"/>
        </w:rPr>
      </w:pPr>
      <w:r>
        <w:rPr>
          <w:rFonts w:ascii="Arial" w:hAnsi="Arial" w:cs="Arial"/>
          <w:color w:val="FF0000"/>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color w:val="auto"/>
          <w:kern w:val="0"/>
          <w:sz w:val="32"/>
          <w:szCs w:val="32"/>
        </w:rPr>
      </w:pPr>
      <w:bookmarkStart w:id="7" w:name="_Toc25314"/>
      <w:bookmarkStart w:id="8" w:name="_Toc12566"/>
      <w:bookmarkStart w:id="9" w:name="_Hlk97807141"/>
      <w:r>
        <w:rPr>
          <w:rFonts w:hint="eastAsia" w:ascii="黑体" w:hAnsi="黑体" w:eastAsia="黑体" w:cs="宋体"/>
          <w:bCs/>
          <w:color w:val="auto"/>
          <w:kern w:val="0"/>
          <w:sz w:val="32"/>
          <w:szCs w:val="32"/>
        </w:rPr>
        <w:t>一、收入支出决算总体情况说明</w:t>
      </w:r>
      <w:bookmarkEnd w:id="7"/>
      <w:bookmarkEnd w:id="8"/>
    </w:p>
    <w:p>
      <w:pPr>
        <w:ind w:firstLine="640" w:firstLineChars="200"/>
        <w:rPr>
          <w:rFonts w:ascii="仿宋_GB2312" w:eastAsia="仿宋_GB2312"/>
          <w:color w:val="auto"/>
          <w:sz w:val="32"/>
          <w:szCs w:val="32"/>
        </w:rPr>
      </w:pPr>
      <w:r>
        <w:rPr>
          <w:rFonts w:ascii="仿宋_GB2312" w:eastAsia="仿宋_GB2312"/>
          <w:color w:val="auto"/>
          <w:sz w:val="32"/>
          <w:szCs w:val="32"/>
        </w:rPr>
        <w:t>2021</w:t>
      </w:r>
      <w:r>
        <w:rPr>
          <w:rFonts w:hint="eastAsia" w:ascii="仿宋_GB2312" w:eastAsia="仿宋_GB2312"/>
          <w:color w:val="auto"/>
          <w:sz w:val="32"/>
          <w:szCs w:val="32"/>
        </w:rPr>
        <w:t>年度本年收入</w:t>
      </w:r>
      <w:r>
        <w:rPr>
          <w:rFonts w:ascii="仿宋_GB2312" w:eastAsia="仿宋_GB2312"/>
          <w:color w:val="auto"/>
          <w:sz w:val="32"/>
          <w:szCs w:val="32"/>
        </w:rPr>
        <w:t>437.90</w:t>
      </w:r>
      <w:r>
        <w:rPr>
          <w:rFonts w:hint="eastAsia" w:ascii="仿宋_GB2312" w:eastAsia="仿宋_GB2312"/>
          <w:color w:val="auto"/>
          <w:sz w:val="32"/>
          <w:szCs w:val="32"/>
        </w:rPr>
        <w:t>万元，与上年相比，增加49.47万元，</w:t>
      </w:r>
      <w:r>
        <w:rPr>
          <w:rFonts w:ascii="仿宋_GB2312" w:eastAsia="仿宋_GB2312"/>
          <w:color w:val="auto"/>
          <w:sz w:val="32"/>
          <w:szCs w:val="32"/>
        </w:rPr>
        <w:t>增长12.74</w:t>
      </w:r>
      <w:r>
        <w:rPr>
          <w:rFonts w:hint="eastAsia" w:ascii="仿宋_GB2312" w:eastAsia="仿宋_GB2312"/>
          <w:color w:val="auto"/>
          <w:sz w:val="32"/>
          <w:szCs w:val="32"/>
        </w:rPr>
        <w:t>%，主要原因是：本年新增人员，人员经费增加；本年召开两次政协</w:t>
      </w:r>
      <w:r>
        <w:rPr>
          <w:rFonts w:hint="eastAsia" w:ascii="仿宋_GB2312" w:eastAsia="仿宋_GB2312"/>
          <w:color w:val="auto"/>
          <w:sz w:val="32"/>
          <w:szCs w:val="32"/>
          <w:lang w:eastAsia="zh-CN"/>
        </w:rPr>
        <w:t>全体</w:t>
      </w:r>
      <w:r>
        <w:rPr>
          <w:rFonts w:hint="eastAsia" w:ascii="仿宋_GB2312" w:eastAsia="仿宋_GB2312"/>
          <w:color w:val="auto"/>
          <w:sz w:val="32"/>
          <w:szCs w:val="32"/>
        </w:rPr>
        <w:t>会议，会议费增加。本年支出</w:t>
      </w:r>
      <w:r>
        <w:rPr>
          <w:rFonts w:ascii="仿宋_GB2312" w:eastAsia="仿宋_GB2312"/>
          <w:color w:val="auto"/>
          <w:sz w:val="32"/>
          <w:szCs w:val="32"/>
        </w:rPr>
        <w:t>437.60</w:t>
      </w:r>
      <w:r>
        <w:rPr>
          <w:rFonts w:hint="eastAsia" w:ascii="仿宋_GB2312" w:eastAsia="仿宋_GB2312"/>
          <w:color w:val="auto"/>
          <w:sz w:val="32"/>
          <w:szCs w:val="32"/>
        </w:rPr>
        <w:t>万元，与上年相比，</w:t>
      </w:r>
      <w:r>
        <w:rPr>
          <w:rFonts w:ascii="仿宋_GB2312" w:eastAsia="仿宋_GB2312"/>
          <w:color w:val="auto"/>
          <w:sz w:val="32"/>
          <w:szCs w:val="32"/>
        </w:rPr>
        <w:t>增加61.47</w:t>
      </w:r>
      <w:r>
        <w:rPr>
          <w:rFonts w:hint="eastAsia" w:ascii="仿宋_GB2312" w:eastAsia="仿宋_GB2312"/>
          <w:color w:val="auto"/>
          <w:sz w:val="32"/>
          <w:szCs w:val="32"/>
        </w:rPr>
        <w:t>万元，</w:t>
      </w:r>
      <w:r>
        <w:rPr>
          <w:rFonts w:ascii="仿宋_GB2312" w:eastAsia="仿宋_GB2312"/>
          <w:color w:val="auto"/>
          <w:sz w:val="32"/>
          <w:szCs w:val="32"/>
        </w:rPr>
        <w:t>增长16.34</w:t>
      </w:r>
      <w:r>
        <w:rPr>
          <w:rFonts w:hint="eastAsia" w:ascii="仿宋_GB2312" w:eastAsia="仿宋_GB2312"/>
          <w:color w:val="auto"/>
          <w:sz w:val="32"/>
          <w:szCs w:val="32"/>
        </w:rPr>
        <w:t>%，主要原因是：本年新增人员，人员经费增加；本年召开两次政协</w:t>
      </w:r>
      <w:r>
        <w:rPr>
          <w:rFonts w:hint="eastAsia" w:ascii="仿宋_GB2312" w:eastAsia="仿宋_GB2312"/>
          <w:color w:val="auto"/>
          <w:sz w:val="32"/>
          <w:szCs w:val="32"/>
          <w:lang w:eastAsia="zh-CN"/>
        </w:rPr>
        <w:t>全体</w:t>
      </w:r>
      <w:r>
        <w:rPr>
          <w:rFonts w:hint="eastAsia" w:ascii="仿宋_GB2312" w:eastAsia="仿宋_GB2312"/>
          <w:color w:val="auto"/>
          <w:sz w:val="32"/>
          <w:szCs w:val="32"/>
        </w:rPr>
        <w:t>会议，会议费增加。</w:t>
      </w:r>
    </w:p>
    <w:p>
      <w:pPr>
        <w:ind w:firstLine="640" w:firstLineChars="200"/>
        <w:outlineLvl w:val="1"/>
        <w:rPr>
          <w:rFonts w:ascii="黑体" w:hAnsi="黑体" w:eastAsia="黑体" w:cs="宋体"/>
          <w:bCs/>
          <w:color w:val="auto"/>
          <w:kern w:val="0"/>
          <w:sz w:val="32"/>
          <w:szCs w:val="32"/>
        </w:rPr>
      </w:pPr>
      <w:bookmarkStart w:id="10" w:name="_Toc12142"/>
      <w:bookmarkStart w:id="11" w:name="_Toc1979"/>
      <w:r>
        <w:rPr>
          <w:rFonts w:hint="eastAsia" w:ascii="黑体" w:hAnsi="黑体" w:eastAsia="黑体" w:cs="宋体"/>
          <w:bCs/>
          <w:color w:val="auto"/>
          <w:kern w:val="0"/>
          <w:sz w:val="32"/>
          <w:szCs w:val="32"/>
        </w:rPr>
        <w:t>二、收入决算情况说明</w:t>
      </w:r>
      <w:bookmarkEnd w:id="10"/>
      <w:bookmarkEnd w:id="11"/>
    </w:p>
    <w:p>
      <w:pPr>
        <w:ind w:firstLine="640" w:firstLineChars="200"/>
        <w:rPr>
          <w:rFonts w:ascii="仿宋_GB2312" w:eastAsia="仿宋_GB2312"/>
          <w:color w:val="auto"/>
          <w:sz w:val="32"/>
          <w:szCs w:val="32"/>
        </w:rPr>
      </w:pPr>
      <w:r>
        <w:rPr>
          <w:rFonts w:ascii="仿宋_GB2312" w:eastAsia="仿宋_GB2312"/>
          <w:color w:val="auto"/>
          <w:sz w:val="32"/>
          <w:szCs w:val="32"/>
        </w:rPr>
        <w:t>2021</w:t>
      </w:r>
      <w:r>
        <w:rPr>
          <w:rFonts w:hint="eastAsia" w:ascii="仿宋_GB2312" w:eastAsia="仿宋_GB2312"/>
          <w:color w:val="auto"/>
          <w:sz w:val="32"/>
          <w:szCs w:val="32"/>
        </w:rPr>
        <w:t>年度本年收入</w:t>
      </w:r>
      <w:r>
        <w:rPr>
          <w:rFonts w:ascii="仿宋_GB2312" w:eastAsia="仿宋_GB2312"/>
          <w:color w:val="auto"/>
          <w:sz w:val="32"/>
          <w:szCs w:val="32"/>
        </w:rPr>
        <w:t>437.90</w:t>
      </w:r>
      <w:r>
        <w:rPr>
          <w:rFonts w:hint="eastAsia" w:ascii="仿宋_GB2312" w:eastAsia="仿宋_GB2312"/>
          <w:color w:val="auto"/>
          <w:sz w:val="32"/>
          <w:szCs w:val="32"/>
        </w:rPr>
        <w:t>万元，其中：财政拨款收入</w:t>
      </w:r>
      <w:r>
        <w:rPr>
          <w:rFonts w:ascii="仿宋_GB2312" w:eastAsia="仿宋_GB2312"/>
          <w:color w:val="auto"/>
          <w:sz w:val="32"/>
          <w:szCs w:val="32"/>
        </w:rPr>
        <w:t>436.90</w:t>
      </w:r>
      <w:r>
        <w:rPr>
          <w:rFonts w:hint="eastAsia" w:ascii="仿宋_GB2312" w:eastAsia="仿宋_GB2312"/>
          <w:color w:val="auto"/>
          <w:sz w:val="32"/>
          <w:szCs w:val="32"/>
        </w:rPr>
        <w:t>万元，占99.77%；上级补助收入</w:t>
      </w:r>
      <w:r>
        <w:rPr>
          <w:rFonts w:ascii="仿宋_GB2312" w:eastAsia="仿宋_GB2312"/>
          <w:color w:val="auto"/>
          <w:sz w:val="32"/>
          <w:szCs w:val="32"/>
        </w:rPr>
        <w:t>0.00</w:t>
      </w:r>
      <w:r>
        <w:rPr>
          <w:rFonts w:hint="eastAsia" w:ascii="仿宋_GB2312" w:eastAsia="仿宋_GB2312"/>
          <w:color w:val="auto"/>
          <w:sz w:val="32"/>
          <w:szCs w:val="32"/>
        </w:rPr>
        <w:t>万元，占0.00%；事业收入</w:t>
      </w:r>
      <w:r>
        <w:rPr>
          <w:rFonts w:ascii="仿宋_GB2312" w:eastAsia="仿宋_GB2312"/>
          <w:color w:val="auto"/>
          <w:sz w:val="32"/>
          <w:szCs w:val="32"/>
        </w:rPr>
        <w:t>0.00</w:t>
      </w:r>
      <w:r>
        <w:rPr>
          <w:rFonts w:hint="eastAsia" w:ascii="仿宋_GB2312" w:eastAsia="仿宋_GB2312"/>
          <w:color w:val="auto"/>
          <w:sz w:val="32"/>
          <w:szCs w:val="32"/>
        </w:rPr>
        <w:t>万元，占0.00%；经营收入</w:t>
      </w:r>
      <w:r>
        <w:rPr>
          <w:rFonts w:ascii="仿宋_GB2312" w:eastAsia="仿宋_GB2312"/>
          <w:color w:val="auto"/>
          <w:sz w:val="32"/>
          <w:szCs w:val="32"/>
        </w:rPr>
        <w:t>0.00</w:t>
      </w:r>
      <w:r>
        <w:rPr>
          <w:rFonts w:hint="eastAsia" w:ascii="仿宋_GB2312" w:eastAsia="仿宋_GB2312"/>
          <w:color w:val="auto"/>
          <w:sz w:val="32"/>
          <w:szCs w:val="32"/>
        </w:rPr>
        <w:t>万元，占0.00%；附属单位上缴收入</w:t>
      </w:r>
      <w:r>
        <w:rPr>
          <w:rFonts w:ascii="仿宋_GB2312" w:eastAsia="仿宋_GB2312"/>
          <w:color w:val="auto"/>
          <w:sz w:val="32"/>
          <w:szCs w:val="32"/>
        </w:rPr>
        <w:t>0.00</w:t>
      </w:r>
      <w:r>
        <w:rPr>
          <w:rFonts w:hint="eastAsia" w:ascii="仿宋_GB2312" w:eastAsia="仿宋_GB2312"/>
          <w:color w:val="auto"/>
          <w:sz w:val="32"/>
          <w:szCs w:val="32"/>
        </w:rPr>
        <w:t>万元，占0.00%；其他收入</w:t>
      </w:r>
      <w:r>
        <w:rPr>
          <w:rFonts w:ascii="仿宋_GB2312" w:eastAsia="仿宋_GB2312"/>
          <w:color w:val="auto"/>
          <w:sz w:val="32"/>
          <w:szCs w:val="32"/>
        </w:rPr>
        <w:t>1.00</w:t>
      </w:r>
      <w:r>
        <w:rPr>
          <w:rFonts w:hint="eastAsia" w:ascii="仿宋_GB2312" w:eastAsia="仿宋_GB2312"/>
          <w:color w:val="auto"/>
          <w:sz w:val="32"/>
          <w:szCs w:val="32"/>
        </w:rPr>
        <w:t>万元，占0.23%。</w:t>
      </w:r>
    </w:p>
    <w:p>
      <w:pPr>
        <w:ind w:firstLine="640" w:firstLineChars="200"/>
        <w:outlineLvl w:val="1"/>
        <w:rPr>
          <w:rFonts w:ascii="黑体" w:hAnsi="黑体" w:eastAsia="黑体" w:cs="宋体"/>
          <w:bCs/>
          <w:color w:val="auto"/>
          <w:kern w:val="0"/>
          <w:sz w:val="32"/>
          <w:szCs w:val="32"/>
        </w:rPr>
      </w:pPr>
      <w:bookmarkStart w:id="12" w:name="_Toc13201"/>
      <w:bookmarkStart w:id="13" w:name="_Toc27961"/>
      <w:r>
        <w:rPr>
          <w:rFonts w:hint="eastAsia" w:ascii="黑体" w:hAnsi="黑体" w:eastAsia="黑体" w:cs="宋体"/>
          <w:bCs/>
          <w:color w:val="auto"/>
          <w:kern w:val="0"/>
          <w:sz w:val="32"/>
          <w:szCs w:val="32"/>
        </w:rPr>
        <w:t>三、支出决算情况说明</w:t>
      </w:r>
      <w:bookmarkEnd w:id="12"/>
      <w:bookmarkEnd w:id="13"/>
    </w:p>
    <w:p>
      <w:pPr>
        <w:ind w:firstLine="640" w:firstLineChars="200"/>
        <w:rPr>
          <w:rFonts w:ascii="仿宋_GB2312" w:eastAsia="仿宋_GB2312"/>
          <w:color w:val="auto"/>
          <w:sz w:val="32"/>
          <w:szCs w:val="32"/>
        </w:rPr>
      </w:pPr>
      <w:r>
        <w:rPr>
          <w:rFonts w:ascii="仿宋_GB2312" w:eastAsia="仿宋_GB2312"/>
          <w:color w:val="auto"/>
          <w:sz w:val="32"/>
          <w:szCs w:val="32"/>
        </w:rPr>
        <w:t>2021</w:t>
      </w:r>
      <w:r>
        <w:rPr>
          <w:rFonts w:hint="eastAsia" w:ascii="仿宋_GB2312" w:eastAsia="仿宋_GB2312"/>
          <w:color w:val="auto"/>
          <w:sz w:val="32"/>
          <w:szCs w:val="32"/>
        </w:rPr>
        <w:t>年度本年支出437.60万元，其中：基本支出</w:t>
      </w:r>
      <w:r>
        <w:rPr>
          <w:rFonts w:ascii="仿宋_GB2312" w:eastAsia="仿宋_GB2312"/>
          <w:color w:val="auto"/>
          <w:sz w:val="32"/>
          <w:szCs w:val="32"/>
        </w:rPr>
        <w:t>429.60</w:t>
      </w:r>
      <w:r>
        <w:rPr>
          <w:rFonts w:hint="eastAsia" w:ascii="仿宋_GB2312" w:eastAsia="仿宋_GB2312"/>
          <w:color w:val="auto"/>
          <w:sz w:val="32"/>
          <w:szCs w:val="32"/>
        </w:rPr>
        <w:t>万元，占98.17%；项目支出</w:t>
      </w:r>
      <w:r>
        <w:rPr>
          <w:rFonts w:ascii="仿宋_GB2312" w:eastAsia="仿宋_GB2312"/>
          <w:color w:val="auto"/>
          <w:sz w:val="32"/>
          <w:szCs w:val="32"/>
        </w:rPr>
        <w:t>8.00</w:t>
      </w:r>
      <w:r>
        <w:rPr>
          <w:rFonts w:hint="eastAsia" w:ascii="仿宋_GB2312" w:eastAsia="仿宋_GB2312"/>
          <w:color w:val="auto"/>
          <w:sz w:val="32"/>
          <w:szCs w:val="32"/>
        </w:rPr>
        <w:t>万元，占1.83%；上缴上级支出</w:t>
      </w:r>
      <w:r>
        <w:rPr>
          <w:rFonts w:ascii="仿宋_GB2312" w:eastAsia="仿宋_GB2312"/>
          <w:color w:val="auto"/>
          <w:sz w:val="32"/>
          <w:szCs w:val="32"/>
        </w:rPr>
        <w:t>0.00</w:t>
      </w:r>
      <w:r>
        <w:rPr>
          <w:rFonts w:hint="eastAsia" w:ascii="仿宋_GB2312" w:eastAsia="仿宋_GB2312"/>
          <w:color w:val="auto"/>
          <w:sz w:val="32"/>
          <w:szCs w:val="32"/>
        </w:rPr>
        <w:t>万元，占0.00%；经营支出</w:t>
      </w:r>
      <w:r>
        <w:rPr>
          <w:rFonts w:ascii="仿宋_GB2312" w:eastAsia="仿宋_GB2312"/>
          <w:color w:val="auto"/>
          <w:sz w:val="32"/>
          <w:szCs w:val="32"/>
        </w:rPr>
        <w:t>0.00</w:t>
      </w:r>
      <w:r>
        <w:rPr>
          <w:rFonts w:hint="eastAsia" w:ascii="仿宋_GB2312" w:eastAsia="仿宋_GB2312"/>
          <w:color w:val="auto"/>
          <w:sz w:val="32"/>
          <w:szCs w:val="32"/>
        </w:rPr>
        <w:t>万元，占</w:t>
      </w:r>
      <w:r>
        <w:rPr>
          <w:rFonts w:ascii="仿宋_GB2312" w:eastAsia="仿宋_GB2312"/>
          <w:color w:val="auto"/>
          <w:sz w:val="32"/>
          <w:szCs w:val="32"/>
        </w:rPr>
        <w:t>0.00</w:t>
      </w:r>
      <w:r>
        <w:rPr>
          <w:rFonts w:hint="eastAsia" w:ascii="仿宋_GB2312" w:eastAsia="仿宋_GB2312"/>
          <w:color w:val="auto"/>
          <w:sz w:val="32"/>
          <w:szCs w:val="32"/>
        </w:rPr>
        <w:t>%；对附属单位补助支出0.00万元，占0.00%。</w:t>
      </w:r>
    </w:p>
    <w:bookmarkEnd w:id="9"/>
    <w:p>
      <w:pPr>
        <w:ind w:firstLine="640" w:firstLineChars="200"/>
        <w:outlineLvl w:val="1"/>
        <w:rPr>
          <w:rFonts w:ascii="黑体" w:hAnsi="黑体" w:eastAsia="黑体" w:cs="宋体"/>
          <w:bCs/>
          <w:color w:val="auto"/>
          <w:kern w:val="0"/>
          <w:sz w:val="32"/>
          <w:szCs w:val="32"/>
        </w:rPr>
      </w:pPr>
      <w:bookmarkStart w:id="14" w:name="_Toc26564"/>
      <w:bookmarkStart w:id="15" w:name="_Toc4393"/>
      <w:r>
        <w:rPr>
          <w:rFonts w:hint="eastAsia" w:ascii="黑体" w:hAnsi="黑体" w:eastAsia="黑体" w:cs="宋体"/>
          <w:bCs/>
          <w:color w:val="auto"/>
          <w:kern w:val="0"/>
          <w:sz w:val="32"/>
          <w:szCs w:val="32"/>
        </w:rPr>
        <w:t>四、财政拨款收入支出决算总体情况说明</w:t>
      </w:r>
      <w:bookmarkEnd w:id="14"/>
      <w:bookmarkEnd w:id="15"/>
    </w:p>
    <w:p>
      <w:pPr>
        <w:ind w:firstLine="640" w:firstLineChars="200"/>
        <w:rPr>
          <w:rFonts w:ascii="仿宋_GB2312" w:eastAsia="仿宋_GB2312"/>
          <w:color w:val="auto"/>
          <w:sz w:val="32"/>
          <w:szCs w:val="32"/>
        </w:rPr>
      </w:pPr>
      <w:r>
        <w:rPr>
          <w:rFonts w:ascii="仿宋_GB2312" w:eastAsia="仿宋_GB2312"/>
          <w:color w:val="auto"/>
          <w:sz w:val="32"/>
          <w:szCs w:val="32"/>
        </w:rPr>
        <w:t>2021</w:t>
      </w:r>
      <w:r>
        <w:rPr>
          <w:rFonts w:hint="eastAsia" w:ascii="仿宋_GB2312" w:eastAsia="仿宋_GB2312"/>
          <w:color w:val="auto"/>
          <w:sz w:val="32"/>
          <w:szCs w:val="32"/>
        </w:rPr>
        <w:t>年度财政拨款收入436.90万元，与上年相比，增加70.62万元，增长19.28%，主要原因是：本年新增人员，人员经费增加；本年召开两次政协</w:t>
      </w:r>
      <w:r>
        <w:rPr>
          <w:rFonts w:hint="eastAsia" w:ascii="仿宋_GB2312" w:eastAsia="仿宋_GB2312"/>
          <w:color w:val="auto"/>
          <w:sz w:val="32"/>
          <w:szCs w:val="32"/>
          <w:lang w:eastAsia="zh-CN"/>
        </w:rPr>
        <w:t>全体</w:t>
      </w:r>
      <w:r>
        <w:rPr>
          <w:rFonts w:hint="eastAsia" w:ascii="仿宋_GB2312" w:eastAsia="仿宋_GB2312"/>
          <w:color w:val="auto"/>
          <w:sz w:val="32"/>
          <w:szCs w:val="32"/>
        </w:rPr>
        <w:t>会议，会议费增加。财政拨款支出436.90万元，与上年相比，增加70.62万元，增长19.28%，主要原因是：本年新增人员，人员经费增加；本年召开两次政协</w:t>
      </w:r>
      <w:r>
        <w:rPr>
          <w:rFonts w:hint="eastAsia" w:ascii="仿宋_GB2312" w:eastAsia="仿宋_GB2312"/>
          <w:color w:val="auto"/>
          <w:sz w:val="32"/>
          <w:szCs w:val="32"/>
          <w:lang w:eastAsia="zh-CN"/>
        </w:rPr>
        <w:t>全体</w:t>
      </w:r>
      <w:r>
        <w:rPr>
          <w:rFonts w:hint="eastAsia" w:ascii="仿宋_GB2312" w:eastAsia="仿宋_GB2312"/>
          <w:color w:val="auto"/>
          <w:sz w:val="32"/>
          <w:szCs w:val="32"/>
        </w:rPr>
        <w:t>会议，会议费增加。</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与年初预算数相比情况：财政拨款收入年初预算数</w:t>
      </w:r>
      <w:r>
        <w:rPr>
          <w:rFonts w:ascii="仿宋_GB2312" w:eastAsia="仿宋_GB2312"/>
          <w:color w:val="auto"/>
          <w:sz w:val="32"/>
          <w:szCs w:val="32"/>
        </w:rPr>
        <w:t>371.39</w:t>
      </w:r>
      <w:r>
        <w:rPr>
          <w:rFonts w:hint="eastAsia" w:ascii="仿宋_GB2312" w:eastAsia="仿宋_GB2312"/>
          <w:color w:val="auto"/>
          <w:sz w:val="32"/>
          <w:szCs w:val="32"/>
        </w:rPr>
        <w:t>万元，决算数</w:t>
      </w:r>
      <w:r>
        <w:rPr>
          <w:rFonts w:ascii="仿宋_GB2312" w:eastAsia="仿宋_GB2312"/>
          <w:color w:val="auto"/>
          <w:sz w:val="32"/>
          <w:szCs w:val="32"/>
        </w:rPr>
        <w:t>436.90</w:t>
      </w:r>
      <w:r>
        <w:rPr>
          <w:rFonts w:hint="eastAsia" w:ascii="仿宋_GB2312" w:eastAsia="仿宋_GB2312"/>
          <w:color w:val="auto"/>
          <w:sz w:val="32"/>
          <w:szCs w:val="32"/>
        </w:rPr>
        <w:t>万元，预决算差异率</w:t>
      </w:r>
      <w:r>
        <w:rPr>
          <w:rFonts w:ascii="仿宋_GB2312" w:eastAsia="仿宋_GB2312"/>
          <w:color w:val="auto"/>
          <w:sz w:val="32"/>
          <w:szCs w:val="32"/>
        </w:rPr>
        <w:t>17.64</w:t>
      </w:r>
      <w:r>
        <w:rPr>
          <w:rFonts w:hint="eastAsia" w:ascii="仿宋_GB2312" w:eastAsia="仿宋_GB2312"/>
          <w:color w:val="auto"/>
          <w:sz w:val="32"/>
          <w:szCs w:val="32"/>
        </w:rPr>
        <w:t>%，主要原因是：本年新增人员，人员经费增加，年中追加人员经费；本年召开两次政协</w:t>
      </w:r>
      <w:r>
        <w:rPr>
          <w:rFonts w:hint="eastAsia" w:ascii="仿宋_GB2312" w:eastAsia="仿宋_GB2312"/>
          <w:color w:val="auto"/>
          <w:sz w:val="32"/>
          <w:szCs w:val="32"/>
          <w:lang w:eastAsia="zh-CN"/>
        </w:rPr>
        <w:t>全体</w:t>
      </w:r>
      <w:r>
        <w:rPr>
          <w:rFonts w:hint="eastAsia" w:ascii="仿宋_GB2312" w:eastAsia="仿宋_GB2312"/>
          <w:color w:val="auto"/>
          <w:sz w:val="32"/>
          <w:szCs w:val="32"/>
        </w:rPr>
        <w:t>会议，</w:t>
      </w:r>
      <w:r>
        <w:rPr>
          <w:rFonts w:hint="eastAsia" w:ascii="仿宋_GB2312" w:eastAsia="仿宋_GB2312"/>
          <w:color w:val="auto"/>
          <w:sz w:val="32"/>
          <w:szCs w:val="32"/>
          <w:lang w:eastAsia="zh-CN"/>
        </w:rPr>
        <w:t>且因疫情原因，两次全体会议均采取全封闭模式召开，委员住宿、餐费相应增加，</w:t>
      </w:r>
      <w:r>
        <w:rPr>
          <w:rFonts w:hint="eastAsia" w:ascii="仿宋_GB2312" w:eastAsia="仿宋_GB2312"/>
          <w:color w:val="auto"/>
          <w:sz w:val="32"/>
          <w:szCs w:val="32"/>
        </w:rPr>
        <w:t>年中追加会议费。财政拨款支出年初预算数</w:t>
      </w:r>
      <w:r>
        <w:rPr>
          <w:rFonts w:ascii="仿宋_GB2312" w:eastAsia="仿宋_GB2312"/>
          <w:color w:val="auto"/>
          <w:sz w:val="32"/>
          <w:szCs w:val="32"/>
        </w:rPr>
        <w:t>371.39</w:t>
      </w:r>
      <w:r>
        <w:rPr>
          <w:rFonts w:hint="eastAsia" w:ascii="仿宋_GB2312" w:eastAsia="仿宋_GB2312"/>
          <w:color w:val="auto"/>
          <w:sz w:val="32"/>
          <w:szCs w:val="32"/>
        </w:rPr>
        <w:t>万元，决算数</w:t>
      </w:r>
      <w:r>
        <w:rPr>
          <w:rFonts w:ascii="仿宋_GB2312" w:eastAsia="仿宋_GB2312"/>
          <w:color w:val="auto"/>
          <w:sz w:val="32"/>
          <w:szCs w:val="32"/>
        </w:rPr>
        <w:t>436.90</w:t>
      </w:r>
      <w:r>
        <w:rPr>
          <w:rFonts w:hint="eastAsia" w:ascii="仿宋_GB2312" w:eastAsia="仿宋_GB2312"/>
          <w:color w:val="auto"/>
          <w:sz w:val="32"/>
          <w:szCs w:val="32"/>
        </w:rPr>
        <w:t>万元，预决算差异率17.64%，主要原因是：本年新增人员，人员经费增加，年中追加人员经费；本年召开两次政协</w:t>
      </w:r>
      <w:r>
        <w:rPr>
          <w:rFonts w:hint="eastAsia" w:ascii="仿宋_GB2312" w:eastAsia="仿宋_GB2312"/>
          <w:color w:val="auto"/>
          <w:sz w:val="32"/>
          <w:szCs w:val="32"/>
          <w:lang w:eastAsia="zh-CN"/>
        </w:rPr>
        <w:t>全体</w:t>
      </w:r>
      <w:r>
        <w:rPr>
          <w:rFonts w:hint="eastAsia" w:ascii="仿宋_GB2312" w:eastAsia="仿宋_GB2312"/>
          <w:color w:val="auto"/>
          <w:sz w:val="32"/>
          <w:szCs w:val="32"/>
        </w:rPr>
        <w:t>会议，</w:t>
      </w:r>
      <w:r>
        <w:rPr>
          <w:rFonts w:hint="eastAsia" w:ascii="仿宋_GB2312" w:eastAsia="仿宋_GB2312"/>
          <w:color w:val="auto"/>
          <w:sz w:val="32"/>
          <w:szCs w:val="32"/>
          <w:lang w:eastAsia="zh-CN"/>
        </w:rPr>
        <w:t>且因疫情原因，两次全体会议均采取全封闭模式召开，委员住宿、餐费相应增加，</w:t>
      </w:r>
      <w:r>
        <w:rPr>
          <w:rFonts w:hint="eastAsia" w:ascii="仿宋_GB2312" w:eastAsia="仿宋_GB2312"/>
          <w:color w:val="auto"/>
          <w:sz w:val="32"/>
          <w:szCs w:val="32"/>
        </w:rPr>
        <w:t>年中追加会议费。</w:t>
      </w:r>
    </w:p>
    <w:p>
      <w:pPr>
        <w:ind w:firstLine="640" w:firstLineChars="200"/>
        <w:outlineLvl w:val="1"/>
        <w:rPr>
          <w:rFonts w:ascii="黑体" w:hAnsi="黑体" w:eastAsia="黑体" w:cs="宋体"/>
          <w:bCs/>
          <w:color w:val="auto"/>
          <w:kern w:val="0"/>
          <w:sz w:val="32"/>
          <w:szCs w:val="32"/>
        </w:rPr>
      </w:pPr>
      <w:bookmarkStart w:id="16" w:name="_Toc13833"/>
      <w:bookmarkStart w:id="17" w:name="_Toc20360"/>
      <w:r>
        <w:rPr>
          <w:rFonts w:hint="eastAsia" w:ascii="黑体" w:hAnsi="黑体" w:eastAsia="黑体" w:cs="宋体"/>
          <w:bCs/>
          <w:color w:val="auto"/>
          <w:kern w:val="0"/>
          <w:sz w:val="32"/>
          <w:szCs w:val="32"/>
        </w:rPr>
        <w:t>五、一般公共预算财政拨款支出决算情况说明</w:t>
      </w:r>
      <w:bookmarkEnd w:id="16"/>
      <w:bookmarkEnd w:id="17"/>
    </w:p>
    <w:p>
      <w:pPr>
        <w:ind w:firstLine="640" w:firstLineChars="200"/>
        <w:rPr>
          <w:rFonts w:ascii="仿宋_GB2312" w:eastAsia="仿宋_GB2312"/>
          <w:color w:val="auto"/>
          <w:sz w:val="32"/>
          <w:szCs w:val="32"/>
        </w:rPr>
      </w:pPr>
      <w:r>
        <w:rPr>
          <w:rFonts w:ascii="仿宋_GB2312" w:eastAsia="仿宋_GB2312"/>
          <w:color w:val="auto"/>
          <w:sz w:val="32"/>
          <w:szCs w:val="32"/>
        </w:rPr>
        <w:t>2021</w:t>
      </w:r>
      <w:r>
        <w:rPr>
          <w:rFonts w:hint="eastAsia" w:ascii="仿宋_GB2312" w:eastAsia="仿宋_GB2312"/>
          <w:color w:val="auto"/>
          <w:sz w:val="32"/>
          <w:szCs w:val="32"/>
        </w:rPr>
        <w:t>年度一般公共预算财政拨款支出436.90万元。按功能分类科目项级科目公开，其中：</w:t>
      </w:r>
    </w:p>
    <w:p>
      <w:pPr>
        <w:jc w:val="left"/>
        <w:rPr>
          <w:rFonts w:ascii="仿宋_GB2312" w:eastAsia="仿宋_GB2312"/>
          <w:color w:val="auto"/>
          <w:sz w:val="32"/>
          <w:szCs w:val="32"/>
        </w:rPr>
      </w:pPr>
      <w:bookmarkStart w:id="18" w:name="_Toc30870"/>
      <w:bookmarkStart w:id="19" w:name="_Toc11146"/>
      <w:r>
        <w:rPr>
          <w:rFonts w:ascii="仿宋_GB2312" w:eastAsia="仿宋_GB2312"/>
          <w:color w:val="auto"/>
          <w:sz w:val="32"/>
          <w:szCs w:val="32"/>
        </w:rPr>
        <w:tab/>
      </w:r>
      <w:r>
        <w:rPr>
          <w:rFonts w:ascii="仿宋_GB2312" w:eastAsia="仿宋_GB2312"/>
          <w:color w:val="auto"/>
          <w:sz w:val="32"/>
          <w:szCs w:val="32"/>
        </w:rPr>
        <w:t xml:space="preserve"> 2010201行政运行323.54万元；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2010299其他政协事务支出3.00万元；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2080501行政单位离退休4.10万元；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2080505机关事业单位基本养老保险缴费支出23.67万元；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2080506机关事业单位职业年金缴费支出36.63万元；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2101101行政单位医疗29.92万元；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2101102事业单位医疗1.12万元；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2101103公务员医疗补助9.91万元；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2299999其他支出5.00万元。</w:t>
      </w:r>
    </w:p>
    <w:p>
      <w:pPr>
        <w:rPr>
          <w:rFonts w:ascii="仿宋_GB2312" w:eastAsia="仿宋_GB2312"/>
          <w:color w:val="auto"/>
          <w:sz w:val="32"/>
          <w:szCs w:val="32"/>
        </w:rPr>
      </w:pPr>
      <w:r>
        <w:rPr>
          <w:rFonts w:ascii="仿宋_GB2312" w:eastAsia="仿宋_GB2312"/>
          <w:color w:val="auto"/>
          <w:sz w:val="32"/>
          <w:szCs w:val="32"/>
        </w:rPr>
        <w:tab/>
      </w:r>
      <w:r>
        <w:rPr>
          <w:rFonts w:ascii="仿宋_GB2312" w:eastAsia="仿宋_GB2312"/>
          <w:color w:val="auto"/>
          <w:sz w:val="32"/>
          <w:szCs w:val="32"/>
        </w:rPr>
        <w:t xml:space="preserve"> </w:t>
      </w:r>
      <w:r>
        <w:rPr>
          <w:rFonts w:hint="eastAsia" w:ascii="黑体" w:hAnsi="黑体" w:eastAsia="黑体" w:cs="宋体"/>
          <w:bCs/>
          <w:color w:val="auto"/>
          <w:kern w:val="0"/>
          <w:sz w:val="32"/>
          <w:szCs w:val="32"/>
        </w:rPr>
        <w:t>六、一般公共预算财政拨款基本支出决算情况说明</w:t>
      </w:r>
      <w:bookmarkEnd w:id="18"/>
      <w:bookmarkEnd w:id="19"/>
    </w:p>
    <w:p>
      <w:pPr>
        <w:ind w:firstLine="640" w:firstLineChars="200"/>
        <w:rPr>
          <w:rFonts w:ascii="仿宋_GB2312" w:eastAsia="仿宋_GB2312"/>
          <w:color w:val="auto"/>
          <w:sz w:val="32"/>
          <w:szCs w:val="32"/>
        </w:rPr>
      </w:pPr>
      <w:r>
        <w:rPr>
          <w:rFonts w:ascii="仿宋_GB2312" w:eastAsia="仿宋_GB2312"/>
          <w:color w:val="auto"/>
          <w:sz w:val="32"/>
          <w:szCs w:val="32"/>
        </w:rPr>
        <w:t>2021</w:t>
      </w:r>
      <w:r>
        <w:rPr>
          <w:rFonts w:hint="eastAsia" w:ascii="仿宋_GB2312" w:eastAsia="仿宋_GB2312"/>
          <w:color w:val="auto"/>
          <w:sz w:val="32"/>
          <w:szCs w:val="32"/>
        </w:rPr>
        <w:t>年度一般公共预算财政拨款基本支出</w:t>
      </w:r>
      <w:r>
        <w:rPr>
          <w:rFonts w:ascii="仿宋_GB2312" w:eastAsia="仿宋_GB2312"/>
          <w:color w:val="auto"/>
          <w:sz w:val="32"/>
          <w:szCs w:val="32"/>
        </w:rPr>
        <w:t>428.90</w:t>
      </w:r>
      <w:r>
        <w:rPr>
          <w:rFonts w:hint="eastAsia" w:ascii="仿宋_GB2312" w:eastAsia="仿宋_GB2312"/>
          <w:color w:val="auto"/>
          <w:sz w:val="32"/>
          <w:szCs w:val="32"/>
        </w:rPr>
        <w:t>万元，其中：</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人员经费</w:t>
      </w:r>
      <w:r>
        <w:rPr>
          <w:rFonts w:ascii="仿宋_GB2312" w:eastAsia="仿宋_GB2312"/>
          <w:color w:val="auto"/>
          <w:sz w:val="32"/>
          <w:szCs w:val="32"/>
        </w:rPr>
        <w:t>325.81</w:t>
      </w:r>
      <w:r>
        <w:rPr>
          <w:rFonts w:hint="eastAsia" w:ascii="仿宋_GB2312" w:eastAsia="仿宋_GB2312"/>
          <w:color w:val="auto"/>
          <w:sz w:val="32"/>
          <w:szCs w:val="32"/>
        </w:rPr>
        <w:t>万元，包括：基本工资、津贴补贴、奖金、伙食补助费、绩效工资、机关事业单位基本养老保险缴费、职业年金缴费、职工基本医疗保险缴费、公务员医疗补助缴费、其他社会保障缴费、住房公积金、其他工资福利支出、退休费、生活补助</w:t>
      </w:r>
      <w:r>
        <w:rPr>
          <w:rFonts w:hint="eastAsia" w:ascii="仿宋_GB2312" w:hAnsi="宋体" w:eastAsia="仿宋_GB2312" w:cs="宋体"/>
          <w:color w:val="auto"/>
          <w:kern w:val="0"/>
          <w:sz w:val="32"/>
          <w:szCs w:val="32"/>
        </w:rPr>
        <w:t>。</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公用经费103.09万元，包括：办公费、印刷费、邮电费、差旅费、维修（护）费、会议费、公务接待费、劳务费、工会经费、其他交通费用、其他商品和服务支出</w:t>
      </w:r>
      <w:r>
        <w:rPr>
          <w:rFonts w:hint="eastAsia" w:ascii="仿宋_GB2312" w:hAnsi="宋体" w:eastAsia="仿宋_GB2312" w:cs="宋体"/>
          <w:color w:val="auto"/>
          <w:kern w:val="0"/>
          <w:sz w:val="32"/>
          <w:szCs w:val="32"/>
        </w:rPr>
        <w:t>。</w:t>
      </w:r>
    </w:p>
    <w:p>
      <w:pPr>
        <w:ind w:firstLine="640" w:firstLineChars="200"/>
        <w:outlineLvl w:val="1"/>
        <w:rPr>
          <w:rFonts w:ascii="黑体" w:hAnsi="黑体" w:eastAsia="黑体" w:cs="宋体"/>
          <w:bCs/>
          <w:color w:val="auto"/>
          <w:kern w:val="0"/>
          <w:sz w:val="32"/>
          <w:szCs w:val="32"/>
        </w:rPr>
      </w:pPr>
      <w:bookmarkStart w:id="20" w:name="_Toc7190"/>
      <w:bookmarkStart w:id="21" w:name="_Toc21518"/>
      <w:r>
        <w:rPr>
          <w:rFonts w:hint="eastAsia" w:ascii="黑体" w:hAnsi="黑体" w:eastAsia="黑体" w:cs="宋体"/>
          <w:bCs/>
          <w:color w:val="auto"/>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color w:val="auto"/>
          <w:sz w:val="32"/>
          <w:szCs w:val="32"/>
        </w:rPr>
      </w:pPr>
      <w:r>
        <w:rPr>
          <w:rFonts w:ascii="仿宋_GB2312" w:eastAsia="仿宋_GB2312"/>
          <w:color w:val="auto"/>
          <w:sz w:val="32"/>
          <w:szCs w:val="32"/>
        </w:rPr>
        <w:t>2021年度一般公共预算“三公”经费支出决算1.87万元，比上年增加0.00万元，增长0.00%，主要原因是</w:t>
      </w:r>
      <w:r>
        <w:rPr>
          <w:rFonts w:hint="eastAsia" w:ascii="仿宋_GB2312" w:eastAsia="仿宋_GB2312"/>
          <w:color w:val="auto"/>
          <w:sz w:val="32"/>
          <w:szCs w:val="32"/>
          <w:lang w:eastAsia="zh-CN"/>
        </w:rPr>
        <w:t>：</w:t>
      </w:r>
      <w:r>
        <w:rPr>
          <w:rFonts w:ascii="仿宋_GB2312" w:eastAsia="仿宋_GB2312"/>
          <w:color w:val="auto"/>
          <w:sz w:val="32"/>
          <w:szCs w:val="32"/>
        </w:rPr>
        <w:t>本年数与上年数一致，无变化。其中</w:t>
      </w:r>
      <w:r>
        <w:rPr>
          <w:rFonts w:hint="eastAsia" w:ascii="仿宋_GB2312" w:eastAsia="仿宋_GB2312"/>
          <w:color w:val="auto"/>
          <w:sz w:val="32"/>
          <w:szCs w:val="32"/>
          <w:lang w:eastAsia="zh-CN"/>
        </w:rPr>
        <w:t>：</w:t>
      </w:r>
      <w:r>
        <w:rPr>
          <w:rFonts w:ascii="仿宋_GB2312" w:eastAsia="仿宋_GB2312"/>
          <w:color w:val="auto"/>
          <w:sz w:val="32"/>
          <w:szCs w:val="32"/>
        </w:rPr>
        <w:t>因公出国（境）费支出0.00万元，占0.00%，比上年增加0.00万元，增长0.00%，主要原因是</w:t>
      </w:r>
      <w:r>
        <w:rPr>
          <w:rFonts w:hint="eastAsia" w:ascii="仿宋_GB2312" w:eastAsia="仿宋_GB2312"/>
          <w:color w:val="auto"/>
          <w:sz w:val="32"/>
          <w:szCs w:val="32"/>
          <w:lang w:eastAsia="zh-CN"/>
        </w:rPr>
        <w:t>：</w:t>
      </w:r>
      <w:r>
        <w:rPr>
          <w:rFonts w:ascii="仿宋_GB2312" w:eastAsia="仿宋_GB2312"/>
          <w:color w:val="auto"/>
          <w:sz w:val="32"/>
          <w:szCs w:val="32"/>
        </w:rPr>
        <w:t>我单位无因公出国（境）费；公务用车购置及运行维护费支出0.00万元，占0.00%，比上年增加0.00万元，增长0.00%，主要原因是：我单位无公务用车购置及运行维修费；公务接待费支出1.87万元，占100.00%，比上年增加0.00万元，增长0.00%，主要原因是</w:t>
      </w:r>
      <w:r>
        <w:rPr>
          <w:rFonts w:hint="eastAsia" w:ascii="仿宋_GB2312" w:eastAsia="仿宋_GB2312"/>
          <w:color w:val="auto"/>
          <w:sz w:val="32"/>
          <w:szCs w:val="32"/>
          <w:lang w:eastAsia="zh-CN"/>
        </w:rPr>
        <w:t>：</w:t>
      </w:r>
      <w:r>
        <w:rPr>
          <w:rFonts w:ascii="仿宋_GB2312" w:eastAsia="仿宋_GB2312"/>
          <w:color w:val="auto"/>
          <w:sz w:val="32"/>
          <w:szCs w:val="32"/>
        </w:rPr>
        <w:t>本年数与上年数一致，无变化。具体情况如下：</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因公出国（境）费支出</w:t>
      </w:r>
      <w:r>
        <w:rPr>
          <w:rFonts w:ascii="仿宋_GB2312" w:eastAsia="仿宋_GB2312"/>
          <w:color w:val="auto"/>
          <w:sz w:val="32"/>
          <w:szCs w:val="32"/>
        </w:rPr>
        <w:t>0.00</w:t>
      </w:r>
      <w:r>
        <w:rPr>
          <w:rFonts w:hint="eastAsia" w:ascii="仿宋_GB2312" w:eastAsia="仿宋_GB2312"/>
          <w:color w:val="auto"/>
          <w:sz w:val="32"/>
          <w:szCs w:val="32"/>
        </w:rPr>
        <w:t>万元，开支内容包括我单位无因公出国（境）费。单位全年安排的因公出国（境）团组</w:t>
      </w:r>
      <w:r>
        <w:rPr>
          <w:rFonts w:ascii="仿宋_GB2312" w:eastAsia="仿宋_GB2312"/>
          <w:color w:val="auto"/>
          <w:sz w:val="32"/>
          <w:szCs w:val="32"/>
        </w:rPr>
        <w:t>0</w:t>
      </w:r>
      <w:r>
        <w:rPr>
          <w:rFonts w:hint="eastAsia" w:ascii="仿宋_GB2312" w:eastAsia="仿宋_GB2312"/>
          <w:color w:val="auto"/>
          <w:sz w:val="32"/>
          <w:szCs w:val="32"/>
        </w:rPr>
        <w:t>个，因公出国（境）0人次。</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公务用车购置及运行维护费</w:t>
      </w:r>
      <w:r>
        <w:rPr>
          <w:rFonts w:ascii="仿宋_GB2312" w:eastAsia="仿宋_GB2312"/>
          <w:color w:val="auto"/>
          <w:sz w:val="32"/>
          <w:szCs w:val="32"/>
        </w:rPr>
        <w:t>0.00</w:t>
      </w:r>
      <w:r>
        <w:rPr>
          <w:rFonts w:hint="eastAsia" w:ascii="仿宋_GB2312" w:eastAsia="仿宋_GB2312"/>
          <w:color w:val="auto"/>
          <w:sz w:val="32"/>
          <w:szCs w:val="32"/>
        </w:rPr>
        <w:t>万元，其中</w:t>
      </w:r>
      <w:r>
        <w:rPr>
          <w:rFonts w:hint="eastAsia" w:ascii="仿宋_GB2312" w:eastAsia="仿宋_GB2312"/>
          <w:color w:val="auto"/>
          <w:sz w:val="32"/>
          <w:szCs w:val="32"/>
          <w:lang w:eastAsia="zh-CN"/>
        </w:rPr>
        <w:t>：</w:t>
      </w:r>
      <w:r>
        <w:rPr>
          <w:rFonts w:hint="eastAsia" w:ascii="仿宋_GB2312" w:eastAsia="仿宋_GB2312"/>
          <w:color w:val="auto"/>
          <w:sz w:val="32"/>
          <w:szCs w:val="32"/>
        </w:rPr>
        <w:t>公务用车购置费</w:t>
      </w:r>
      <w:r>
        <w:rPr>
          <w:rFonts w:ascii="仿宋_GB2312" w:eastAsia="仿宋_GB2312"/>
          <w:color w:val="auto"/>
          <w:sz w:val="32"/>
          <w:szCs w:val="32"/>
        </w:rPr>
        <w:t>0.00</w:t>
      </w:r>
      <w:r>
        <w:rPr>
          <w:rFonts w:hint="eastAsia" w:ascii="仿宋_GB2312" w:eastAsia="仿宋_GB2312"/>
          <w:color w:val="auto"/>
          <w:sz w:val="32"/>
          <w:szCs w:val="32"/>
        </w:rPr>
        <w:t>万元，公务用车运行维护费</w:t>
      </w:r>
      <w:r>
        <w:rPr>
          <w:rFonts w:ascii="仿宋_GB2312" w:eastAsia="仿宋_GB2312"/>
          <w:color w:val="auto"/>
          <w:sz w:val="32"/>
          <w:szCs w:val="32"/>
        </w:rPr>
        <w:t>0.00</w:t>
      </w:r>
      <w:r>
        <w:rPr>
          <w:rFonts w:hint="eastAsia" w:ascii="仿宋_GB2312" w:eastAsia="仿宋_GB2312"/>
          <w:color w:val="auto"/>
          <w:sz w:val="32"/>
          <w:szCs w:val="32"/>
        </w:rPr>
        <w:t>万元。公务用车运行维护费开支内容包括：我单位无公务用车运行维修费。公务用车购置数</w:t>
      </w:r>
      <w:r>
        <w:rPr>
          <w:rFonts w:ascii="仿宋_GB2312" w:eastAsia="仿宋_GB2312"/>
          <w:color w:val="auto"/>
          <w:sz w:val="32"/>
          <w:szCs w:val="32"/>
        </w:rPr>
        <w:t>0</w:t>
      </w:r>
      <w:r>
        <w:rPr>
          <w:rFonts w:hint="eastAsia" w:ascii="仿宋_GB2312" w:eastAsia="仿宋_GB2312"/>
          <w:color w:val="auto"/>
          <w:sz w:val="32"/>
          <w:szCs w:val="32"/>
        </w:rPr>
        <w:t>辆，公务用车保有量0辆。</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公务接待费</w:t>
      </w:r>
      <w:r>
        <w:rPr>
          <w:rFonts w:ascii="仿宋_GB2312" w:eastAsia="仿宋_GB2312"/>
          <w:color w:val="auto"/>
          <w:sz w:val="32"/>
          <w:szCs w:val="32"/>
        </w:rPr>
        <w:t>1.87</w:t>
      </w:r>
      <w:r>
        <w:rPr>
          <w:rFonts w:hint="eastAsia" w:ascii="仿宋_GB2312" w:eastAsia="仿宋_GB2312"/>
          <w:color w:val="auto"/>
          <w:sz w:val="32"/>
          <w:szCs w:val="32"/>
        </w:rPr>
        <w:t>万元，开支内容包括接待上级</w:t>
      </w:r>
      <w:r>
        <w:rPr>
          <w:rFonts w:hint="eastAsia" w:ascii="仿宋_GB2312" w:eastAsia="仿宋_GB2312"/>
          <w:color w:val="auto"/>
          <w:sz w:val="32"/>
          <w:szCs w:val="32"/>
          <w:lang w:eastAsia="zh-CN"/>
        </w:rPr>
        <w:t>领导检查指导工作</w:t>
      </w:r>
      <w:r>
        <w:rPr>
          <w:rFonts w:hint="eastAsia" w:ascii="仿宋_GB2312" w:eastAsia="仿宋_GB2312"/>
          <w:color w:val="auto"/>
          <w:sz w:val="32"/>
          <w:szCs w:val="32"/>
        </w:rPr>
        <w:t>人员的就餐费。单位全年安排的国内公务接待</w:t>
      </w:r>
      <w:r>
        <w:rPr>
          <w:rFonts w:ascii="仿宋_GB2312" w:eastAsia="仿宋_GB2312"/>
          <w:color w:val="auto"/>
          <w:sz w:val="32"/>
          <w:szCs w:val="32"/>
        </w:rPr>
        <w:t>18</w:t>
      </w:r>
      <w:r>
        <w:rPr>
          <w:rFonts w:hint="eastAsia" w:ascii="仿宋_GB2312" w:eastAsia="仿宋_GB2312"/>
          <w:color w:val="auto"/>
          <w:sz w:val="32"/>
          <w:szCs w:val="32"/>
        </w:rPr>
        <w:t>批次，</w:t>
      </w:r>
      <w:r>
        <w:rPr>
          <w:rFonts w:ascii="仿宋_GB2312" w:eastAsia="仿宋_GB2312"/>
          <w:color w:val="auto"/>
          <w:sz w:val="32"/>
          <w:szCs w:val="32"/>
        </w:rPr>
        <w:t>298</w:t>
      </w:r>
      <w:r>
        <w:rPr>
          <w:rFonts w:hint="eastAsia" w:ascii="仿宋_GB2312" w:eastAsia="仿宋_GB2312"/>
          <w:color w:val="auto"/>
          <w:sz w:val="32"/>
          <w:szCs w:val="32"/>
        </w:rPr>
        <w:t>人次。</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与年初预算数相比情况：一般公共预算“三公”经费支出年初预算数17.87万元，决算数</w:t>
      </w:r>
      <w:r>
        <w:rPr>
          <w:rFonts w:ascii="仿宋_GB2312" w:eastAsia="仿宋_GB2312"/>
          <w:color w:val="auto"/>
          <w:sz w:val="32"/>
          <w:szCs w:val="32"/>
        </w:rPr>
        <w:t>1.87</w:t>
      </w:r>
      <w:r>
        <w:rPr>
          <w:rFonts w:hint="eastAsia" w:ascii="仿宋_GB2312" w:eastAsia="仿宋_GB2312"/>
          <w:color w:val="auto"/>
          <w:sz w:val="32"/>
          <w:szCs w:val="32"/>
        </w:rPr>
        <w:t>万元，预决算差异率-89.54%，主要原因是：根据中央八项规定，倡导节约，压缩支出。</w:t>
      </w:r>
      <w:r>
        <w:rPr>
          <w:rFonts w:hint="eastAsia" w:ascii="仿宋_GB2312" w:hAnsi="宋体" w:eastAsia="仿宋_GB2312" w:cs="宋体"/>
          <w:color w:val="auto"/>
          <w:kern w:val="0"/>
          <w:sz w:val="32"/>
          <w:szCs w:val="32"/>
        </w:rPr>
        <w:t>其中：因公出国（境）费</w:t>
      </w:r>
      <w:r>
        <w:rPr>
          <w:rFonts w:hint="eastAsia" w:ascii="仿宋_GB2312" w:eastAsia="仿宋_GB2312"/>
          <w:color w:val="auto"/>
          <w:sz w:val="32"/>
          <w:szCs w:val="32"/>
        </w:rPr>
        <w:t>预算数0.00万元，决算数0.00万元，预决算差异率0.00%，主要原因是：我单位无因公出国（境）费；</w:t>
      </w:r>
      <w:r>
        <w:rPr>
          <w:rFonts w:hint="eastAsia" w:ascii="仿宋_GB2312" w:hAnsi="宋体" w:eastAsia="仿宋_GB2312" w:cs="宋体"/>
          <w:color w:val="auto"/>
          <w:kern w:val="0"/>
          <w:sz w:val="32"/>
          <w:szCs w:val="32"/>
        </w:rPr>
        <w:t>公务用车购置</w:t>
      </w:r>
      <w:r>
        <w:rPr>
          <w:rFonts w:hint="eastAsia" w:ascii="仿宋_GB2312" w:eastAsia="仿宋_GB2312"/>
          <w:color w:val="auto"/>
          <w:sz w:val="32"/>
          <w:szCs w:val="32"/>
        </w:rPr>
        <w:t>费预算数0.00万元，决算数0.00万元，预决算差异率0.00%，主要原因是：我单位无公务用车购置费；</w:t>
      </w:r>
      <w:r>
        <w:rPr>
          <w:rFonts w:hint="eastAsia" w:ascii="仿宋_GB2312" w:hAnsi="宋体" w:eastAsia="仿宋_GB2312" w:cs="宋体"/>
          <w:color w:val="auto"/>
          <w:kern w:val="0"/>
          <w:sz w:val="32"/>
          <w:szCs w:val="32"/>
        </w:rPr>
        <w:t>公务用车运行费</w:t>
      </w:r>
      <w:r>
        <w:rPr>
          <w:rFonts w:hint="eastAsia" w:ascii="仿宋_GB2312" w:eastAsia="仿宋_GB2312"/>
          <w:color w:val="auto"/>
          <w:sz w:val="32"/>
          <w:szCs w:val="32"/>
        </w:rPr>
        <w:t>预算数16.00万元，决算数0.00万元，预决算差异率-100.00%，主要原因是：严控经费支出，厉行节约，本年未发生公务用车运行费；</w:t>
      </w:r>
      <w:r>
        <w:rPr>
          <w:rFonts w:hint="eastAsia" w:ascii="仿宋_GB2312" w:hAnsi="宋体" w:eastAsia="仿宋_GB2312" w:cs="宋体"/>
          <w:color w:val="auto"/>
          <w:kern w:val="0"/>
          <w:sz w:val="32"/>
          <w:szCs w:val="32"/>
        </w:rPr>
        <w:t>公务接待费</w:t>
      </w:r>
      <w:r>
        <w:rPr>
          <w:rFonts w:hint="eastAsia" w:ascii="仿宋_GB2312" w:eastAsia="仿宋_GB2312"/>
          <w:color w:val="auto"/>
          <w:sz w:val="32"/>
          <w:szCs w:val="32"/>
        </w:rPr>
        <w:t>预算数</w:t>
      </w:r>
      <w:r>
        <w:rPr>
          <w:rFonts w:ascii="仿宋_GB2312" w:eastAsia="仿宋_GB2312"/>
          <w:color w:val="auto"/>
          <w:sz w:val="32"/>
          <w:szCs w:val="32"/>
        </w:rPr>
        <w:t>1.87</w:t>
      </w:r>
      <w:r>
        <w:rPr>
          <w:rFonts w:hint="eastAsia" w:ascii="仿宋_GB2312" w:eastAsia="仿宋_GB2312"/>
          <w:color w:val="auto"/>
          <w:sz w:val="32"/>
          <w:szCs w:val="32"/>
        </w:rPr>
        <w:t>万元，决算数</w:t>
      </w:r>
      <w:r>
        <w:rPr>
          <w:rFonts w:ascii="仿宋_GB2312" w:eastAsia="仿宋_GB2312"/>
          <w:color w:val="auto"/>
          <w:sz w:val="32"/>
          <w:szCs w:val="32"/>
        </w:rPr>
        <w:t>1.87</w:t>
      </w:r>
      <w:r>
        <w:rPr>
          <w:rFonts w:hint="eastAsia" w:ascii="仿宋_GB2312" w:eastAsia="仿宋_GB2312"/>
          <w:color w:val="auto"/>
          <w:sz w:val="32"/>
          <w:szCs w:val="32"/>
        </w:rPr>
        <w:t>万元，预决算差异率0.00%，主要原因是：预决算一致，无差异。</w:t>
      </w:r>
    </w:p>
    <w:p>
      <w:pPr>
        <w:ind w:firstLine="640" w:firstLineChars="200"/>
        <w:outlineLvl w:val="1"/>
        <w:rPr>
          <w:rFonts w:ascii="黑体" w:hAnsi="黑体" w:eastAsia="黑体" w:cs="宋体"/>
          <w:bCs/>
          <w:color w:val="auto"/>
          <w:kern w:val="0"/>
          <w:sz w:val="32"/>
          <w:szCs w:val="32"/>
        </w:rPr>
      </w:pPr>
      <w:bookmarkStart w:id="22" w:name="_Toc5810"/>
      <w:bookmarkStart w:id="23" w:name="_Toc7927"/>
      <w:r>
        <w:rPr>
          <w:rFonts w:hint="eastAsia" w:ascii="黑体" w:hAnsi="黑体" w:eastAsia="黑体" w:cs="宋体"/>
          <w:bCs/>
          <w:color w:val="auto"/>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color w:val="auto"/>
          <w:kern w:val="0"/>
          <w:sz w:val="32"/>
          <w:szCs w:val="32"/>
          <w:lang w:eastAsia="zh-CN"/>
        </w:rPr>
      </w:pPr>
      <w:r>
        <w:rPr>
          <w:rFonts w:hint="eastAsia" w:ascii="仿宋_GB2312" w:hAnsi="宋体" w:eastAsia="仿宋_GB2312"/>
          <w:color w:val="auto"/>
          <w:kern w:val="0"/>
          <w:sz w:val="32"/>
          <w:szCs w:val="32"/>
        </w:rPr>
        <w:t>我单位本年度无政府性基金预算财政拨款收入支出，政府性基金预算财政拨款收入支出决算表为空表</w:t>
      </w:r>
      <w:r>
        <w:rPr>
          <w:rFonts w:hint="eastAsia" w:ascii="仿宋_GB2312" w:hAnsi="宋体" w:eastAsia="仿宋_GB2312"/>
          <w:color w:val="auto"/>
          <w:kern w:val="0"/>
          <w:sz w:val="32"/>
          <w:szCs w:val="32"/>
          <w:lang w:eastAsia="zh-CN"/>
        </w:rPr>
        <w:t>。</w:t>
      </w:r>
    </w:p>
    <w:p>
      <w:pPr>
        <w:ind w:firstLine="640" w:firstLineChars="200"/>
        <w:rPr>
          <w:rFonts w:ascii="仿宋_GB2312" w:eastAsia="仿宋_GB2312"/>
          <w:color w:val="auto"/>
          <w:sz w:val="32"/>
          <w:szCs w:val="32"/>
        </w:rPr>
      </w:pPr>
      <w:r>
        <w:rPr>
          <w:rFonts w:hint="eastAsia" w:ascii="黑体" w:hAnsi="黑体" w:eastAsia="黑体" w:cs="宋体"/>
          <w:bCs/>
          <w:color w:val="auto"/>
          <w:kern w:val="0"/>
          <w:sz w:val="32"/>
          <w:szCs w:val="32"/>
        </w:rPr>
        <w:t>九、国有资本经营预算财政拨款收入支出决算情况说明</w:t>
      </w:r>
    </w:p>
    <w:p>
      <w:pPr>
        <w:ind w:firstLine="640" w:firstLineChars="200"/>
        <w:rPr>
          <w:rFonts w:ascii="Arial" w:hAnsi="Arial" w:cs="Arial"/>
          <w:color w:val="auto"/>
          <w:shd w:val="clear" w:color="auto" w:fill="FFFFFF"/>
        </w:rPr>
      </w:pPr>
      <w:r>
        <w:rPr>
          <w:rFonts w:hint="eastAsia" w:ascii="仿宋_GB2312" w:eastAsia="仿宋_GB2312"/>
          <w:color w:val="auto"/>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color w:val="auto"/>
          <w:kern w:val="0"/>
          <w:sz w:val="32"/>
          <w:szCs w:val="32"/>
        </w:rPr>
      </w:pPr>
      <w:bookmarkStart w:id="24" w:name="_Toc1235"/>
      <w:bookmarkStart w:id="25" w:name="_Toc7314"/>
      <w:r>
        <w:rPr>
          <w:rFonts w:hint="eastAsia" w:ascii="黑体" w:hAnsi="黑体" w:eastAsia="黑体" w:cs="宋体"/>
          <w:bCs/>
          <w:color w:val="auto"/>
          <w:kern w:val="0"/>
          <w:sz w:val="32"/>
          <w:szCs w:val="32"/>
        </w:rPr>
        <w:t>十、其他重要事项的情况说明</w:t>
      </w:r>
      <w:bookmarkEnd w:id="24"/>
      <w:bookmarkEnd w:id="25"/>
    </w:p>
    <w:p>
      <w:pPr>
        <w:ind w:firstLine="640" w:firstLineChars="200"/>
        <w:outlineLvl w:val="2"/>
        <w:rPr>
          <w:rFonts w:hint="eastAsia" w:ascii="黑体" w:hAnsi="黑体" w:eastAsia="黑体"/>
          <w:color w:val="auto"/>
          <w:sz w:val="32"/>
          <w:szCs w:val="32"/>
        </w:rPr>
      </w:pPr>
      <w:bookmarkStart w:id="26" w:name="_Toc14519"/>
      <w:bookmarkStart w:id="27" w:name="_Toc13105"/>
      <w:r>
        <w:rPr>
          <w:rFonts w:hint="eastAsia" w:ascii="黑体" w:hAnsi="黑体" w:eastAsia="黑体"/>
          <w:color w:val="auto"/>
          <w:sz w:val="32"/>
          <w:szCs w:val="32"/>
        </w:rPr>
        <w:t>（一）机关运行经费支出情况</w:t>
      </w:r>
      <w:bookmarkEnd w:id="26"/>
      <w:bookmarkEnd w:id="27"/>
    </w:p>
    <w:p>
      <w:pPr>
        <w:ind w:firstLine="640" w:firstLineChars="200"/>
        <w:outlineLvl w:val="2"/>
        <w:rPr>
          <w:rFonts w:ascii="黑体" w:hAnsi="黑体" w:eastAsia="黑体"/>
          <w:color w:val="auto"/>
          <w:sz w:val="32"/>
          <w:szCs w:val="32"/>
        </w:rPr>
      </w:pPr>
      <w:r>
        <w:rPr>
          <w:rFonts w:hint="eastAsia" w:ascii="仿宋_GB2312" w:eastAsia="仿宋_GB2312"/>
          <w:color w:val="auto"/>
          <w:sz w:val="32"/>
          <w:szCs w:val="32"/>
        </w:rPr>
        <w:t>2021年度中国人民政治协商会议吉木萨尔县委员会办公室（行政单位和参照公务员法管理事业单位）机关运行经费支出</w:t>
      </w:r>
      <w:r>
        <w:rPr>
          <w:rFonts w:ascii="仿宋_GB2312" w:eastAsia="仿宋_GB2312"/>
          <w:color w:val="auto"/>
          <w:sz w:val="32"/>
          <w:szCs w:val="32"/>
        </w:rPr>
        <w:t>103.09</w:t>
      </w:r>
      <w:r>
        <w:rPr>
          <w:rFonts w:hint="eastAsia" w:ascii="仿宋_GB2312" w:eastAsia="仿宋_GB2312"/>
          <w:color w:val="auto"/>
          <w:sz w:val="32"/>
          <w:szCs w:val="32"/>
        </w:rPr>
        <w:t>万元，比上年增加28.71万元，增长38.60%，主要原因是：</w:t>
      </w:r>
      <w:r>
        <w:rPr>
          <w:rFonts w:hint="eastAsia" w:ascii="仿宋_GB2312" w:eastAsia="仿宋_GB2312"/>
          <w:color w:val="auto"/>
          <w:sz w:val="32"/>
          <w:szCs w:val="32"/>
          <w:highlight w:val="none"/>
          <w:lang w:val="en-US" w:eastAsia="zh-CN"/>
        </w:rPr>
        <w:t>本年召开两次政协全会，加上疫情原因，全会采取封闭式管理，委员住宿、餐费较往年有所增加，造成会议费用增加</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rPr>
      </w:pPr>
      <w:r>
        <w:rPr>
          <w:rFonts w:hint="eastAsia" w:ascii="黑体" w:hAnsi="黑体" w:eastAsia="黑体"/>
          <w:color w:val="auto"/>
          <w:sz w:val="32"/>
          <w:szCs w:val="32"/>
        </w:rPr>
        <w:t>（二）政府采购情况</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2021年度政府采购支出总额</w:t>
      </w:r>
      <w:r>
        <w:rPr>
          <w:rFonts w:ascii="仿宋_GB2312" w:eastAsia="仿宋_GB2312"/>
          <w:color w:val="auto"/>
          <w:sz w:val="32"/>
          <w:szCs w:val="32"/>
        </w:rPr>
        <w:t>19.78</w:t>
      </w:r>
      <w:r>
        <w:rPr>
          <w:rFonts w:hint="eastAsia" w:ascii="仿宋_GB2312" w:eastAsia="仿宋_GB2312"/>
          <w:color w:val="auto"/>
          <w:sz w:val="32"/>
          <w:szCs w:val="32"/>
        </w:rPr>
        <w:t>万元，其中：政府采购货物支出</w:t>
      </w:r>
      <w:r>
        <w:rPr>
          <w:rFonts w:ascii="仿宋_GB2312" w:eastAsia="仿宋_GB2312"/>
          <w:color w:val="auto"/>
          <w:sz w:val="32"/>
          <w:szCs w:val="32"/>
        </w:rPr>
        <w:t>12.88</w:t>
      </w:r>
      <w:r>
        <w:rPr>
          <w:rFonts w:hint="eastAsia" w:ascii="仿宋_GB2312" w:eastAsia="仿宋_GB2312"/>
          <w:color w:val="auto"/>
          <w:sz w:val="32"/>
          <w:szCs w:val="32"/>
        </w:rPr>
        <w:t>万元、政府采购工程支出</w:t>
      </w:r>
      <w:r>
        <w:rPr>
          <w:rFonts w:ascii="仿宋_GB2312" w:eastAsia="仿宋_GB2312"/>
          <w:color w:val="auto"/>
          <w:sz w:val="32"/>
          <w:szCs w:val="32"/>
        </w:rPr>
        <w:t>0.10</w:t>
      </w:r>
      <w:r>
        <w:rPr>
          <w:rFonts w:hint="eastAsia" w:ascii="仿宋_GB2312" w:eastAsia="仿宋_GB2312"/>
          <w:color w:val="auto"/>
          <w:sz w:val="32"/>
          <w:szCs w:val="32"/>
        </w:rPr>
        <w:t>万元、政府采购服务支出</w:t>
      </w:r>
      <w:r>
        <w:rPr>
          <w:rFonts w:ascii="仿宋_GB2312" w:eastAsia="仿宋_GB2312"/>
          <w:color w:val="auto"/>
          <w:sz w:val="32"/>
          <w:szCs w:val="32"/>
        </w:rPr>
        <w:t>6.80</w:t>
      </w:r>
      <w:r>
        <w:rPr>
          <w:rFonts w:hint="eastAsia" w:ascii="仿宋_GB2312" w:eastAsia="仿宋_GB2312"/>
          <w:color w:val="auto"/>
          <w:sz w:val="32"/>
          <w:szCs w:val="32"/>
        </w:rPr>
        <w:t>万元。</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授予中小企业合同金额</w:t>
      </w:r>
      <w:r>
        <w:rPr>
          <w:rFonts w:ascii="仿宋_GB2312" w:eastAsia="仿宋_GB2312"/>
          <w:color w:val="auto"/>
          <w:sz w:val="32"/>
          <w:szCs w:val="32"/>
        </w:rPr>
        <w:t>11.03</w:t>
      </w:r>
      <w:r>
        <w:rPr>
          <w:rFonts w:hint="eastAsia" w:ascii="仿宋_GB2312" w:eastAsia="仿宋_GB2312"/>
          <w:color w:val="auto"/>
          <w:sz w:val="32"/>
          <w:szCs w:val="32"/>
        </w:rPr>
        <w:t>万元，占政府采购支出总额的</w:t>
      </w:r>
      <w:r>
        <w:rPr>
          <w:rFonts w:ascii="仿宋_GB2312" w:eastAsia="仿宋_GB2312"/>
          <w:color w:val="auto"/>
          <w:sz w:val="32"/>
          <w:szCs w:val="32"/>
        </w:rPr>
        <w:t>55.77</w:t>
      </w:r>
      <w:r>
        <w:rPr>
          <w:rFonts w:hint="eastAsia" w:ascii="仿宋_GB2312" w:eastAsia="仿宋_GB2312"/>
          <w:color w:val="auto"/>
          <w:sz w:val="32"/>
          <w:szCs w:val="32"/>
        </w:rPr>
        <w:t>%，其中：授予小微企业合同金额</w:t>
      </w:r>
      <w:r>
        <w:rPr>
          <w:rFonts w:ascii="仿宋_GB2312" w:eastAsia="仿宋_GB2312"/>
          <w:color w:val="auto"/>
          <w:sz w:val="32"/>
          <w:szCs w:val="32"/>
        </w:rPr>
        <w:t>11.03</w:t>
      </w:r>
      <w:r>
        <w:rPr>
          <w:rFonts w:hint="eastAsia" w:ascii="仿宋_GB2312" w:eastAsia="仿宋_GB2312"/>
          <w:color w:val="auto"/>
          <w:sz w:val="32"/>
          <w:szCs w:val="32"/>
        </w:rPr>
        <w:t>万元，占政府采购支出总额的</w:t>
      </w:r>
      <w:r>
        <w:rPr>
          <w:rFonts w:ascii="仿宋_GB2312" w:eastAsia="仿宋_GB2312"/>
          <w:color w:val="auto"/>
          <w:sz w:val="32"/>
          <w:szCs w:val="32"/>
        </w:rPr>
        <w:t>55.77</w:t>
      </w:r>
      <w:r>
        <w:rPr>
          <w:rFonts w:hint="eastAsia" w:ascii="仿宋_GB2312" w:eastAsia="仿宋_GB2312"/>
          <w:color w:val="auto"/>
          <w:sz w:val="32"/>
          <w:szCs w:val="32"/>
        </w:rPr>
        <w:t>%。</w:t>
      </w:r>
    </w:p>
    <w:p>
      <w:pPr>
        <w:ind w:firstLine="640" w:firstLineChars="200"/>
        <w:outlineLvl w:val="2"/>
        <w:rPr>
          <w:rFonts w:ascii="黑体" w:hAnsi="黑体" w:eastAsia="黑体"/>
          <w:color w:val="auto"/>
          <w:sz w:val="32"/>
          <w:szCs w:val="32"/>
        </w:rPr>
      </w:pPr>
      <w:bookmarkStart w:id="28" w:name="_Toc8391"/>
      <w:bookmarkStart w:id="29" w:name="_Toc4591"/>
      <w:r>
        <w:rPr>
          <w:rFonts w:hint="eastAsia" w:ascii="黑体" w:hAnsi="黑体" w:eastAsia="黑体"/>
          <w:color w:val="auto"/>
          <w:sz w:val="32"/>
          <w:szCs w:val="32"/>
        </w:rPr>
        <w:t>（三）国有资产占用情况说明</w:t>
      </w:r>
      <w:bookmarkEnd w:id="28"/>
      <w:bookmarkEnd w:id="29"/>
    </w:p>
    <w:p>
      <w:pPr>
        <w:ind w:firstLine="640" w:firstLineChars="200"/>
        <w:rPr>
          <w:rFonts w:ascii="仿宋_GB2312" w:eastAsia="仿宋_GB2312"/>
          <w:color w:val="auto"/>
          <w:sz w:val="32"/>
          <w:szCs w:val="32"/>
        </w:rPr>
      </w:pPr>
      <w:r>
        <w:rPr>
          <w:rFonts w:hint="eastAsia" w:ascii="仿宋_GB2312" w:eastAsia="仿宋_GB2312"/>
          <w:color w:val="auto"/>
          <w:sz w:val="32"/>
          <w:szCs w:val="32"/>
        </w:rPr>
        <w:t>截止2021年12月31日，单位共有房屋</w:t>
      </w:r>
      <w:r>
        <w:rPr>
          <w:rFonts w:ascii="仿宋_GB2312" w:eastAsia="仿宋_GB2312"/>
          <w:color w:val="auto"/>
          <w:sz w:val="32"/>
          <w:szCs w:val="32"/>
        </w:rPr>
        <w:t>100.00</w:t>
      </w:r>
      <w:r>
        <w:rPr>
          <w:rFonts w:hint="eastAsia" w:ascii="仿宋_GB2312" w:eastAsia="仿宋_GB2312"/>
          <w:color w:val="auto"/>
          <w:sz w:val="32"/>
          <w:szCs w:val="32"/>
        </w:rPr>
        <w:t>（平方米），价值</w:t>
      </w:r>
      <w:r>
        <w:rPr>
          <w:rFonts w:ascii="仿宋_GB2312" w:eastAsia="仿宋_GB2312"/>
          <w:color w:val="auto"/>
          <w:sz w:val="32"/>
          <w:szCs w:val="32"/>
        </w:rPr>
        <w:t>1.00</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,该房屋在资产系统一直挂账，目前该房屋坐落地点不明，已拆迁，不存在</w:t>
      </w:r>
      <w:r>
        <w:rPr>
          <w:rFonts w:hint="eastAsia" w:ascii="仿宋_GB2312" w:eastAsia="仿宋_GB2312"/>
          <w:color w:val="auto"/>
          <w:sz w:val="32"/>
          <w:szCs w:val="32"/>
        </w:rPr>
        <w:t>。车辆</w:t>
      </w:r>
      <w:r>
        <w:rPr>
          <w:rFonts w:ascii="仿宋_GB2312" w:eastAsia="仿宋_GB2312"/>
          <w:color w:val="auto"/>
          <w:sz w:val="32"/>
          <w:szCs w:val="32"/>
        </w:rPr>
        <w:t>0</w:t>
      </w:r>
      <w:r>
        <w:rPr>
          <w:rFonts w:hint="eastAsia" w:ascii="仿宋_GB2312" w:eastAsia="仿宋_GB2312"/>
          <w:color w:val="auto"/>
          <w:sz w:val="32"/>
          <w:szCs w:val="32"/>
        </w:rPr>
        <w:t>辆，价值</w:t>
      </w:r>
      <w:r>
        <w:rPr>
          <w:rFonts w:ascii="仿宋_GB2312" w:eastAsia="仿宋_GB2312"/>
          <w:color w:val="auto"/>
          <w:sz w:val="32"/>
          <w:szCs w:val="32"/>
        </w:rPr>
        <w:t>0.00</w:t>
      </w:r>
      <w:r>
        <w:rPr>
          <w:rFonts w:hint="eastAsia" w:ascii="仿宋_GB2312" w:eastAsia="仿宋_GB2312"/>
          <w:color w:val="auto"/>
          <w:sz w:val="32"/>
          <w:szCs w:val="32"/>
        </w:rPr>
        <w:t>万元，其中：副部（省）级及以上领导用车0辆、主要领导干部用车0辆、机要通信用车</w:t>
      </w:r>
      <w:r>
        <w:rPr>
          <w:rFonts w:ascii="仿宋_GB2312" w:eastAsia="仿宋_GB2312"/>
          <w:color w:val="auto"/>
          <w:sz w:val="32"/>
          <w:szCs w:val="32"/>
        </w:rPr>
        <w:t>0</w:t>
      </w:r>
      <w:r>
        <w:rPr>
          <w:rFonts w:hint="eastAsia" w:ascii="仿宋_GB2312" w:eastAsia="仿宋_GB2312"/>
          <w:color w:val="auto"/>
          <w:sz w:val="32"/>
          <w:szCs w:val="32"/>
        </w:rPr>
        <w:t>辆、应急保障用车</w:t>
      </w:r>
      <w:r>
        <w:rPr>
          <w:rFonts w:ascii="仿宋_GB2312" w:eastAsia="仿宋_GB2312"/>
          <w:color w:val="auto"/>
          <w:sz w:val="32"/>
          <w:szCs w:val="32"/>
        </w:rPr>
        <w:t>0</w:t>
      </w:r>
      <w:r>
        <w:rPr>
          <w:rFonts w:hint="eastAsia" w:ascii="仿宋_GB2312" w:eastAsia="仿宋_GB2312"/>
          <w:color w:val="auto"/>
          <w:sz w:val="32"/>
          <w:szCs w:val="32"/>
        </w:rPr>
        <w:t>辆、执法执勤用车</w:t>
      </w:r>
      <w:r>
        <w:rPr>
          <w:rFonts w:ascii="仿宋_GB2312" w:eastAsia="仿宋_GB2312"/>
          <w:color w:val="auto"/>
          <w:sz w:val="32"/>
          <w:szCs w:val="32"/>
        </w:rPr>
        <w:t>0</w:t>
      </w:r>
      <w:r>
        <w:rPr>
          <w:rFonts w:hint="eastAsia" w:ascii="仿宋_GB2312" w:eastAsia="仿宋_GB2312"/>
          <w:color w:val="auto"/>
          <w:sz w:val="32"/>
          <w:szCs w:val="32"/>
        </w:rPr>
        <w:t>辆、特种专业技术用车</w:t>
      </w:r>
      <w:r>
        <w:rPr>
          <w:rFonts w:ascii="仿宋_GB2312" w:eastAsia="仿宋_GB2312"/>
          <w:color w:val="auto"/>
          <w:sz w:val="32"/>
          <w:szCs w:val="32"/>
        </w:rPr>
        <w:t>0</w:t>
      </w:r>
      <w:r>
        <w:rPr>
          <w:rFonts w:hint="eastAsia" w:ascii="仿宋_GB2312" w:eastAsia="仿宋_GB2312"/>
          <w:color w:val="auto"/>
          <w:sz w:val="32"/>
          <w:szCs w:val="32"/>
        </w:rPr>
        <w:t>辆、离退休干部用车</w:t>
      </w:r>
      <w:r>
        <w:rPr>
          <w:rFonts w:ascii="仿宋_GB2312" w:eastAsia="仿宋_GB2312"/>
          <w:color w:val="auto"/>
          <w:sz w:val="32"/>
          <w:szCs w:val="32"/>
        </w:rPr>
        <w:t>0</w:t>
      </w:r>
      <w:r>
        <w:rPr>
          <w:rFonts w:hint="eastAsia" w:ascii="仿宋_GB2312" w:eastAsia="仿宋_GB2312"/>
          <w:color w:val="auto"/>
          <w:sz w:val="32"/>
          <w:szCs w:val="32"/>
        </w:rPr>
        <w:t>辆、其他用车</w:t>
      </w:r>
      <w:r>
        <w:rPr>
          <w:rFonts w:ascii="仿宋_GB2312" w:eastAsia="仿宋_GB2312"/>
          <w:color w:val="auto"/>
          <w:sz w:val="32"/>
          <w:szCs w:val="32"/>
        </w:rPr>
        <w:t>0</w:t>
      </w:r>
      <w:r>
        <w:rPr>
          <w:rFonts w:hint="eastAsia" w:ascii="仿宋_GB2312" w:eastAsia="仿宋_GB2312"/>
          <w:color w:val="auto"/>
          <w:sz w:val="32"/>
          <w:szCs w:val="32"/>
        </w:rPr>
        <w:t>辆，其他用车主要是：我单位无其他用车；单位价值50万元以上通用设备</w:t>
      </w:r>
      <w:r>
        <w:rPr>
          <w:rFonts w:ascii="仿宋_GB2312" w:eastAsia="仿宋_GB2312"/>
          <w:color w:val="auto"/>
          <w:sz w:val="32"/>
          <w:szCs w:val="32"/>
        </w:rPr>
        <w:t>0</w:t>
      </w:r>
      <w:r>
        <w:rPr>
          <w:rFonts w:hint="eastAsia" w:ascii="仿宋_GB2312" w:eastAsia="仿宋_GB2312"/>
          <w:color w:val="auto"/>
          <w:sz w:val="32"/>
          <w:szCs w:val="32"/>
        </w:rPr>
        <w:t>台（套）、单位价值100万元以上专用设备</w:t>
      </w:r>
      <w:r>
        <w:rPr>
          <w:rFonts w:ascii="仿宋_GB2312" w:eastAsia="仿宋_GB2312"/>
          <w:color w:val="auto"/>
          <w:sz w:val="32"/>
          <w:szCs w:val="32"/>
        </w:rPr>
        <w:t>0</w:t>
      </w:r>
      <w:r>
        <w:rPr>
          <w:rFonts w:hint="eastAsia" w:ascii="仿宋_GB2312" w:eastAsia="仿宋_GB2312"/>
          <w:color w:val="auto"/>
          <w:sz w:val="32"/>
          <w:szCs w:val="32"/>
        </w:rPr>
        <w:t>台（套）。</w:t>
      </w:r>
    </w:p>
    <w:p>
      <w:pPr>
        <w:ind w:firstLine="640" w:firstLineChars="200"/>
        <w:outlineLvl w:val="1"/>
        <w:rPr>
          <w:rFonts w:ascii="黑体" w:hAnsi="黑体" w:eastAsia="黑体" w:cs="宋体"/>
          <w:bCs/>
          <w:color w:val="auto"/>
          <w:kern w:val="0"/>
          <w:sz w:val="32"/>
          <w:szCs w:val="32"/>
        </w:rPr>
      </w:pPr>
      <w:bookmarkStart w:id="30" w:name="_Toc11283"/>
      <w:bookmarkStart w:id="31" w:name="_Toc435"/>
      <w:r>
        <w:rPr>
          <w:rFonts w:hint="eastAsia" w:ascii="黑体" w:hAnsi="黑体" w:eastAsia="黑体" w:cs="宋体"/>
          <w:bCs/>
          <w:color w:val="auto"/>
          <w:kern w:val="0"/>
          <w:sz w:val="32"/>
          <w:szCs w:val="32"/>
        </w:rPr>
        <w:t>十一、预算绩效的情况说明</w:t>
      </w:r>
      <w:bookmarkEnd w:id="30"/>
      <w:bookmarkEnd w:id="31"/>
    </w:p>
    <w:p>
      <w:pPr>
        <w:pStyle w:val="9"/>
        <w:widowControl/>
        <w:shd w:val="clear" w:color="auto" w:fill="FFFFFF"/>
        <w:ind w:firstLine="640" w:firstLineChars="200"/>
        <w:rPr>
          <w:rFonts w:ascii="仿宋_GB2312" w:eastAsia="仿宋_GB2312"/>
          <w:color w:val="auto"/>
          <w:sz w:val="32"/>
          <w:szCs w:val="32"/>
        </w:rPr>
      </w:pPr>
      <w:r>
        <w:rPr>
          <w:rFonts w:ascii="仿宋_GB2312" w:eastAsia="仿宋_GB2312"/>
          <w:color w:val="auto"/>
          <w:sz w:val="32"/>
          <w:szCs w:val="32"/>
        </w:rPr>
        <w:t>根据预算绩效管理要求，我单位2021年度开展预算绩效评价项目1个，共涉及资金8万元。预算绩效管理取得的成效：</w:t>
      </w:r>
      <w:r>
        <w:rPr>
          <w:rFonts w:hint="eastAsia" w:ascii="仿宋_GB2312" w:eastAsia="仿宋_GB2312"/>
          <w:color w:val="auto"/>
          <w:sz w:val="32"/>
          <w:szCs w:val="32"/>
          <w:highlight w:val="none"/>
          <w:lang w:eastAsia="zh-CN"/>
        </w:rPr>
        <w:t>顺利实现了制度完善、考核科学、指标明确、反馈及时的预期目标，确保参加绩效评价的每一笔资金都花的清楚、看的明白，用的放心</w:t>
      </w:r>
      <w:r>
        <w:rPr>
          <w:rFonts w:ascii="仿宋_GB2312" w:eastAsia="仿宋_GB2312"/>
          <w:color w:val="auto"/>
          <w:sz w:val="32"/>
          <w:szCs w:val="32"/>
        </w:rPr>
        <w:t>。发现的问题及原因：</w:t>
      </w:r>
      <w:r>
        <w:rPr>
          <w:rFonts w:hint="eastAsia" w:ascii="仿宋_GB2312" w:eastAsia="仿宋_GB2312"/>
          <w:color w:val="auto"/>
          <w:sz w:val="32"/>
          <w:szCs w:val="32"/>
          <w:highlight w:val="none"/>
          <w:lang w:eastAsia="zh-CN"/>
        </w:rPr>
        <w:t>项目预算计划、实施、验收环节需进一步加</w:t>
      </w:r>
      <w:bookmarkStart w:id="52" w:name="_GoBack"/>
      <w:bookmarkEnd w:id="52"/>
      <w:r>
        <w:rPr>
          <w:rFonts w:hint="eastAsia" w:ascii="仿宋_GB2312" w:eastAsia="仿宋_GB2312"/>
          <w:color w:val="auto"/>
          <w:sz w:val="32"/>
          <w:szCs w:val="32"/>
          <w:highlight w:val="none"/>
          <w:lang w:eastAsia="zh-CN"/>
        </w:rPr>
        <w:t>强管理。项目资金管理和支付上还需加大执行力度</w:t>
      </w:r>
      <w:r>
        <w:rPr>
          <w:rFonts w:ascii="仿宋_GB2312" w:eastAsia="仿宋_GB2312"/>
          <w:color w:val="auto"/>
          <w:sz w:val="32"/>
          <w:szCs w:val="32"/>
        </w:rPr>
        <w:t>。下一步改进措施：</w:t>
      </w:r>
      <w:r>
        <w:rPr>
          <w:rFonts w:hint="eastAsia" w:ascii="仿宋_GB2312" w:eastAsia="仿宋_GB2312"/>
          <w:color w:val="auto"/>
          <w:sz w:val="32"/>
          <w:szCs w:val="32"/>
          <w:highlight w:val="none"/>
          <w:lang w:eastAsia="zh-CN"/>
        </w:rPr>
        <w:t>一是加强内部管理，严格执行预算，坚持厉行节约，进一步降低财务支出；二是严格财务管理，落实执行好三重一大工作机制，提高工作效率</w:t>
      </w:r>
      <w:r>
        <w:rPr>
          <w:rFonts w:ascii="仿宋_GB2312" w:eastAsia="仿宋_GB2312"/>
          <w:color w:val="auto"/>
          <w:sz w:val="32"/>
          <w:szCs w:val="32"/>
        </w:rPr>
        <w:t>。具体项目自评情况附项目支出绩效自评表。</w:t>
      </w:r>
    </w:p>
    <w:p>
      <w:pPr>
        <w:rPr>
          <w:rFonts w:ascii="仿宋_GB2312" w:eastAsia="仿宋_GB2312"/>
          <w:color w:val="auto"/>
          <w:sz w:val="32"/>
          <w:szCs w:val="32"/>
        </w:rPr>
      </w:pPr>
      <w:r>
        <w:rPr>
          <w:rFonts w:ascii="仿宋_GB2312" w:eastAsia="仿宋_GB2312"/>
          <w:color w:val="auto"/>
          <w:sz w:val="32"/>
          <w:szCs w:val="32"/>
        </w:rPr>
        <w:br w:type="page"/>
      </w:r>
    </w:p>
    <w:tbl>
      <w:tblPr>
        <w:tblStyle w:val="10"/>
        <w:tblW w:w="11124" w:type="dxa"/>
        <w:tblInd w:w="-13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8"/>
        <w:gridCol w:w="935"/>
        <w:gridCol w:w="205"/>
        <w:gridCol w:w="1212"/>
        <w:gridCol w:w="65"/>
        <w:gridCol w:w="1131"/>
        <w:gridCol w:w="664"/>
        <w:gridCol w:w="457"/>
        <w:gridCol w:w="191"/>
        <w:gridCol w:w="373"/>
        <w:gridCol w:w="931"/>
        <w:gridCol w:w="160"/>
        <w:gridCol w:w="586"/>
        <w:gridCol w:w="84"/>
        <w:gridCol w:w="692"/>
        <w:gridCol w:w="13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1124" w:type="dxa"/>
            <w:gridSpan w:val="1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1124" w:type="dxa"/>
            <w:gridSpan w:val="1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88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2021年县派访惠聚费用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2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7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吉木萨尔县政协本级</w:t>
            </w:r>
          </w:p>
        </w:tc>
        <w:tc>
          <w:tcPr>
            <w:tcW w:w="1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6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吉木萨尔县政协本级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w:t>
            </w:r>
          </w:p>
        </w:tc>
        <w:tc>
          <w:tcPr>
            <w:tcW w:w="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52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58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5233" w:type="dxa"/>
            <w:gridSpan w:val="9"/>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做好基层群众工作，继续巩固脱贫攻坚成果，2021年“访惠聚”驻村工作队坚持以总目标为统领，以提升组织为重点，全面落实惠民政策为民办实事办好事，计划为村民栽植15亩的沙枣树苗，村民庭院栽植195棵树苗，建档立卡户送冬碳，送饲料，帮助低保户修建养殖圈舍，组织村民开展畜牧业观摩学习，重大节假日慰问困难群众和老党员等，切实改善乡村环境，增加农牧民收入，促进白泉村经济发展和社会和谐。</w:t>
            </w:r>
          </w:p>
        </w:tc>
        <w:tc>
          <w:tcPr>
            <w:tcW w:w="4583"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访惠聚”驻村工作队坚持以总目标为统领，以提升组织为重点，全面落实惠民政策为民办实事办好事，为村民栽植15亩的沙枣树苗，村民庭院栽植195棵树苗，为建档立卡户送冬碳33吨，为贫困农牧民送肥料、玉米种子，在重大节假日慰问困难群众和老党员等活动，切实改善乡村环境，增加农牧民收入，促进白泉村经济发展和社会和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6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2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1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8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11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开展送温暖送技术服务活动</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&gt;=3次</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3次</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为建档立卡户拉煤炭</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&gt;=2.50吨</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2.5吨</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修建养殖圈舍</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栽种树苗</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&gt;=15亩</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15亩</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送温暖活动执行率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煤炭验收合格率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圈舍验收合格率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树苗质量合格率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送温暖活动费用成本</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&lt;=2.91万元</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2.91万元</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拉煤炭费用成本</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&lt;=1.93万元</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1.93万元</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栽植树苗费用成本</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&lt;=3.16万元</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3.16万元</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帮助农牧民增加收入</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防风林带保护生态环境得到提升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8"/>
                <w:szCs w:val="18"/>
                <w:u w:val="none"/>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村民满意度</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763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8"/>
                <w:szCs w:val="18"/>
                <w:u w:val="none"/>
              </w:rPr>
            </w:pPr>
          </w:p>
        </w:tc>
      </w:tr>
    </w:tbl>
    <w:p>
      <w:pPr>
        <w:pStyle w:val="9"/>
        <w:widowControl/>
        <w:shd w:val="clear" w:color="auto" w:fill="FFFFFF"/>
        <w:ind w:firstLine="640" w:firstLineChars="200"/>
        <w:rPr>
          <w:rFonts w:hint="default" w:ascii="仿宋_GB2312" w:eastAsia="仿宋_GB2312"/>
          <w:sz w:val="32"/>
          <w:szCs w:val="32"/>
        </w:rPr>
      </w:pP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24143"/>
      <w:bookmarkStart w:id="33" w:name="_Toc3250"/>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6062"/>
      <w:bookmarkStart w:id="37" w:name="_Toc2183"/>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30364"/>
      <w:bookmarkStart w:id="39" w:name="_Toc24532"/>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32434"/>
      <w:bookmarkStart w:id="41" w:name="_Toc2130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0347"/>
      <w:bookmarkStart w:id="45" w:name="_Toc14869"/>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8884"/>
      <w:bookmarkStart w:id="47" w:name="_Toc5626"/>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29106"/>
      <w:bookmarkStart w:id="49" w:name="_Toc32663"/>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7643"/>
      <w:bookmarkStart w:id="51" w:name="_Toc545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YjFiYzY0OWM2ODlhYjA1NDAwODJkOGMwZGNkYTM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A82D48"/>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2EB3F4C"/>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5B808A2"/>
    <w:rsid w:val="26BE5F35"/>
    <w:rsid w:val="27AF63CE"/>
    <w:rsid w:val="27CF2642"/>
    <w:rsid w:val="28605A33"/>
    <w:rsid w:val="294E4805"/>
    <w:rsid w:val="29E96D83"/>
    <w:rsid w:val="29EC087F"/>
    <w:rsid w:val="2A053397"/>
    <w:rsid w:val="2ABE0B21"/>
    <w:rsid w:val="2B3A3AD8"/>
    <w:rsid w:val="2CB65584"/>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BAB0D96"/>
    <w:rsid w:val="3C042809"/>
    <w:rsid w:val="3D1501E6"/>
    <w:rsid w:val="3D1D5019"/>
    <w:rsid w:val="3D5275AC"/>
    <w:rsid w:val="3E1A76DD"/>
    <w:rsid w:val="3E2B7A03"/>
    <w:rsid w:val="3E9A7BA4"/>
    <w:rsid w:val="3F076061"/>
    <w:rsid w:val="3F6A08C0"/>
    <w:rsid w:val="4221343E"/>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13597D"/>
    <w:rsid w:val="53350823"/>
    <w:rsid w:val="54054866"/>
    <w:rsid w:val="54F22EA5"/>
    <w:rsid w:val="55516A31"/>
    <w:rsid w:val="59444B98"/>
    <w:rsid w:val="59996596"/>
    <w:rsid w:val="5A8B468F"/>
    <w:rsid w:val="5C386C32"/>
    <w:rsid w:val="5C717E72"/>
    <w:rsid w:val="5D286D33"/>
    <w:rsid w:val="5D630BDE"/>
    <w:rsid w:val="5E8A0BA7"/>
    <w:rsid w:val="5FFF1C5A"/>
    <w:rsid w:val="61A46A97"/>
    <w:rsid w:val="64275BB0"/>
    <w:rsid w:val="64925820"/>
    <w:rsid w:val="6627325F"/>
    <w:rsid w:val="66F72012"/>
    <w:rsid w:val="67623B14"/>
    <w:rsid w:val="68706FD2"/>
    <w:rsid w:val="69AD798C"/>
    <w:rsid w:val="69F01279"/>
    <w:rsid w:val="6B1C1A48"/>
    <w:rsid w:val="6B311CD9"/>
    <w:rsid w:val="6B68175F"/>
    <w:rsid w:val="6B8500AE"/>
    <w:rsid w:val="6C0B12B0"/>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4820</Words>
  <Characters>5346</Characters>
  <Lines>59</Lines>
  <Paragraphs>16</Paragraphs>
  <TotalTime>34</TotalTime>
  <ScaleCrop>false</ScaleCrop>
  <LinksUpToDate>false</LinksUpToDate>
  <CharactersWithSpaces>5386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HL</cp:lastModifiedBy>
  <dcterms:modified xsi:type="dcterms:W3CDTF">2022-11-24T04:33:09Z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