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EC277A">
      <w:pPr>
        <w:widowControl w:val="0"/>
        <w:numPr>
          <w:ilvl w:val="0"/>
          <w:numId w:val="0"/>
        </w:numPr>
        <w:snapToGrid/>
        <w:spacing w:before="0" w:beforeAutospacing="0" w:after="0" w:afterAutospacing="0" w:line="560" w:lineRule="exact"/>
        <w:jc w:val="both"/>
        <w:textAlignment w:val="baseline"/>
        <w:rPr>
          <w:rFonts w:hint="eastAsia" w:ascii="方正黑体_GBK" w:hAnsi="方正黑体_GBK" w:eastAsia="方正黑体_GBK" w:cs="方正黑体_GBK"/>
          <w:b w:val="0"/>
          <w:i w:val="0"/>
          <w:caps w:val="0"/>
          <w:spacing w:val="0"/>
          <w:w w:val="100"/>
          <w:sz w:val="32"/>
          <w:szCs w:val="32"/>
          <w:lang w:val="en-US" w:eastAsia="zh-CN"/>
        </w:rPr>
      </w:pPr>
      <w:r>
        <w:rPr>
          <w:rFonts w:hint="eastAsia" w:ascii="方正黑体_GBK" w:hAnsi="方正黑体_GBK" w:eastAsia="方正黑体_GBK" w:cs="方正黑体_GBK"/>
          <w:b w:val="0"/>
          <w:i w:val="0"/>
          <w:caps w:val="0"/>
          <w:spacing w:val="0"/>
          <w:w w:val="100"/>
          <w:sz w:val="32"/>
          <w:szCs w:val="32"/>
          <w:lang w:val="en-US" w:eastAsia="zh-CN"/>
        </w:rPr>
        <w:t>附件3</w:t>
      </w:r>
    </w:p>
    <w:p w14:paraId="5BE69D5A">
      <w:pPr>
        <w:pStyle w:val="2"/>
        <w:bidi w:val="0"/>
        <w:jc w:val="center"/>
        <w:rPr>
          <w:rFonts w:hint="eastAsia"/>
          <w:lang w:eastAsia="zh-CN"/>
        </w:rPr>
      </w:pPr>
    </w:p>
    <w:p w14:paraId="55D7303D">
      <w:pPr>
        <w:pStyle w:val="2"/>
        <w:bidi w:val="0"/>
        <w:jc w:val="both"/>
        <w:rPr>
          <w:rFonts w:hint="eastAsia"/>
          <w:lang w:eastAsia="zh-CN"/>
        </w:rPr>
      </w:pPr>
    </w:p>
    <w:p w14:paraId="1104873F">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eastAsia" w:ascii="方正小标宋_GBK" w:hAnsi="方正小标宋_GBK" w:eastAsia="方正小标宋_GBK" w:cs="方正小标宋_GBK"/>
          <w:b w:val="0"/>
          <w:bCs/>
          <w:lang w:eastAsia="zh-CN"/>
        </w:rPr>
      </w:pPr>
      <w:r>
        <w:rPr>
          <w:rFonts w:hint="eastAsia" w:ascii="方正小标宋_GBK" w:hAnsi="方正小标宋_GBK" w:eastAsia="方正小标宋_GBK" w:cs="方正小标宋_GBK"/>
          <w:b w:val="0"/>
          <w:bCs/>
          <w:lang w:eastAsia="zh-CN"/>
        </w:rPr>
        <w:t>新疆社会组织公共服务平台</w:t>
      </w:r>
    </w:p>
    <w:p w14:paraId="52215858">
      <w:pPr>
        <w:pStyle w:val="2"/>
        <w:bidi w:val="0"/>
        <w:jc w:val="center"/>
        <w:rPr>
          <w:rFonts w:hint="eastAsia" w:ascii="方正小标宋_GBK" w:hAnsi="方正小标宋_GBK" w:eastAsia="方正小标宋_GBK" w:cs="方正小标宋_GBK"/>
          <w:b w:val="0"/>
          <w:bCs/>
          <w:lang w:eastAsia="zh-CN"/>
        </w:rPr>
      </w:pPr>
      <w:r>
        <w:rPr>
          <w:rFonts w:hint="eastAsia" w:ascii="方正小标宋_GBK" w:hAnsi="方正小标宋_GBK" w:eastAsia="方正小标宋_GBK" w:cs="方正小标宋_GBK"/>
          <w:b w:val="0"/>
          <w:bCs/>
          <w:lang w:val="en-US" w:eastAsia="zh-CN"/>
        </w:rPr>
        <w:t>年度检查</w:t>
      </w:r>
      <w:r>
        <w:rPr>
          <w:rFonts w:hint="eastAsia" w:ascii="方正小标宋_GBK" w:hAnsi="方正小标宋_GBK" w:eastAsia="方正小标宋_GBK" w:cs="方正小标宋_GBK"/>
          <w:b w:val="0"/>
          <w:bCs/>
          <w:lang w:eastAsia="zh-CN"/>
        </w:rPr>
        <w:t>操作手册</w:t>
      </w:r>
    </w:p>
    <w:p w14:paraId="3F3E08A8">
      <w:pPr>
        <w:rPr>
          <w:rFonts w:hint="eastAsia" w:ascii="方正小标宋_GBK" w:hAnsi="方正小标宋_GBK" w:eastAsia="方正小标宋_GBK" w:cs="方正小标宋_GBK"/>
          <w:lang w:eastAsia="zh-CN"/>
        </w:rPr>
      </w:pPr>
    </w:p>
    <w:p w14:paraId="45218CB2">
      <w:pPr>
        <w:rPr>
          <w:rFonts w:hint="eastAsia" w:ascii="方正小标宋_GBK" w:hAnsi="方正小标宋_GBK" w:eastAsia="方正小标宋_GBK" w:cs="方正小标宋_GBK"/>
          <w:lang w:eastAsia="zh-CN"/>
        </w:rPr>
      </w:pPr>
    </w:p>
    <w:p w14:paraId="7B1358C5">
      <w:pPr>
        <w:rPr>
          <w:rFonts w:hint="eastAsia" w:ascii="方正小标宋_GBK" w:hAnsi="方正小标宋_GBK" w:eastAsia="方正小标宋_GBK" w:cs="方正小标宋_GBK"/>
          <w:lang w:eastAsia="zh-CN"/>
        </w:rPr>
      </w:pPr>
    </w:p>
    <w:p w14:paraId="0C752B76">
      <w:pPr>
        <w:rPr>
          <w:rFonts w:hint="eastAsia" w:ascii="方正小标宋_GBK" w:hAnsi="方正小标宋_GBK" w:eastAsia="方正小标宋_GBK" w:cs="方正小标宋_GBK"/>
          <w:lang w:eastAsia="zh-CN"/>
        </w:rPr>
      </w:pPr>
    </w:p>
    <w:p w14:paraId="68860D00">
      <w:pPr>
        <w:rPr>
          <w:rFonts w:hint="eastAsia" w:ascii="方正小标宋_GBK" w:hAnsi="方正小标宋_GBK" w:eastAsia="方正小标宋_GBK" w:cs="方正小标宋_GBK"/>
          <w:lang w:eastAsia="zh-CN"/>
        </w:rPr>
      </w:pPr>
    </w:p>
    <w:p w14:paraId="6EBA7FA7">
      <w:pPr>
        <w:rPr>
          <w:rFonts w:hint="eastAsia" w:ascii="方正小标宋_GBK" w:hAnsi="方正小标宋_GBK" w:eastAsia="方正小标宋_GBK" w:cs="方正小标宋_GBK"/>
          <w:lang w:eastAsia="zh-CN"/>
        </w:rPr>
      </w:pPr>
    </w:p>
    <w:p w14:paraId="30DC04E6">
      <w:pPr>
        <w:rPr>
          <w:rFonts w:hint="eastAsia" w:ascii="方正小标宋_GBK" w:hAnsi="方正小标宋_GBK" w:eastAsia="方正小标宋_GBK" w:cs="方正小标宋_GBK"/>
          <w:lang w:eastAsia="zh-CN"/>
        </w:rPr>
      </w:pPr>
    </w:p>
    <w:p w14:paraId="48A7424A">
      <w:pPr>
        <w:rPr>
          <w:rFonts w:hint="eastAsia" w:ascii="方正小标宋_GBK" w:hAnsi="方正小标宋_GBK" w:eastAsia="方正小标宋_GBK" w:cs="方正小标宋_GBK"/>
          <w:lang w:eastAsia="zh-CN"/>
        </w:rPr>
      </w:pPr>
    </w:p>
    <w:p w14:paraId="52160D58">
      <w:pPr>
        <w:rPr>
          <w:rFonts w:hint="eastAsia" w:ascii="方正小标宋_GBK" w:hAnsi="方正小标宋_GBK" w:eastAsia="方正小标宋_GBK" w:cs="方正小标宋_GBK"/>
          <w:lang w:eastAsia="zh-CN"/>
        </w:rPr>
      </w:pPr>
    </w:p>
    <w:p w14:paraId="51FEAAC4">
      <w:pPr>
        <w:rPr>
          <w:rFonts w:hint="eastAsia"/>
          <w:lang w:eastAsia="zh-CN"/>
        </w:rPr>
      </w:pPr>
    </w:p>
    <w:p w14:paraId="6A6DE293">
      <w:pPr>
        <w:rPr>
          <w:rFonts w:hint="eastAsia"/>
          <w:lang w:eastAsia="zh-CN"/>
        </w:rPr>
      </w:pPr>
    </w:p>
    <w:p w14:paraId="3A017493">
      <w:pPr>
        <w:rPr>
          <w:rFonts w:hint="eastAsia"/>
          <w:lang w:eastAsia="zh-CN"/>
        </w:rPr>
      </w:pPr>
    </w:p>
    <w:p w14:paraId="2FCA0AA4">
      <w:pPr>
        <w:rPr>
          <w:rFonts w:hint="eastAsia"/>
          <w:lang w:eastAsia="zh-CN"/>
        </w:rPr>
      </w:pPr>
    </w:p>
    <w:p w14:paraId="3678E70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sz w:val="32"/>
          <w:szCs w:val="32"/>
          <w:lang w:val="en-US" w:eastAsia="zh-CN"/>
        </w:rPr>
      </w:pPr>
      <w:r>
        <w:rPr>
          <w:rFonts w:hint="eastAsia" w:ascii="方正仿宋_GBK" w:hAnsi="方正仿宋_GBK" w:eastAsia="方正仿宋_GBK" w:cs="方正仿宋_GBK"/>
          <w:b/>
          <w:bCs/>
          <w:color w:val="FF0000"/>
          <w:sz w:val="36"/>
          <w:szCs w:val="36"/>
          <w:lang w:val="en-US" w:eastAsia="zh-CN"/>
        </w:rPr>
        <w:t>　</w:t>
      </w:r>
      <w:r>
        <w:rPr>
          <w:rFonts w:hint="eastAsia" w:ascii="方正仿宋_GBK" w:hAnsi="方正仿宋_GBK" w:eastAsia="方正仿宋_GBK" w:cs="方正仿宋_GBK"/>
          <w:b/>
          <w:bCs/>
          <w:color w:val="FF0000"/>
          <w:sz w:val="32"/>
          <w:szCs w:val="32"/>
          <w:lang w:val="en-US" w:eastAsia="zh-CN"/>
        </w:rPr>
        <w:t>　</w:t>
      </w:r>
      <w:r>
        <w:rPr>
          <w:rFonts w:hint="eastAsia" w:ascii="黑体" w:hAnsi="黑体" w:eastAsia="黑体" w:cs="黑体"/>
          <w:b w:val="0"/>
          <w:bCs w:val="0"/>
          <w:color w:val="000000"/>
          <w:sz w:val="32"/>
          <w:szCs w:val="32"/>
          <w:lang w:val="en-US" w:eastAsia="zh-CN"/>
        </w:rPr>
        <w:t>特别提示：</w:t>
      </w:r>
      <w:r>
        <w:rPr>
          <w:rFonts w:hint="eastAsia" w:ascii="仿宋_GB2312" w:hAnsi="仿宋_GB2312" w:eastAsia="仿宋_GB2312" w:cs="仿宋_GB2312"/>
          <w:b w:val="0"/>
          <w:bCs w:val="0"/>
          <w:sz w:val="32"/>
          <w:szCs w:val="32"/>
          <w:lang w:val="en-US" w:eastAsia="zh-CN"/>
        </w:rPr>
        <w:t>为了保证年检报告书的准确性和年检结论的客观性，请大家在填报资料的过程中慎用“完成”功能，利用“暂存”功能对年检报告书进行检查完善后再提交。</w:t>
      </w:r>
    </w:p>
    <w:p w14:paraId="2EF0E2D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b w:val="0"/>
          <w:bCs w:val="0"/>
          <w:sz w:val="32"/>
          <w:szCs w:val="32"/>
          <w:lang w:val="en-US" w:eastAsia="zh-CN"/>
        </w:rPr>
        <w:t>　　</w:t>
      </w:r>
      <w:r>
        <w:rPr>
          <w:rFonts w:hint="eastAsia" w:ascii="仿宋_GB2312" w:hAnsi="仿宋_GB2312" w:eastAsia="仿宋_GB2312" w:cs="仿宋_GB2312"/>
          <w:b w:val="0"/>
          <w:bCs w:val="0"/>
          <w:sz w:val="32"/>
          <w:szCs w:val="32"/>
          <w:lang w:val="en-US" w:eastAsia="zh-Hans"/>
        </w:rPr>
        <w:t>所有项必须填写，若无，可直接填写无。</w:t>
      </w:r>
    </w:p>
    <w:p w14:paraId="1665EA96">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sz w:val="32"/>
          <w:szCs w:val="32"/>
          <w:lang w:val="en-US" w:eastAsia="zh-Hans"/>
        </w:rPr>
      </w:pPr>
      <w:r>
        <w:rPr>
          <w:rFonts w:hint="eastAsia" w:ascii="方正仿宋_GBK" w:hAnsi="方正仿宋_GBK" w:eastAsia="方正仿宋_GBK" w:cs="方正仿宋_GBK"/>
          <w:b/>
          <w:bCs/>
          <w:color w:val="FF0000"/>
          <w:sz w:val="32"/>
          <w:szCs w:val="32"/>
          <w:lang w:val="en-US" w:eastAsia="zh-CN"/>
        </w:rPr>
        <w:t>　　</w:t>
      </w:r>
      <w:r>
        <w:rPr>
          <w:rFonts w:hint="eastAsia" w:ascii="黑体" w:hAnsi="黑体" w:eastAsia="黑体" w:cs="黑体"/>
          <w:b w:val="0"/>
          <w:bCs w:val="0"/>
          <w:color w:val="000000"/>
          <w:sz w:val="32"/>
          <w:szCs w:val="32"/>
          <w:lang w:val="en-US" w:eastAsia="zh-CN"/>
        </w:rPr>
        <w:t>温馨提示：</w:t>
      </w:r>
      <w:r>
        <w:rPr>
          <w:rFonts w:hint="default" w:ascii="Times New Roman" w:hAnsi="Times New Roman" w:eastAsia="方正仿宋_GBK" w:cs="Times New Roman"/>
          <w:b w:val="0"/>
          <w:bCs w:val="0"/>
          <w:sz w:val="32"/>
          <w:szCs w:val="32"/>
          <w:lang w:val="en-US" w:eastAsia="zh-Hans"/>
        </w:rPr>
        <w:t>社会组织公共服务平台打开方式：</w:t>
      </w:r>
      <w:r>
        <w:rPr>
          <w:rFonts w:hint="eastAsia" w:ascii="仿宋_GB2312" w:hAnsi="仿宋_GB2312" w:eastAsia="仿宋_GB2312" w:cs="仿宋_GB2312"/>
          <w:b w:val="0"/>
          <w:bCs w:val="0"/>
          <w:sz w:val="32"/>
          <w:szCs w:val="32"/>
          <w:lang w:val="en-US" w:eastAsia="zh-CN"/>
        </w:rPr>
        <w:t>现系统操作流程与之前区别不大，登录账号与之前一样；</w:t>
      </w:r>
      <w:r>
        <w:rPr>
          <w:rFonts w:hint="eastAsia" w:ascii="仿宋_GB2312" w:hAnsi="仿宋_GB2312" w:eastAsia="仿宋_GB2312" w:cs="仿宋_GB2312"/>
          <w:b w:val="0"/>
          <w:bCs w:val="0"/>
          <w:sz w:val="32"/>
          <w:szCs w:val="32"/>
          <w:lang w:val="en-US" w:eastAsia="zh-Hans"/>
        </w:rPr>
        <w:t>百度搜索</w:t>
      </w:r>
      <w:r>
        <w:rPr>
          <w:rFonts w:hint="eastAsia" w:ascii="仿宋_GB2312" w:hAnsi="仿宋_GB2312" w:eastAsia="仿宋_GB2312" w:cs="仿宋_GB2312"/>
          <w:b w:val="0"/>
          <w:bCs w:val="0"/>
          <w:sz w:val="32"/>
          <w:szCs w:val="32"/>
          <w:lang w:val="en-US" w:eastAsia="zh-CN"/>
        </w:rPr>
        <w:t>自治区民政厅</w:t>
      </w:r>
      <w:r>
        <w:rPr>
          <w:rFonts w:hint="eastAsia" w:ascii="仿宋_GB2312" w:hAnsi="仿宋_GB2312" w:eastAsia="仿宋_GB2312" w:cs="仿宋_GB2312"/>
          <w:b w:val="0"/>
          <w:bCs w:val="0"/>
          <w:sz w:val="32"/>
          <w:szCs w:val="32"/>
          <w:lang w:val="en-US" w:eastAsia="zh-Hans"/>
        </w:rPr>
        <w:t>，进入官网后，点击“新疆社会组织</w:t>
      </w:r>
      <w:r>
        <w:rPr>
          <w:rFonts w:hint="eastAsia" w:ascii="仿宋_GB2312" w:hAnsi="仿宋_GB2312" w:eastAsia="仿宋_GB2312" w:cs="仿宋_GB2312"/>
          <w:b w:val="0"/>
          <w:bCs w:val="0"/>
          <w:sz w:val="32"/>
          <w:szCs w:val="32"/>
          <w:lang w:val="en-US" w:eastAsia="zh-CN"/>
        </w:rPr>
        <w:t>政务</w:t>
      </w:r>
      <w:r>
        <w:rPr>
          <w:rFonts w:hint="eastAsia" w:ascii="仿宋_GB2312" w:hAnsi="仿宋_GB2312" w:eastAsia="仿宋_GB2312" w:cs="仿宋_GB2312"/>
          <w:b w:val="0"/>
          <w:bCs w:val="0"/>
          <w:sz w:val="32"/>
          <w:szCs w:val="32"/>
          <w:lang w:val="en-US" w:eastAsia="zh-Hans"/>
        </w:rPr>
        <w:t>服务平台”</w:t>
      </w:r>
      <w:r>
        <w:rPr>
          <w:rFonts w:hint="eastAsia" w:ascii="仿宋_GB2312" w:hAnsi="仿宋_GB2312" w:eastAsia="仿宋_GB2312" w:cs="仿宋_GB2312"/>
          <w:b w:val="0"/>
          <w:bCs w:val="0"/>
          <w:sz w:val="32"/>
          <w:szCs w:val="32"/>
          <w:lang w:val="en-US" w:eastAsia="zh-CN"/>
        </w:rPr>
        <w:t>后点击“社会组织办事入口”</w:t>
      </w:r>
      <w:r>
        <w:rPr>
          <w:rFonts w:hint="eastAsia" w:ascii="仿宋_GB2312" w:hAnsi="仿宋_GB2312" w:eastAsia="仿宋_GB2312" w:cs="仿宋_GB2312"/>
          <w:b w:val="0"/>
          <w:bCs w:val="0"/>
          <w:sz w:val="32"/>
          <w:szCs w:val="32"/>
          <w:lang w:val="en-US" w:eastAsia="zh-Hans"/>
        </w:rPr>
        <w:t>；</w:t>
      </w:r>
    </w:p>
    <w:p w14:paraId="55B0E3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729"/>
        <w:jc w:val="both"/>
        <w:textAlignment w:val="auto"/>
        <w:rPr>
          <w:rFonts w:hint="eastAsia" w:ascii="黑体" w:hAnsi="黑体" w:eastAsia="黑体" w:cs="黑体"/>
          <w:sz w:val="32"/>
          <w:szCs w:val="32"/>
          <w:lang w:val="en-US" w:eastAsia="zh-CN"/>
        </w:rPr>
      </w:pPr>
      <w:r>
        <w:rPr>
          <w:rFonts w:hint="eastAsia" w:ascii="黑体" w:hAnsi="黑体" w:eastAsia="黑体" w:cs="黑体"/>
          <w:b w:val="0"/>
          <w:bCs/>
          <w:sz w:val="32"/>
          <w:szCs w:val="32"/>
          <w:lang w:val="en-US" w:eastAsia="zh-CN"/>
        </w:rPr>
        <w:t>一、账号登录</w:t>
      </w:r>
    </w:p>
    <w:p w14:paraId="3E7EA9C2">
      <w:pPr>
        <w:keepNext w:val="0"/>
        <w:keepLines w:val="0"/>
        <w:pageBreakBefore w:val="0"/>
        <w:widowControl w:val="0"/>
        <w:kinsoku/>
        <w:wordWrap/>
        <w:overflowPunct/>
        <w:topLinePunct w:val="0"/>
        <w:autoSpaceDE/>
        <w:autoSpaceDN/>
        <w:bidi w:val="0"/>
        <w:adjustRightInd/>
        <w:snapToGrid/>
        <w:spacing w:line="560" w:lineRule="exact"/>
        <w:ind w:firstLine="420" w:firstLineChars="0"/>
        <w:textAlignment w:val="auto"/>
        <w:rPr>
          <w:rFonts w:hint="eastAsia" w:ascii="宋体" w:hAnsi="宋体" w:eastAsia="宋体" w:cs="宋体"/>
          <w:sz w:val="24"/>
          <w:szCs w:val="24"/>
          <w:lang w:val="en-US" w:eastAsia="zh-CN"/>
        </w:rPr>
      </w:pPr>
      <w:r>
        <w:rPr>
          <w:rFonts w:hint="eastAsia" w:ascii="仿宋_GB2312" w:hAnsi="仿宋_GB2312" w:eastAsia="仿宋_GB2312" w:cs="仿宋_GB2312"/>
          <w:sz w:val="32"/>
          <w:szCs w:val="32"/>
          <w:lang w:val="en-US" w:eastAsia="zh-CN"/>
        </w:rPr>
        <w:t>登录账号为社会组织统一信用代码，密码默认为qwer123#。</w:t>
      </w:r>
    </w:p>
    <w:p w14:paraId="33EEE767">
      <w:pPr>
        <w:ind w:firstLine="420" w:firstLineChars="0"/>
        <w:rPr>
          <w:rFonts w:hint="eastAsia" w:ascii="宋体" w:hAnsi="宋体" w:eastAsia="宋体" w:cs="宋体"/>
          <w:sz w:val="24"/>
          <w:szCs w:val="24"/>
          <w:lang w:val="en-US" w:eastAsia="zh-CN"/>
        </w:rPr>
      </w:pPr>
      <w:r>
        <w:drawing>
          <wp:inline distT="0" distB="0" distL="114300" distR="114300">
            <wp:extent cx="5542280" cy="2664460"/>
            <wp:effectExtent l="0" t="0" r="1270" b="254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5"/>
                    <a:stretch>
                      <a:fillRect/>
                    </a:stretch>
                  </pic:blipFill>
                  <pic:spPr>
                    <a:xfrm>
                      <a:off x="0" y="0"/>
                      <a:ext cx="5542280" cy="2664460"/>
                    </a:xfrm>
                    <a:prstGeom prst="rect">
                      <a:avLst/>
                    </a:prstGeom>
                    <a:noFill/>
                    <a:ln>
                      <a:noFill/>
                    </a:ln>
                  </pic:spPr>
                </pic:pic>
              </a:graphicData>
            </a:graphic>
          </wp:inline>
        </w:drawing>
      </w:r>
    </w:p>
    <w:p w14:paraId="10642582">
      <w:pPr>
        <w:pStyle w:val="3"/>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val="en-US" w:eastAsia="zh-CN"/>
        </w:rPr>
      </w:pPr>
      <w:r>
        <w:rPr>
          <w:rFonts w:hint="eastAsia" w:ascii="方正黑体_GBK" w:hAnsi="方正黑体_GBK" w:eastAsia="方正黑体_GBK" w:cs="方正黑体_GBK"/>
          <w:b w:val="0"/>
          <w:bCs/>
          <w:color w:val="auto"/>
          <w:kern w:val="2"/>
          <w:sz w:val="30"/>
          <w:szCs w:val="30"/>
          <w:lang w:val="en-US" w:eastAsia="zh-CN" w:bidi="ar-SA"/>
        </w:rPr>
        <w:t>　　</w:t>
      </w:r>
      <w:r>
        <w:rPr>
          <w:rFonts w:hint="eastAsia" w:ascii="黑体" w:hAnsi="黑体" w:eastAsia="黑体" w:cs="黑体"/>
          <w:b w:val="0"/>
          <w:bCs/>
          <w:color w:val="auto"/>
          <w:kern w:val="2"/>
          <w:sz w:val="32"/>
          <w:szCs w:val="32"/>
          <w:lang w:val="en-US" w:eastAsia="zh-CN" w:bidi="ar-SA"/>
        </w:rPr>
        <w:t>二、年度检查</w:t>
      </w:r>
    </w:p>
    <w:p w14:paraId="3FDA58F4">
      <w:pPr>
        <w:pStyle w:val="4"/>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32"/>
          <w:szCs w:val="32"/>
          <w:lang w:val="en-US" w:eastAsia="zh-CN"/>
        </w:rPr>
      </w:pPr>
      <w:r>
        <w:rPr>
          <w:rFonts w:hint="eastAsia" w:ascii="方正楷体_GBK" w:hAnsi="方正楷体_GBK" w:eastAsia="方正楷体_GBK" w:cs="方正楷体_GBK"/>
          <w:b w:val="0"/>
          <w:bCs/>
          <w:sz w:val="28"/>
          <w:szCs w:val="28"/>
          <w:lang w:val="en-US" w:eastAsia="zh-CN"/>
        </w:rPr>
        <w:t>　　</w:t>
      </w:r>
      <w:r>
        <w:rPr>
          <w:rFonts w:hint="eastAsia" w:ascii="楷体_GB2312" w:hAnsi="楷体_GB2312" w:eastAsia="楷体_GB2312" w:cs="楷体_GB2312"/>
          <w:b w:val="0"/>
          <w:bCs/>
          <w:sz w:val="32"/>
          <w:szCs w:val="32"/>
          <w:lang w:val="en-US" w:eastAsia="zh-CN"/>
        </w:rPr>
        <w:t>1.信息填报</w:t>
      </w:r>
    </w:p>
    <w:p w14:paraId="32E6AF0F">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sz w:val="24"/>
          <w:szCs w:val="24"/>
          <w:lang w:val="en-US" w:eastAsia="zh-CN"/>
        </w:rPr>
        <w:t>　　</w:t>
      </w:r>
      <w:r>
        <w:rPr>
          <w:rFonts w:hint="eastAsia" w:ascii="仿宋_GB2312" w:hAnsi="仿宋_GB2312" w:eastAsia="仿宋_GB2312" w:cs="仿宋_GB2312"/>
          <w:sz w:val="32"/>
          <w:szCs w:val="32"/>
          <w:lang w:val="en-US" w:eastAsia="zh-CN"/>
        </w:rPr>
        <w:t>系统登录后，在蓝色边框中点击“年度检查”，进入到年检功能；</w:t>
      </w:r>
    </w:p>
    <w:p w14:paraId="72AA506F">
      <w:pPr>
        <w:pageBreakBefore w:val="0"/>
        <w:widowControl w:val="0"/>
        <w:kinsoku/>
        <w:wordWrap/>
        <w:overflowPunct/>
        <w:topLinePunct w:val="0"/>
        <w:autoSpaceDE/>
        <w:autoSpaceDN/>
        <w:bidi w:val="0"/>
        <w:adjustRightInd/>
        <w:snapToGrid/>
        <w:spacing w:line="300" w:lineRule="exact"/>
        <w:ind w:left="420" w:leftChars="0" w:firstLine="420" w:firstLineChars="0"/>
        <w:textAlignment w:val="auto"/>
        <w:rPr>
          <w:rFonts w:hint="eastAsia"/>
          <w:sz w:val="24"/>
          <w:szCs w:val="24"/>
          <w:lang w:val="en-US" w:eastAsia="zh-CN"/>
        </w:rPr>
      </w:pPr>
    </w:p>
    <w:p w14:paraId="78F768A7">
      <w:r>
        <w:drawing>
          <wp:inline distT="0" distB="0" distL="114300" distR="114300">
            <wp:extent cx="5542280" cy="965835"/>
            <wp:effectExtent l="0" t="0" r="1270" b="5715"/>
            <wp:docPr id="21" name="图片 20" descr="D:/c盘缓存文件勿删/桌面/2025年社会组织年检/kappframework-wvDzaF(1)(1).pngkappframework-wvDza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D:/c盘缓存文件勿删/桌面/2025年社会组织年检/kappframework-wvDzaF(1)(1).pngkappframework-wvDzaF(1)(1)"/>
                    <pic:cNvPicPr>
                      <a:picLocks noChangeAspect="1"/>
                    </pic:cNvPicPr>
                  </pic:nvPicPr>
                  <pic:blipFill>
                    <a:blip r:embed="rId6"/>
                    <a:srcRect l="99" r="99"/>
                    <a:stretch>
                      <a:fillRect/>
                    </a:stretch>
                  </pic:blipFill>
                  <pic:spPr>
                    <a:xfrm>
                      <a:off x="0" y="0"/>
                      <a:ext cx="5542280" cy="965835"/>
                    </a:xfrm>
                    <a:prstGeom prst="rect">
                      <a:avLst/>
                    </a:prstGeom>
                    <a:noFill/>
                    <a:ln>
                      <a:noFill/>
                    </a:ln>
                  </pic:spPr>
                </pic:pic>
              </a:graphicData>
            </a:graphic>
          </wp:inline>
        </w:drawing>
      </w:r>
    </w:p>
    <w:p w14:paraId="0E42524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选择好填报年度后，在右侧操作栏点击“编辑”。</w:t>
      </w:r>
    </w:p>
    <w:p w14:paraId="1A530765">
      <w:pPr>
        <w:rPr>
          <w:rFonts w:hint="default"/>
          <w:sz w:val="24"/>
          <w:szCs w:val="24"/>
          <w:lang w:val="en-US" w:eastAsia="zh-CN"/>
        </w:rPr>
      </w:pPr>
      <w:r>
        <w:drawing>
          <wp:inline distT="0" distB="0" distL="114300" distR="114300">
            <wp:extent cx="5540375" cy="1783715"/>
            <wp:effectExtent l="0" t="0" r="3175" b="6985"/>
            <wp:docPr id="22" name="图片 21" descr="D:/c盘缓存文件勿删/桌面/2025年社会组织年检/kappframework-qdTpYD(1)(1).pngkappframework-qdTpY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D:/c盘缓存文件勿删/桌面/2025年社会组织年检/kappframework-qdTpYD(1)(1).pngkappframework-qdTpYD(1)(1)"/>
                    <pic:cNvPicPr>
                      <a:picLocks noChangeAspect="1"/>
                    </pic:cNvPicPr>
                  </pic:nvPicPr>
                  <pic:blipFill>
                    <a:blip r:embed="rId7"/>
                    <a:srcRect t="11" b="11"/>
                    <a:stretch>
                      <a:fillRect/>
                    </a:stretch>
                  </pic:blipFill>
                  <pic:spPr>
                    <a:xfrm>
                      <a:off x="0" y="0"/>
                      <a:ext cx="5540375" cy="1783715"/>
                    </a:xfrm>
                    <a:prstGeom prst="rect">
                      <a:avLst/>
                    </a:prstGeom>
                    <a:noFill/>
                    <a:ln>
                      <a:noFill/>
                    </a:ln>
                  </pic:spPr>
                </pic:pic>
              </a:graphicData>
            </a:graphic>
          </wp:inline>
        </w:drawing>
      </w:r>
    </w:p>
    <w:p w14:paraId="5DFA296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sz w:val="24"/>
          <w:szCs w:val="24"/>
          <w:lang w:eastAsia="zh-CN"/>
        </w:rPr>
        <w:t>　</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lang w:val="en-US" w:eastAsia="zh-CN"/>
        </w:rPr>
        <w:t>将基本情况、内部建设、变更及整改情况、年度活动情况、承接政府委托情况、资金财务情况、对外工作情况、工作报告以及相关资料等内容全部依次填写完整，相关材料上传完整。</w:t>
      </w:r>
    </w:p>
    <w:p w14:paraId="3DFE2D53">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楷体_GB2312" w:hAnsi="楷体_GB2312" w:eastAsia="楷体_GB2312" w:cs="楷体_GB2312"/>
          <w:b w:val="0"/>
          <w:bCs/>
          <w:color w:val="auto"/>
          <w:kern w:val="2"/>
          <w:sz w:val="32"/>
          <w:szCs w:val="32"/>
          <w:lang w:val="en-US" w:eastAsia="zh-CN" w:bidi="ar-SA"/>
        </w:rPr>
      </w:pPr>
      <w:r>
        <w:rPr>
          <w:rFonts w:hint="eastAsia" w:ascii="黑体" w:hAnsi="黑体" w:eastAsia="黑体" w:cs="黑体"/>
          <w:b w:val="0"/>
          <w:bCs w:val="0"/>
          <w:sz w:val="32"/>
          <w:szCs w:val="32"/>
        </w:rPr>
        <w:drawing>
          <wp:anchor distT="0" distB="0" distL="114300" distR="114300" simplePos="0" relativeHeight="251659264" behindDoc="0" locked="0" layoutInCell="1" allowOverlap="1">
            <wp:simplePos x="0" y="0"/>
            <wp:positionH relativeFrom="column">
              <wp:posOffset>-27305</wp:posOffset>
            </wp:positionH>
            <wp:positionV relativeFrom="paragraph">
              <wp:posOffset>147320</wp:posOffset>
            </wp:positionV>
            <wp:extent cx="5521960" cy="2625725"/>
            <wp:effectExtent l="0" t="0" r="2540" b="3175"/>
            <wp:wrapSquare wrapText="bothSides"/>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8"/>
                    <a:stretch>
                      <a:fillRect/>
                    </a:stretch>
                  </pic:blipFill>
                  <pic:spPr>
                    <a:xfrm>
                      <a:off x="0" y="0"/>
                      <a:ext cx="5521960" cy="2625725"/>
                    </a:xfrm>
                    <a:prstGeom prst="rect">
                      <a:avLst/>
                    </a:prstGeom>
                    <a:noFill/>
                    <a:ln>
                      <a:noFill/>
                    </a:ln>
                  </pic:spPr>
                </pic:pic>
              </a:graphicData>
            </a:graphic>
          </wp:anchor>
        </w:drawing>
      </w:r>
      <w:r>
        <w:rPr>
          <w:rFonts w:hint="eastAsia" w:ascii="黑体" w:hAnsi="黑体" w:eastAsia="黑体" w:cs="黑体"/>
          <w:b w:val="0"/>
          <w:bCs w:val="0"/>
          <w:sz w:val="32"/>
          <w:szCs w:val="32"/>
          <w:lang w:eastAsia="zh-CN"/>
        </w:rPr>
        <w:t>基本信息：</w:t>
      </w:r>
      <w:r>
        <w:rPr>
          <w:rFonts w:hint="eastAsia" w:ascii="仿宋_GB2312" w:hAnsi="仿宋_GB2312" w:eastAsia="仿宋_GB2312" w:cs="仿宋_GB2312"/>
          <w:sz w:val="32"/>
          <w:szCs w:val="32"/>
          <w:lang w:eastAsia="zh-CN"/>
        </w:rPr>
        <w:t>社会组织名称和统一信用代码自动显示不可修改；其他信息按照提示正确填写即可。</w:t>
      </w:r>
    </w:p>
    <w:p w14:paraId="38B84E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textAlignment w:val="auto"/>
        <w:rPr>
          <w:rFonts w:hint="eastAsia" w:ascii="方正楷体_GBK" w:hAnsi="方正楷体_GBK" w:eastAsia="方正楷体_GBK" w:cs="方正楷体_GBK"/>
          <w:b w:val="0"/>
          <w:bCs/>
          <w:sz w:val="28"/>
          <w:szCs w:val="28"/>
          <w:lang w:val="en-US" w:eastAsia="zh-CN"/>
        </w:rPr>
      </w:pPr>
      <w:r>
        <w:rPr>
          <w:rFonts w:hint="eastAsia" w:ascii="楷体_GB2312" w:hAnsi="楷体_GB2312" w:eastAsia="楷体_GB2312" w:cs="楷体_GB2312"/>
          <w:b w:val="0"/>
          <w:bCs/>
          <w:color w:val="auto"/>
          <w:kern w:val="2"/>
          <w:sz w:val="32"/>
          <w:szCs w:val="32"/>
          <w:lang w:val="en-US" w:eastAsia="zh-CN" w:bidi="ar-SA"/>
        </w:rPr>
        <w:t>2.</w:t>
      </w:r>
      <w:r>
        <w:rPr>
          <w:rFonts w:hint="eastAsia" w:ascii="楷体_GB2312" w:hAnsi="楷体_GB2312" w:eastAsia="楷体_GB2312" w:cs="楷体_GB2312"/>
          <w:b w:val="0"/>
          <w:bCs/>
          <w:sz w:val="32"/>
          <w:szCs w:val="32"/>
          <w:lang w:val="en-US" w:eastAsia="zh-CN"/>
        </w:rPr>
        <w:t>信息保存</w:t>
      </w:r>
    </w:p>
    <w:p w14:paraId="1726E0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该功能用于为填写完不提交审批时存储已填写信息。点击页面下方按钮“保存”即可。</w:t>
      </w:r>
    </w:p>
    <w:p w14:paraId="63851B1D">
      <w:r>
        <w:drawing>
          <wp:inline distT="0" distB="0" distL="114300" distR="114300">
            <wp:extent cx="5535295" cy="2053590"/>
            <wp:effectExtent l="0" t="0" r="8255" b="381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9"/>
                    <a:stretch>
                      <a:fillRect/>
                    </a:stretch>
                  </pic:blipFill>
                  <pic:spPr>
                    <a:xfrm>
                      <a:off x="0" y="0"/>
                      <a:ext cx="5535295" cy="2053590"/>
                    </a:xfrm>
                    <a:prstGeom prst="rect">
                      <a:avLst/>
                    </a:prstGeom>
                    <a:noFill/>
                    <a:ln>
                      <a:noFill/>
                    </a:ln>
                  </pic:spPr>
                </pic:pic>
              </a:graphicData>
            </a:graphic>
          </wp:inline>
        </w:drawing>
      </w:r>
    </w:p>
    <w:p w14:paraId="57E5E516">
      <w:pPr>
        <w:spacing w:line="360" w:lineRule="auto"/>
        <w:rPr>
          <w:rFonts w:hint="default"/>
          <w:b/>
          <w:bCs/>
          <w:lang w:val="en-US" w:eastAsia="zh-CN"/>
        </w:rPr>
      </w:pPr>
      <w:r>
        <w:rPr>
          <w:rFonts w:hint="eastAsia" w:eastAsia="方正楷体_GBK"/>
          <w:lang w:eastAsia="zh-CN"/>
        </w:rPr>
        <w:t>　</w:t>
      </w:r>
      <w:r>
        <w:rPr>
          <w:rFonts w:hint="eastAsia" w:ascii="楷体_GB2312" w:hAnsi="楷体_GB2312" w:eastAsia="楷体_GB2312" w:cs="楷体_GB2312"/>
          <w:sz w:val="32"/>
          <w:szCs w:val="32"/>
          <w:lang w:eastAsia="zh-CN"/>
        </w:rPr>
        <w:t>　</w:t>
      </w:r>
      <w:r>
        <w:rPr>
          <w:rFonts w:hint="eastAsia" w:ascii="楷体_GB2312" w:hAnsi="楷体_GB2312" w:eastAsia="楷体_GB2312" w:cs="楷体_GB2312"/>
          <w:b w:val="0"/>
          <w:bCs/>
          <w:sz w:val="32"/>
          <w:szCs w:val="32"/>
          <w:lang w:val="en-US" w:eastAsia="zh-CN"/>
        </w:rPr>
        <w:t>3.下载年检报告书</w:t>
      </w:r>
    </w:p>
    <w:p w14:paraId="21088EA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lang w:val="en-US" w:eastAsia="zh-CN"/>
        </w:rPr>
        <w:t xml:space="preserve">   </w:t>
      </w:r>
      <w:r>
        <w:rPr>
          <w:rFonts w:hint="eastAsia" w:ascii="Calibri" w:hAnsi="Calibri" w:eastAsia="宋体" w:cs="Times New Roman"/>
          <w:b w:val="0"/>
          <w:bCs w:val="0"/>
          <w:color w:val="auto"/>
          <w:kern w:val="2"/>
          <w:sz w:val="24"/>
          <w:szCs w:val="24"/>
          <w:lang w:val="en-US" w:eastAsia="zh-CN" w:bidi="ar-SA"/>
        </w:rPr>
        <w:t xml:space="preserve"> </w:t>
      </w:r>
      <w:r>
        <w:rPr>
          <w:rFonts w:hint="eastAsia" w:ascii="仿宋_GB2312" w:hAnsi="仿宋_GB2312" w:eastAsia="仿宋_GB2312" w:cs="仿宋_GB2312"/>
          <w:b w:val="0"/>
          <w:bCs w:val="0"/>
          <w:color w:val="auto"/>
          <w:kern w:val="2"/>
          <w:sz w:val="32"/>
          <w:szCs w:val="32"/>
          <w:lang w:val="en-US" w:eastAsia="zh-CN" w:bidi="ar-SA"/>
        </w:rPr>
        <w:t>完成表单列所有填写选项，点击“下载年检报告”按钮（直接打印所有填写好的年检内容）。同时，将打印出的年检报告书经法定代表人签字并在首页盖单位公章后交由业务主管单位审批。业务主管单位审批后，请将年检报告书首页（法定代表人签字盖公章页）和业务主管单位审批页扫描为PDF格式版本上传至附件。最后提交年检报告书至登记管理机关审批。</w:t>
      </w:r>
    </w:p>
    <w:p w14:paraId="122F0F3A">
      <w:r>
        <w:drawing>
          <wp:inline distT="0" distB="0" distL="114300" distR="114300">
            <wp:extent cx="5556250" cy="1087755"/>
            <wp:effectExtent l="0" t="0" r="6350" b="7620"/>
            <wp:docPr id="7" name="图片 11"/>
            <wp:cNvGraphicFramePr/>
            <a:graphic xmlns:a="http://schemas.openxmlformats.org/drawingml/2006/main">
              <a:graphicData uri="http://schemas.openxmlformats.org/drawingml/2006/picture">
                <pic:pic xmlns:pic="http://schemas.openxmlformats.org/drawingml/2006/picture">
                  <pic:nvPicPr>
                    <pic:cNvPr id="7" name="图片 11"/>
                    <pic:cNvPicPr/>
                  </pic:nvPicPr>
                  <pic:blipFill>
                    <a:blip r:embed="rId10"/>
                    <a:stretch>
                      <a:fillRect/>
                    </a:stretch>
                  </pic:blipFill>
                  <pic:spPr>
                    <a:xfrm>
                      <a:off x="0" y="0"/>
                      <a:ext cx="5556250" cy="1087755"/>
                    </a:xfrm>
                    <a:prstGeom prst="rect">
                      <a:avLst/>
                    </a:prstGeom>
                    <a:noFill/>
                    <a:ln>
                      <a:noFill/>
                    </a:ln>
                  </pic:spPr>
                </pic:pic>
              </a:graphicData>
            </a:graphic>
          </wp:inline>
        </w:drawing>
      </w:r>
    </w:p>
    <w:p w14:paraId="09196BE8">
      <w:pPr>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　　</w:t>
      </w:r>
    </w:p>
    <w:p w14:paraId="4AC53ACC">
      <w:pPr>
        <w:rPr>
          <w:rFonts w:hint="eastAsia" w:ascii="楷体_GB2312" w:hAnsi="楷体_GB2312" w:eastAsia="楷体_GB2312" w:cs="楷体_GB2312"/>
          <w:sz w:val="32"/>
          <w:szCs w:val="32"/>
          <w:lang w:eastAsia="zh-CN"/>
        </w:rPr>
      </w:pPr>
    </w:p>
    <w:p w14:paraId="0B2B1231">
      <w:pPr>
        <w:ind w:firstLine="640" w:firstLineChars="20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b w:val="0"/>
          <w:bCs/>
          <w:sz w:val="32"/>
          <w:szCs w:val="32"/>
          <w:lang w:val="en-US" w:eastAsia="zh-CN"/>
        </w:rPr>
        <w:t>4.提交</w:t>
      </w:r>
    </w:p>
    <w:p w14:paraId="272F0DF3">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rPr>
          <w:rFonts w:hint="eastAsia" w:ascii="仿宋_GB2312" w:hAnsi="仿宋_GB2312" w:eastAsia="仿宋_GB2312" w:cs="仿宋_GB2312"/>
          <w:b w:val="0"/>
          <w:bCs w:val="0"/>
          <w:color w:val="auto"/>
          <w:spacing w:val="-20"/>
          <w:w w:val="99"/>
          <w:kern w:val="2"/>
          <w:sz w:val="32"/>
          <w:szCs w:val="32"/>
          <w:lang w:val="en-US" w:eastAsia="zh-CN" w:bidi="ar-SA"/>
        </w:rPr>
      </w:pPr>
      <w:r>
        <w:rPr>
          <w:rFonts w:hint="eastAsia" w:ascii="仿宋_GB2312" w:hAnsi="仿宋_GB2312" w:eastAsia="仿宋_GB2312" w:cs="仿宋_GB2312"/>
          <w:spacing w:val="-20"/>
          <w:w w:val="99"/>
          <w:sz w:val="32"/>
          <w:szCs w:val="32"/>
        </w:rPr>
        <w:drawing>
          <wp:anchor distT="0" distB="0" distL="114300" distR="114300" simplePos="0" relativeHeight="251660288" behindDoc="0" locked="0" layoutInCell="1" allowOverlap="1">
            <wp:simplePos x="0" y="0"/>
            <wp:positionH relativeFrom="column">
              <wp:posOffset>10160</wp:posOffset>
            </wp:positionH>
            <wp:positionV relativeFrom="paragraph">
              <wp:posOffset>1526540</wp:posOffset>
            </wp:positionV>
            <wp:extent cx="5540375" cy="1783715"/>
            <wp:effectExtent l="0" t="0" r="3175" b="6985"/>
            <wp:wrapSquare wrapText="bothSides"/>
            <wp:docPr id="25" name="图片 21" descr="D:/c盘缓存文件勿删/桌面/2025年社会组织年检/kappframework-qdTpYD(1)(1).pngkappframework-qdTpY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D:/c盘缓存文件勿删/桌面/2025年社会组织年检/kappframework-qdTpYD(1)(1).pngkappframework-qdTpYD(1)(1)"/>
                    <pic:cNvPicPr>
                      <a:picLocks noChangeAspect="1"/>
                    </pic:cNvPicPr>
                  </pic:nvPicPr>
                  <pic:blipFill>
                    <a:blip r:embed="rId11"/>
                    <a:srcRect t="11" b="11"/>
                    <a:stretch>
                      <a:fillRect/>
                    </a:stretch>
                  </pic:blipFill>
                  <pic:spPr>
                    <a:xfrm>
                      <a:off x="0" y="0"/>
                      <a:ext cx="5540375" cy="1783715"/>
                    </a:xfrm>
                    <a:prstGeom prst="rect">
                      <a:avLst/>
                    </a:prstGeom>
                    <a:noFill/>
                    <a:ln>
                      <a:noFill/>
                    </a:ln>
                  </pic:spPr>
                </pic:pic>
              </a:graphicData>
            </a:graphic>
          </wp:anchor>
        </w:drawing>
      </w:r>
      <w:r>
        <w:rPr>
          <w:rFonts w:hint="eastAsia" w:ascii="仿宋_GB2312" w:hAnsi="仿宋_GB2312" w:eastAsia="仿宋_GB2312" w:cs="仿宋_GB2312"/>
          <w:spacing w:val="-20"/>
          <w:w w:val="99"/>
          <w:sz w:val="32"/>
          <w:szCs w:val="32"/>
          <w:lang w:val="en-US" w:eastAsia="zh-CN"/>
        </w:rPr>
        <w:t>将基本情况、内部建设、变更及整改情况、年度活动情况、承接政府委托情况、资金财务情况、对外工作情况、工作报告以及相关资料等内容全部依次填写完整，相关材料上传完整后，点击“保存”后退出当前页面回到年度检查首页，点击“提交”，即可完成年度检查申报</w:t>
      </w:r>
      <w:r>
        <w:rPr>
          <w:rFonts w:hint="eastAsia" w:ascii="仿宋_GB2312" w:hAnsi="仿宋_GB2312" w:eastAsia="仿宋_GB2312" w:cs="仿宋_GB2312"/>
          <w:b w:val="0"/>
          <w:bCs w:val="0"/>
          <w:color w:val="auto"/>
          <w:spacing w:val="-20"/>
          <w:w w:val="99"/>
          <w:kern w:val="2"/>
          <w:sz w:val="32"/>
          <w:szCs w:val="32"/>
          <w:lang w:val="en-US" w:eastAsia="zh-CN" w:bidi="ar-SA"/>
        </w:rPr>
        <w:t>。</w:t>
      </w:r>
    </w:p>
    <w:p w14:paraId="1AE9DA92">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rPr>
          <w:rFonts w:hint="default" w:ascii="仿宋_GB2312" w:hAnsi="仿宋_GB2312" w:eastAsia="仿宋_GB2312" w:cs="仿宋_GB2312"/>
          <w:b w:val="0"/>
          <w:bCs w:val="0"/>
          <w:color w:val="auto"/>
          <w:spacing w:val="-20"/>
          <w:w w:val="99"/>
          <w:kern w:val="2"/>
          <w:sz w:val="32"/>
          <w:szCs w:val="32"/>
          <w:lang w:val="en-US" w:eastAsia="zh-CN" w:bidi="ar-SA"/>
        </w:rPr>
      </w:pPr>
      <w:r>
        <w:rPr>
          <w:rFonts w:hint="eastAsia" w:ascii="仿宋_GB2312" w:hAnsi="仿宋_GB2312" w:eastAsia="仿宋_GB2312" w:cs="仿宋_GB2312"/>
          <w:b w:val="0"/>
          <w:bCs w:val="0"/>
          <w:color w:val="auto"/>
          <w:spacing w:val="-20"/>
          <w:w w:val="99"/>
          <w:kern w:val="2"/>
          <w:sz w:val="32"/>
          <w:szCs w:val="32"/>
          <w:lang w:val="en-US" w:eastAsia="zh-CN" w:bidi="ar-SA"/>
        </w:rPr>
        <w:t>对以上流程存在其他疑问的，可以联系吉木萨尔县民政局，联系电话0994-6915210。</w:t>
      </w:r>
      <w:bookmarkStart w:id="0" w:name="_GoBack"/>
      <w:bookmarkEnd w:id="0"/>
    </w:p>
    <w:sectPr>
      <w:footerReference r:id="rId3" w:type="default"/>
      <w:pgSz w:w="11906" w:h="16838"/>
      <w:pgMar w:top="2098" w:right="1474" w:bottom="1984" w:left="1587" w:header="720" w:footer="720"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E6AAE87-8B51-435C-A1F5-BD9C07A91FF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458ACBD-7B50-43B5-825C-79F3343B05C9}"/>
  </w:font>
  <w:font w:name="仿宋_GB2312">
    <w:panose1 w:val="02010609030101010101"/>
    <w:charset w:val="86"/>
    <w:family w:val="auto"/>
    <w:pitch w:val="default"/>
    <w:sig w:usb0="00000001" w:usb1="080E0000" w:usb2="00000000" w:usb3="00000000" w:csb0="00040000" w:csb1="00000000"/>
    <w:embedRegular r:id="rId3" w:fontKey="{A4FD8996-B8FE-4605-80C9-CB7A56933A40}"/>
  </w:font>
  <w:font w:name="方正黑体_GBK">
    <w:altName w:val="微软雅黑"/>
    <w:panose1 w:val="03000509000000000000"/>
    <w:charset w:val="86"/>
    <w:family w:val="auto"/>
    <w:pitch w:val="default"/>
    <w:sig w:usb0="00000000" w:usb1="00000000" w:usb2="00000000" w:usb3="00000000" w:csb0="00040000" w:csb1="00000000"/>
    <w:embedRegular r:id="rId4" w:fontKey="{F9871C28-C5A0-4158-A82E-2FB9B5282B78}"/>
  </w:font>
  <w:font w:name="微软雅黑">
    <w:panose1 w:val="020B0503020204020204"/>
    <w:charset w:val="86"/>
    <w:family w:val="auto"/>
    <w:pitch w:val="default"/>
    <w:sig w:usb0="80000287" w:usb1="2ACF3C50" w:usb2="00000016" w:usb3="00000000" w:csb0="0004001F" w:csb1="00000000"/>
  </w:font>
  <w:font w:name="方正小标宋_GBK">
    <w:panose1 w:val="03000509000000000000"/>
    <w:charset w:val="86"/>
    <w:family w:val="auto"/>
    <w:pitch w:val="default"/>
    <w:sig w:usb0="00000001" w:usb1="080E0000" w:usb2="00000000" w:usb3="00000000" w:csb0="00040000" w:csb1="00000000"/>
  </w:font>
  <w:font w:name="方正仿宋_GBK">
    <w:panose1 w:val="02000000000000000000"/>
    <w:charset w:val="86"/>
    <w:family w:val="auto"/>
    <w:pitch w:val="default"/>
    <w:sig w:usb0="A00002BF" w:usb1="38CF7CFA" w:usb2="00082016" w:usb3="00000000" w:csb0="00040001" w:csb1="00000000"/>
    <w:embedRegular r:id="rId5" w:fontKey="{F9C87ABD-F01D-4C80-8D4A-C7DD9E5BB037}"/>
  </w:font>
  <w:font w:name="楷体_GB2312">
    <w:panose1 w:val="02010609030101010101"/>
    <w:charset w:val="86"/>
    <w:family w:val="auto"/>
    <w:pitch w:val="default"/>
    <w:sig w:usb0="00000001" w:usb1="080E0000" w:usb2="00000000" w:usb3="00000000" w:csb0="00040000" w:csb1="00000000"/>
    <w:embedRegular r:id="rId6" w:fontKey="{03C75DC5-47DE-437A-8E6C-A1E1474DDDA1}"/>
  </w:font>
  <w:font w:name="方正楷体_GBK">
    <w:panose1 w:val="02000000000000000000"/>
    <w:charset w:val="86"/>
    <w:family w:val="auto"/>
    <w:pitch w:val="default"/>
    <w:sig w:usb0="800002BF" w:usb1="38CF7CFA" w:usb2="00000016" w:usb3="00000000" w:csb0="00040000" w:csb1="00000000"/>
    <w:embedRegular r:id="rId7" w:fontKey="{D8614AC9-7E9C-4E57-A269-FF7C324F20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CFF62">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1F23D3">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14:paraId="411F23D3">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783E55"/>
    <w:rsid w:val="18DF20B4"/>
    <w:rsid w:val="4C783E55"/>
    <w:rsid w:val="4DEC4CE8"/>
    <w:rsid w:val="50A44C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bidi w:val="0"/>
      <w:jc w:val="both"/>
    </w:pPr>
    <w:rPr>
      <w:rFonts w:ascii="Calibri" w:hAnsi="Calibri" w:eastAsia="宋体" w:cs="Times New Roman"/>
      <w:color w:val="auto"/>
      <w:kern w:val="2"/>
      <w:sz w:val="21"/>
      <w:szCs w:val="24"/>
      <w:lang w:val="en-US" w:eastAsia="zh-CN" w:bidi="ar-SA"/>
    </w:rPr>
  </w:style>
  <w:style w:type="paragraph" w:styleId="2">
    <w:name w:val="heading 1"/>
    <w:basedOn w:val="1"/>
    <w:next w:val="1"/>
    <w:qFormat/>
    <w:uiPriority w:val="0"/>
    <w:pPr>
      <w:keepNext/>
      <w:keepLines/>
      <w:spacing w:before="340" w:beforeAutospacing="0" w:after="330" w:afterAutospacing="0" w:line="576" w:lineRule="auto"/>
      <w:outlineLvl w:val="0"/>
    </w:pPr>
    <w:rPr>
      <w:b/>
      <w:kern w:val="44"/>
      <w:sz w:val="44"/>
    </w:rPr>
  </w:style>
  <w:style w:type="paragraph" w:styleId="3">
    <w:name w:val="heading 2"/>
    <w:basedOn w:val="1"/>
    <w:next w:val="1"/>
    <w:qFormat/>
    <w:uiPriority w:val="0"/>
    <w:pPr>
      <w:keepNext/>
      <w:keepLines/>
      <w:spacing w:before="260" w:beforeAutospacing="0" w:after="260" w:afterAutospacing="0" w:line="413" w:lineRule="auto"/>
      <w:outlineLvl w:val="1"/>
    </w:pPr>
    <w:rPr>
      <w:rFonts w:ascii="Arial" w:hAnsi="Arial" w:eastAsia="黑体"/>
      <w:b/>
      <w:sz w:val="32"/>
    </w:rPr>
  </w:style>
  <w:style w:type="paragraph" w:styleId="4">
    <w:name w:val="heading 3"/>
    <w:basedOn w:val="1"/>
    <w:next w:val="1"/>
    <w:qFormat/>
    <w:uiPriority w:val="0"/>
    <w:pPr>
      <w:keepNext/>
      <w:keepLines/>
      <w:spacing w:before="260" w:beforeAutospacing="0" w:after="260" w:afterAutospacing="0" w:line="413" w:lineRule="auto"/>
      <w:outlineLvl w:val="2"/>
    </w:pPr>
    <w:rPr>
      <w:b/>
      <w:sz w:val="32"/>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838</Words>
  <Characters>912</Characters>
  <Lines>0</Lines>
  <Paragraphs>0</Paragraphs>
  <TotalTime>9</TotalTime>
  <ScaleCrop>false</ScaleCrop>
  <LinksUpToDate>false</LinksUpToDate>
  <CharactersWithSpaces>936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2025-04-07T15:25:00Z</dcterms:created>
  <dc:creator>幼儿园抢饭第一名</dc:creator>
  <cp:lastModifiedBy>幼儿园抢饭第一名</cp:lastModifiedBy>
  <cp:lastPrinted>2025-04-18T02:50:00Z</cp:lastPrinted>
  <dcterms:modified xsi:type="dcterms:W3CDTF">2025-04-18T02:50:05Z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52FDCF3353834FBE9B128459F3592A0F_11</vt:lpwstr>
  </property>
  <property fmtid="{D5CDD505-2E9C-101B-9397-08002B2CF9AE}" pid="4" name="KSOTemplateDocerSaveRecord">
    <vt:lpwstr>eyJoZGlkIjoiYWJmZWRiMzliZmMyZjJlNzU0YjQwNGNlMDUwOWE4NmUiLCJ1c2VySWQiOiIzMDk3NTM4NTEifQ==</vt:lpwstr>
  </property>
</Properties>
</file>