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/>
    <w:p>
      <w:pPr>
        <w:widowControl/>
        <w:spacing w:before="100" w:beforeAutospacing="1" w:after="100" w:afterAutospacing="1"/>
        <w:outlineLvl w:val="1"/>
        <w:rPr>
          <w:rFonts w:ascii="黑体" w:hAnsi="黑体" w:eastAsia="黑体" w:cs="宋体"/>
          <w:kern w:val="0"/>
          <w:sz w:val="32"/>
          <w:szCs w:val="32"/>
        </w:rPr>
      </w:pPr>
    </w:p>
    <w:p>
      <w:pPr>
        <w:widowControl/>
        <w:spacing w:before="100" w:beforeAutospacing="1" w:after="100" w:afterAutospacing="1"/>
        <w:outlineLvl w:val="1"/>
        <w:rPr>
          <w:rFonts w:ascii="黑体" w:hAnsi="黑体" w:eastAsia="黑体" w:cs="宋体"/>
          <w:kern w:val="0"/>
          <w:sz w:val="32"/>
          <w:szCs w:val="32"/>
        </w:rPr>
      </w:pPr>
    </w:p>
    <w:p>
      <w:pPr>
        <w:widowControl/>
        <w:spacing w:before="100" w:beforeAutospacing="1" w:after="100" w:afterAutospacing="1"/>
        <w:outlineLvl w:val="1"/>
        <w:rPr>
          <w:rFonts w:ascii="宋体" w:hAnsi="宋体" w:cs="宋体"/>
          <w:b/>
          <w:bCs/>
          <w:kern w:val="0"/>
          <w:sz w:val="44"/>
          <w:szCs w:val="44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</w:pPr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昌吉州吉木萨尔县退役军人事务局</w:t>
      </w:r>
    </w:p>
    <w:p>
      <w:pPr>
        <w:widowControl/>
        <w:spacing w:before="100" w:beforeAutospacing="1" w:after="100" w:afterAutospacing="1"/>
        <w:jc w:val="center"/>
        <w:outlineLvl w:val="1"/>
        <w:rPr>
          <w:rFonts w:ascii="方正小标宋_GBK" w:hAnsi="宋体" w:eastAsia="方正小标宋_GBK"/>
          <w:kern w:val="0"/>
          <w:sz w:val="44"/>
          <w:szCs w:val="44"/>
        </w:rPr>
      </w:pPr>
      <w:r>
        <w:rPr>
          <w:rFonts w:hint="eastAsia" w:ascii="方正小标宋_GBK" w:hAnsi="宋体" w:eastAsia="方正小标宋_GBK"/>
          <w:kern w:val="0"/>
          <w:sz w:val="44"/>
          <w:szCs w:val="44"/>
        </w:rPr>
        <w:t>2020年部门预算公开</w:t>
      </w:r>
    </w:p>
    <w:p>
      <w:pPr>
        <w:widowControl/>
        <w:spacing w:before="100" w:beforeAutospacing="1" w:after="100" w:afterAutospacing="1"/>
        <w:jc w:val="center"/>
        <w:outlineLvl w:val="1"/>
        <w:rPr>
          <w:rFonts w:ascii="宋体" w:hAnsi="宋体"/>
          <w:b/>
          <w:kern w:val="0"/>
          <w:sz w:val="44"/>
          <w:szCs w:val="44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ascii="宋体" w:hAnsi="宋体"/>
          <w:b/>
          <w:kern w:val="0"/>
          <w:sz w:val="44"/>
          <w:szCs w:val="44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ascii="宋体" w:hAnsi="宋体"/>
          <w:b/>
          <w:kern w:val="0"/>
          <w:sz w:val="44"/>
          <w:szCs w:val="44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ascii="宋体" w:hAnsi="宋体"/>
          <w:b/>
          <w:kern w:val="0"/>
          <w:sz w:val="44"/>
          <w:szCs w:val="44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ascii="宋体" w:hAnsi="宋体"/>
          <w:b/>
          <w:kern w:val="0"/>
          <w:sz w:val="44"/>
          <w:szCs w:val="44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ascii="宋体" w:hAnsi="宋体"/>
          <w:b/>
          <w:kern w:val="0"/>
          <w:sz w:val="44"/>
          <w:szCs w:val="44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ascii="宋体" w:hAnsi="宋体"/>
          <w:b/>
          <w:kern w:val="0"/>
          <w:sz w:val="44"/>
          <w:szCs w:val="44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ascii="宋体" w:hAnsi="宋体"/>
          <w:b/>
          <w:kern w:val="0"/>
          <w:sz w:val="44"/>
          <w:szCs w:val="44"/>
        </w:rPr>
      </w:pPr>
    </w:p>
    <w:p>
      <w:pPr>
        <w:widowControl/>
        <w:spacing w:before="100" w:beforeAutospacing="1" w:after="100" w:afterAutospacing="1"/>
        <w:jc w:val="both"/>
        <w:outlineLvl w:val="1"/>
        <w:rPr>
          <w:rFonts w:ascii="宋体" w:hAnsi="宋体"/>
          <w:b/>
          <w:kern w:val="0"/>
          <w:sz w:val="44"/>
          <w:szCs w:val="44"/>
        </w:rPr>
      </w:pPr>
    </w:p>
    <w:p>
      <w:pPr>
        <w:widowControl/>
        <w:spacing w:line="500" w:lineRule="exact"/>
        <w:jc w:val="center"/>
        <w:outlineLvl w:val="1"/>
        <w:rPr>
          <w:rFonts w:ascii="黑体" w:hAnsi="黑体" w:eastAsia="黑体"/>
          <w:kern w:val="0"/>
          <w:sz w:val="36"/>
          <w:szCs w:val="32"/>
        </w:rPr>
      </w:pPr>
      <w:r>
        <w:rPr>
          <w:rFonts w:hint="eastAsia" w:ascii="黑体" w:hAnsi="黑体" w:eastAsia="黑体"/>
          <w:kern w:val="0"/>
          <w:sz w:val="36"/>
          <w:szCs w:val="32"/>
        </w:rPr>
        <w:t>目 录</w:t>
      </w:r>
    </w:p>
    <w:p>
      <w:pPr>
        <w:widowControl/>
        <w:spacing w:line="440" w:lineRule="exact"/>
        <w:ind w:firstLine="643" w:firstLineChars="200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spacing w:line="440" w:lineRule="exact"/>
        <w:ind w:firstLine="643" w:firstLineChars="200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 xml:space="preserve">第一部分  </w:t>
      </w:r>
      <w:r>
        <w:rPr>
          <w:rFonts w:hint="eastAsia" w:ascii="仿宋_GB2312" w:hAnsi="宋体" w:eastAsia="仿宋_GB2312"/>
          <w:b/>
          <w:kern w:val="0"/>
          <w:sz w:val="32"/>
          <w:szCs w:val="32"/>
          <w:lang w:eastAsia="zh-CN"/>
        </w:rPr>
        <w:t>吉木萨尔县</w:t>
      </w:r>
      <w:r>
        <w:rPr>
          <w:rFonts w:hint="eastAsia" w:ascii="仿宋_GB2312" w:hAnsi="宋体" w:eastAsia="仿宋_GB2312"/>
          <w:b/>
          <w:kern w:val="0"/>
          <w:sz w:val="32"/>
          <w:szCs w:val="32"/>
          <w:lang w:val="en-US" w:eastAsia="zh-CN"/>
        </w:rPr>
        <w:t>退役军人事务局</w:t>
      </w:r>
      <w:r>
        <w:rPr>
          <w:rFonts w:hint="eastAsia" w:ascii="仿宋_GB2312" w:hAnsi="宋体" w:eastAsia="仿宋_GB2312"/>
          <w:b/>
          <w:kern w:val="0"/>
          <w:sz w:val="32"/>
          <w:szCs w:val="32"/>
        </w:rPr>
        <w:t>单位概况</w:t>
      </w:r>
    </w:p>
    <w:p>
      <w:pPr>
        <w:widowControl/>
        <w:spacing w:line="440" w:lineRule="exact"/>
        <w:ind w:firstLine="640" w:firstLineChars="200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一、主要职能</w:t>
      </w:r>
    </w:p>
    <w:p>
      <w:pPr>
        <w:widowControl/>
        <w:spacing w:line="440" w:lineRule="exact"/>
        <w:ind w:firstLine="640" w:firstLineChars="200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二、机构设置及人员情况</w:t>
      </w:r>
    </w:p>
    <w:p>
      <w:pPr>
        <w:widowControl/>
        <w:spacing w:line="440" w:lineRule="exact"/>
        <w:ind w:firstLine="643" w:firstLineChars="200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第二部分  2020年部门预算公开表</w:t>
      </w:r>
    </w:p>
    <w:p>
      <w:pPr>
        <w:widowControl/>
        <w:spacing w:line="440" w:lineRule="exact"/>
        <w:ind w:firstLine="640" w:firstLineChars="200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一、部门收支总体情况表</w:t>
      </w:r>
    </w:p>
    <w:p>
      <w:pPr>
        <w:widowControl/>
        <w:spacing w:line="440" w:lineRule="exact"/>
        <w:ind w:firstLine="640" w:firstLineChars="200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二、部门收入总体情况表</w:t>
      </w:r>
    </w:p>
    <w:p>
      <w:pPr>
        <w:widowControl/>
        <w:spacing w:line="440" w:lineRule="exact"/>
        <w:ind w:firstLine="640" w:firstLineChars="200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三、部门支出总体情况表</w:t>
      </w:r>
    </w:p>
    <w:p>
      <w:pPr>
        <w:widowControl/>
        <w:spacing w:line="440" w:lineRule="exact"/>
        <w:ind w:firstLine="640" w:firstLineChars="200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四、财政拨款收支总体情况表</w:t>
      </w:r>
    </w:p>
    <w:p>
      <w:pPr>
        <w:widowControl/>
        <w:spacing w:line="440" w:lineRule="exact"/>
        <w:ind w:firstLine="640" w:firstLineChars="200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五、一般公共预算支出情况表</w:t>
      </w:r>
    </w:p>
    <w:p>
      <w:pPr>
        <w:widowControl/>
        <w:spacing w:line="440" w:lineRule="exact"/>
        <w:ind w:firstLine="640" w:firstLineChars="200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六、一般公共预算基本支出情况表</w:t>
      </w:r>
    </w:p>
    <w:p>
      <w:pPr>
        <w:widowControl/>
        <w:spacing w:line="440" w:lineRule="exact"/>
        <w:ind w:firstLine="640" w:firstLineChars="200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七、</w:t>
      </w:r>
      <w:r>
        <w:rPr>
          <w:rFonts w:hint="eastAsia" w:ascii="仿宋_GB2312" w:hAnsi="宋体" w:eastAsia="仿宋_GB2312"/>
          <w:bCs/>
          <w:kern w:val="0"/>
          <w:sz w:val="32"/>
          <w:szCs w:val="32"/>
        </w:rPr>
        <w:t>项目支出情况表</w:t>
      </w:r>
    </w:p>
    <w:p>
      <w:pPr>
        <w:widowControl/>
        <w:spacing w:line="440" w:lineRule="exact"/>
        <w:ind w:firstLine="640" w:firstLineChars="200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八、一般公共预算“三公”经费支出情况表</w:t>
      </w:r>
    </w:p>
    <w:p>
      <w:pPr>
        <w:widowControl/>
        <w:spacing w:line="440" w:lineRule="exact"/>
        <w:ind w:firstLine="640" w:firstLineChars="200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九、政府性基金预算支出情况表</w:t>
      </w:r>
    </w:p>
    <w:p>
      <w:pPr>
        <w:widowControl/>
        <w:spacing w:line="440" w:lineRule="exact"/>
        <w:ind w:firstLine="643" w:firstLineChars="200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第三部分  2020年部门预算情况说明</w:t>
      </w:r>
    </w:p>
    <w:p>
      <w:pPr>
        <w:widowControl/>
        <w:spacing w:line="440" w:lineRule="exact"/>
        <w:ind w:firstLine="640" w:firstLineChars="200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一、关于</w:t>
      </w:r>
      <w:r>
        <w:rPr>
          <w:rFonts w:hint="eastAsia" w:ascii="仿宋_GB2312" w:hAnsi="宋体" w:eastAsia="仿宋_GB2312"/>
          <w:kern w:val="0"/>
          <w:sz w:val="32"/>
          <w:szCs w:val="32"/>
          <w:lang w:eastAsia="zh-CN"/>
        </w:rPr>
        <w:t>吉木萨尔县退役军人事务局</w:t>
      </w:r>
      <w:r>
        <w:rPr>
          <w:rFonts w:hint="eastAsia" w:ascii="仿宋_GB2312" w:hAnsi="宋体" w:eastAsia="仿宋_GB2312"/>
          <w:kern w:val="0"/>
          <w:sz w:val="32"/>
          <w:szCs w:val="32"/>
        </w:rPr>
        <w:t>2020年收支预算情况的总体说明</w:t>
      </w:r>
    </w:p>
    <w:p>
      <w:pPr>
        <w:widowControl/>
        <w:spacing w:line="440" w:lineRule="exact"/>
        <w:ind w:firstLine="640" w:firstLineChars="200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二、关于</w:t>
      </w:r>
      <w:r>
        <w:rPr>
          <w:rFonts w:hint="eastAsia" w:ascii="仿宋_GB2312" w:hAnsi="宋体" w:eastAsia="仿宋_GB2312"/>
          <w:kern w:val="0"/>
          <w:sz w:val="32"/>
          <w:szCs w:val="32"/>
          <w:lang w:eastAsia="zh-CN"/>
        </w:rPr>
        <w:t>吉木萨尔县退役军人事务局</w:t>
      </w:r>
      <w:r>
        <w:rPr>
          <w:rFonts w:hint="eastAsia" w:ascii="仿宋_GB2312" w:hAnsi="宋体" w:eastAsia="仿宋_GB2312"/>
          <w:kern w:val="0"/>
          <w:sz w:val="32"/>
          <w:szCs w:val="32"/>
        </w:rPr>
        <w:t>2020年收入预算情况说明</w:t>
      </w:r>
    </w:p>
    <w:p>
      <w:pPr>
        <w:widowControl/>
        <w:spacing w:line="440" w:lineRule="exact"/>
        <w:ind w:firstLine="640" w:firstLineChars="200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三、关于</w:t>
      </w:r>
      <w:r>
        <w:rPr>
          <w:rFonts w:hint="eastAsia" w:ascii="仿宋_GB2312" w:hAnsi="宋体" w:eastAsia="仿宋_GB2312"/>
          <w:kern w:val="0"/>
          <w:sz w:val="32"/>
          <w:szCs w:val="32"/>
          <w:lang w:eastAsia="zh-CN"/>
        </w:rPr>
        <w:t>吉木萨尔县退役军人事务局</w:t>
      </w:r>
      <w:r>
        <w:rPr>
          <w:rFonts w:hint="eastAsia" w:ascii="仿宋_GB2312" w:hAnsi="宋体" w:eastAsia="仿宋_GB2312"/>
          <w:kern w:val="0"/>
          <w:sz w:val="32"/>
          <w:szCs w:val="32"/>
        </w:rPr>
        <w:t>2020年支出预算情况说明</w:t>
      </w:r>
    </w:p>
    <w:p>
      <w:pPr>
        <w:widowControl/>
        <w:spacing w:line="440" w:lineRule="exact"/>
        <w:ind w:firstLine="640" w:firstLineChars="200"/>
        <w:outlineLvl w:val="1"/>
        <w:rPr>
          <w:rFonts w:ascii="仿宋_GB2312" w:hAnsi="宋体" w:eastAsia="仿宋_GB2312"/>
          <w:bCs/>
          <w:kern w:val="0"/>
          <w:sz w:val="32"/>
          <w:szCs w:val="32"/>
        </w:rPr>
      </w:pPr>
      <w:r>
        <w:rPr>
          <w:rFonts w:hint="eastAsia" w:ascii="仿宋_GB2312" w:hAnsi="宋体" w:eastAsia="仿宋_GB2312"/>
          <w:bCs/>
          <w:kern w:val="0"/>
          <w:sz w:val="32"/>
          <w:szCs w:val="32"/>
        </w:rPr>
        <w:t>四、关于</w:t>
      </w:r>
      <w:r>
        <w:rPr>
          <w:rFonts w:hint="eastAsia" w:ascii="仿宋_GB2312" w:hAnsi="宋体" w:eastAsia="仿宋_GB2312"/>
          <w:bCs/>
          <w:kern w:val="0"/>
          <w:sz w:val="32"/>
          <w:szCs w:val="32"/>
          <w:lang w:eastAsia="zh-CN"/>
        </w:rPr>
        <w:t>吉木萨尔县退役军人事务局</w:t>
      </w:r>
      <w:r>
        <w:rPr>
          <w:rFonts w:hint="eastAsia" w:ascii="仿宋_GB2312" w:hAnsi="宋体" w:eastAsia="仿宋_GB2312"/>
          <w:kern w:val="0"/>
          <w:sz w:val="32"/>
          <w:szCs w:val="32"/>
        </w:rPr>
        <w:t>2020</w:t>
      </w:r>
      <w:r>
        <w:rPr>
          <w:rFonts w:hint="eastAsia" w:ascii="仿宋_GB2312" w:hAnsi="宋体" w:eastAsia="仿宋_GB2312"/>
          <w:bCs/>
          <w:kern w:val="0"/>
          <w:sz w:val="32"/>
          <w:szCs w:val="32"/>
        </w:rPr>
        <w:t>年财政拨款收支预算情况的总体说明</w:t>
      </w:r>
    </w:p>
    <w:p>
      <w:pPr>
        <w:widowControl/>
        <w:spacing w:line="440" w:lineRule="exact"/>
        <w:ind w:firstLine="640" w:firstLineChars="200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五、关于</w:t>
      </w:r>
      <w:r>
        <w:rPr>
          <w:rFonts w:hint="eastAsia" w:ascii="仿宋_GB2312" w:hAnsi="宋体" w:eastAsia="仿宋_GB2312"/>
          <w:kern w:val="0"/>
          <w:sz w:val="32"/>
          <w:szCs w:val="32"/>
          <w:lang w:eastAsia="zh-CN"/>
        </w:rPr>
        <w:t>吉木萨尔县退役军人事务局</w:t>
      </w:r>
      <w:r>
        <w:rPr>
          <w:rFonts w:hint="eastAsia" w:ascii="仿宋_GB2312" w:hAnsi="宋体" w:eastAsia="仿宋_GB2312"/>
          <w:kern w:val="0"/>
          <w:sz w:val="32"/>
          <w:szCs w:val="32"/>
        </w:rPr>
        <w:t>2020年一般公共预算当年拨款情况说明</w:t>
      </w:r>
    </w:p>
    <w:p>
      <w:pPr>
        <w:widowControl/>
        <w:spacing w:line="440" w:lineRule="exact"/>
        <w:ind w:firstLine="640" w:firstLineChars="200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六、关于</w:t>
      </w:r>
      <w:r>
        <w:rPr>
          <w:rFonts w:hint="eastAsia" w:ascii="仿宋_GB2312" w:hAnsi="宋体" w:eastAsia="仿宋_GB2312"/>
          <w:kern w:val="0"/>
          <w:sz w:val="32"/>
          <w:szCs w:val="32"/>
          <w:lang w:eastAsia="zh-CN"/>
        </w:rPr>
        <w:t>吉木萨尔县退役军人事务局</w:t>
      </w:r>
      <w:r>
        <w:rPr>
          <w:rFonts w:hint="eastAsia" w:ascii="仿宋_GB2312" w:hAnsi="宋体" w:eastAsia="仿宋_GB2312"/>
          <w:kern w:val="0"/>
          <w:sz w:val="32"/>
          <w:szCs w:val="32"/>
        </w:rPr>
        <w:t>2020年一般公共预算基本支出情况说明</w:t>
      </w:r>
    </w:p>
    <w:p>
      <w:pPr>
        <w:widowControl/>
        <w:spacing w:line="440" w:lineRule="exact"/>
        <w:ind w:firstLine="640" w:firstLineChars="200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七、关于</w:t>
      </w:r>
      <w:r>
        <w:rPr>
          <w:rFonts w:hint="eastAsia" w:ascii="仿宋_GB2312" w:hAnsi="宋体" w:eastAsia="仿宋_GB2312"/>
          <w:kern w:val="0"/>
          <w:sz w:val="32"/>
          <w:szCs w:val="32"/>
          <w:lang w:eastAsia="zh-CN"/>
        </w:rPr>
        <w:t>吉木萨尔县退役军人事务局</w:t>
      </w:r>
      <w:r>
        <w:rPr>
          <w:rFonts w:hint="eastAsia" w:ascii="仿宋_GB2312" w:hAnsi="宋体" w:eastAsia="仿宋_GB2312"/>
          <w:kern w:val="0"/>
          <w:sz w:val="32"/>
          <w:szCs w:val="32"/>
        </w:rPr>
        <w:t>2020年项目支出情况说明</w:t>
      </w:r>
    </w:p>
    <w:p>
      <w:pPr>
        <w:widowControl/>
        <w:spacing w:line="440" w:lineRule="exact"/>
        <w:ind w:firstLine="640" w:firstLineChars="200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八、关于</w:t>
      </w:r>
      <w:r>
        <w:rPr>
          <w:rFonts w:hint="eastAsia" w:ascii="仿宋_GB2312" w:hAnsi="宋体" w:eastAsia="仿宋_GB2312"/>
          <w:kern w:val="0"/>
          <w:sz w:val="32"/>
          <w:szCs w:val="32"/>
          <w:lang w:eastAsia="zh-CN"/>
        </w:rPr>
        <w:t>吉木萨尔县退役军人事务局</w:t>
      </w:r>
      <w:r>
        <w:rPr>
          <w:rFonts w:hint="eastAsia" w:ascii="仿宋_GB2312" w:hAnsi="宋体" w:eastAsia="仿宋_GB2312"/>
          <w:kern w:val="0"/>
          <w:sz w:val="32"/>
          <w:szCs w:val="32"/>
        </w:rPr>
        <w:t>2020年一般公共预算“三公”经费预算情况说明</w:t>
      </w:r>
    </w:p>
    <w:p>
      <w:pPr>
        <w:widowControl/>
        <w:spacing w:line="440" w:lineRule="exact"/>
        <w:ind w:firstLine="640" w:firstLineChars="200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九、关于</w:t>
      </w:r>
      <w:r>
        <w:rPr>
          <w:rFonts w:hint="eastAsia" w:ascii="仿宋_GB2312" w:hAnsi="宋体" w:eastAsia="仿宋_GB2312"/>
          <w:kern w:val="0"/>
          <w:sz w:val="32"/>
          <w:szCs w:val="32"/>
          <w:lang w:eastAsia="zh-CN"/>
        </w:rPr>
        <w:t>吉木萨尔县退役军人事务局</w:t>
      </w:r>
      <w:r>
        <w:rPr>
          <w:rFonts w:hint="eastAsia" w:ascii="仿宋_GB2312" w:hAnsi="宋体" w:eastAsia="仿宋_GB2312"/>
          <w:kern w:val="0"/>
          <w:sz w:val="32"/>
          <w:szCs w:val="32"/>
        </w:rPr>
        <w:t>2020年政府性基金预算拨款情况说明</w:t>
      </w:r>
    </w:p>
    <w:p>
      <w:pPr>
        <w:widowControl/>
        <w:spacing w:line="440" w:lineRule="exact"/>
        <w:ind w:firstLine="640" w:firstLineChars="200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十、其他重要事项的情况说明</w:t>
      </w:r>
    </w:p>
    <w:p>
      <w:pPr>
        <w:widowControl/>
        <w:spacing w:line="440" w:lineRule="exact"/>
        <w:ind w:firstLine="643" w:firstLineChars="200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第四部分  名词解释</w:t>
      </w:r>
    </w:p>
    <w:p>
      <w:pPr>
        <w:widowControl/>
        <w:jc w:val="center"/>
        <w:outlineLvl w:val="1"/>
        <w:rPr>
          <w:rFonts w:ascii="黑体" w:hAnsi="黑体" w:eastAsia="黑体"/>
          <w:kern w:val="0"/>
          <w:sz w:val="32"/>
          <w:szCs w:val="32"/>
        </w:rPr>
      </w:pPr>
    </w:p>
    <w:p>
      <w:pPr>
        <w:widowControl/>
        <w:jc w:val="center"/>
        <w:outlineLvl w:val="1"/>
        <w:rPr>
          <w:rFonts w:ascii="黑体" w:hAnsi="黑体" w:eastAsia="黑体"/>
          <w:kern w:val="0"/>
          <w:sz w:val="32"/>
          <w:szCs w:val="32"/>
        </w:rPr>
      </w:pPr>
    </w:p>
    <w:p>
      <w:pPr>
        <w:widowControl/>
        <w:jc w:val="center"/>
        <w:outlineLvl w:val="1"/>
        <w:rPr>
          <w:rFonts w:ascii="黑体" w:hAnsi="黑体" w:eastAsia="黑体"/>
          <w:kern w:val="0"/>
          <w:sz w:val="32"/>
          <w:szCs w:val="32"/>
        </w:rPr>
      </w:pPr>
    </w:p>
    <w:p>
      <w:pPr>
        <w:widowControl/>
        <w:jc w:val="center"/>
        <w:outlineLvl w:val="1"/>
        <w:rPr>
          <w:rFonts w:ascii="黑体" w:hAnsi="黑体" w:eastAsia="黑体"/>
          <w:kern w:val="0"/>
          <w:sz w:val="32"/>
          <w:szCs w:val="32"/>
        </w:rPr>
      </w:pPr>
    </w:p>
    <w:p>
      <w:pPr>
        <w:widowControl/>
        <w:jc w:val="center"/>
        <w:outlineLvl w:val="1"/>
        <w:rPr>
          <w:rFonts w:ascii="黑体" w:hAnsi="黑体" w:eastAsia="黑体"/>
          <w:kern w:val="0"/>
          <w:sz w:val="32"/>
          <w:szCs w:val="32"/>
        </w:rPr>
      </w:pPr>
    </w:p>
    <w:p>
      <w:pPr>
        <w:widowControl/>
        <w:jc w:val="center"/>
        <w:outlineLvl w:val="1"/>
        <w:rPr>
          <w:rFonts w:ascii="黑体" w:hAnsi="黑体" w:eastAsia="黑体"/>
          <w:kern w:val="0"/>
          <w:sz w:val="32"/>
          <w:szCs w:val="32"/>
        </w:rPr>
      </w:pPr>
    </w:p>
    <w:p>
      <w:pPr>
        <w:widowControl/>
        <w:jc w:val="center"/>
        <w:outlineLvl w:val="1"/>
        <w:rPr>
          <w:rFonts w:ascii="黑体" w:hAnsi="黑体" w:eastAsia="黑体"/>
          <w:kern w:val="0"/>
          <w:sz w:val="32"/>
          <w:szCs w:val="32"/>
        </w:rPr>
      </w:pPr>
    </w:p>
    <w:p>
      <w:pPr>
        <w:widowControl/>
        <w:jc w:val="center"/>
        <w:outlineLvl w:val="1"/>
        <w:rPr>
          <w:rFonts w:ascii="黑体" w:hAnsi="黑体" w:eastAsia="黑体"/>
          <w:kern w:val="0"/>
          <w:sz w:val="32"/>
          <w:szCs w:val="32"/>
        </w:rPr>
      </w:pPr>
    </w:p>
    <w:p>
      <w:pPr>
        <w:widowControl/>
        <w:jc w:val="center"/>
        <w:outlineLvl w:val="1"/>
        <w:rPr>
          <w:rFonts w:ascii="黑体" w:hAnsi="黑体" w:eastAsia="黑体"/>
          <w:kern w:val="0"/>
          <w:sz w:val="32"/>
          <w:szCs w:val="32"/>
        </w:rPr>
      </w:pPr>
    </w:p>
    <w:p>
      <w:pPr>
        <w:widowControl/>
        <w:jc w:val="center"/>
        <w:outlineLvl w:val="1"/>
        <w:rPr>
          <w:rFonts w:ascii="黑体" w:hAnsi="黑体" w:eastAsia="黑体"/>
          <w:kern w:val="0"/>
          <w:sz w:val="32"/>
          <w:szCs w:val="32"/>
        </w:rPr>
      </w:pPr>
    </w:p>
    <w:p>
      <w:pPr>
        <w:widowControl/>
        <w:jc w:val="center"/>
        <w:outlineLvl w:val="1"/>
        <w:rPr>
          <w:rFonts w:ascii="黑体" w:hAnsi="黑体" w:eastAsia="黑体"/>
          <w:kern w:val="0"/>
          <w:sz w:val="32"/>
          <w:szCs w:val="32"/>
        </w:rPr>
      </w:pPr>
    </w:p>
    <w:p>
      <w:pPr>
        <w:widowControl/>
        <w:jc w:val="center"/>
        <w:outlineLvl w:val="1"/>
        <w:rPr>
          <w:rFonts w:ascii="黑体" w:hAnsi="黑体" w:eastAsia="黑体"/>
          <w:kern w:val="0"/>
          <w:sz w:val="32"/>
          <w:szCs w:val="32"/>
        </w:rPr>
      </w:pPr>
    </w:p>
    <w:p>
      <w:pPr>
        <w:widowControl/>
        <w:jc w:val="center"/>
        <w:outlineLvl w:val="1"/>
        <w:rPr>
          <w:rFonts w:ascii="黑体" w:hAnsi="黑体" w:eastAsia="黑体"/>
          <w:kern w:val="0"/>
          <w:sz w:val="32"/>
          <w:szCs w:val="32"/>
        </w:rPr>
      </w:pPr>
    </w:p>
    <w:p>
      <w:pPr>
        <w:widowControl/>
        <w:jc w:val="center"/>
        <w:outlineLvl w:val="1"/>
        <w:rPr>
          <w:rFonts w:ascii="黑体" w:hAnsi="黑体" w:eastAsia="黑体"/>
          <w:kern w:val="0"/>
          <w:sz w:val="32"/>
          <w:szCs w:val="32"/>
        </w:rPr>
      </w:pPr>
    </w:p>
    <w:p>
      <w:pPr>
        <w:widowControl/>
        <w:jc w:val="center"/>
        <w:outlineLvl w:val="1"/>
        <w:rPr>
          <w:rFonts w:ascii="黑体" w:hAnsi="黑体" w:eastAsia="黑体"/>
          <w:kern w:val="0"/>
          <w:sz w:val="32"/>
          <w:szCs w:val="32"/>
        </w:rPr>
      </w:pPr>
    </w:p>
    <w:p>
      <w:pPr>
        <w:widowControl/>
        <w:jc w:val="center"/>
        <w:outlineLvl w:val="1"/>
        <w:rPr>
          <w:rFonts w:ascii="黑体" w:hAnsi="黑体" w:eastAsia="黑体"/>
          <w:kern w:val="0"/>
          <w:sz w:val="32"/>
          <w:szCs w:val="32"/>
        </w:rPr>
      </w:pPr>
    </w:p>
    <w:p>
      <w:pPr>
        <w:widowControl/>
        <w:jc w:val="center"/>
        <w:outlineLvl w:val="1"/>
        <w:rPr>
          <w:rFonts w:ascii="黑体" w:hAnsi="黑体" w:eastAsia="黑体"/>
          <w:kern w:val="0"/>
          <w:sz w:val="32"/>
          <w:szCs w:val="32"/>
        </w:rPr>
      </w:pPr>
    </w:p>
    <w:p>
      <w:pPr>
        <w:widowControl/>
        <w:jc w:val="center"/>
        <w:outlineLvl w:val="1"/>
        <w:rPr>
          <w:rFonts w:ascii="黑体" w:hAnsi="黑体" w:eastAsia="黑体"/>
          <w:kern w:val="0"/>
          <w:sz w:val="32"/>
          <w:szCs w:val="32"/>
        </w:rPr>
      </w:pPr>
    </w:p>
    <w:p>
      <w:pPr>
        <w:widowControl/>
        <w:jc w:val="center"/>
        <w:outlineLvl w:val="1"/>
        <w:rPr>
          <w:rFonts w:ascii="黑体" w:hAnsi="黑体" w:eastAsia="黑体"/>
          <w:kern w:val="0"/>
          <w:sz w:val="32"/>
          <w:szCs w:val="32"/>
        </w:rPr>
      </w:pPr>
    </w:p>
    <w:p>
      <w:pPr>
        <w:widowControl/>
        <w:jc w:val="center"/>
        <w:outlineLvl w:val="1"/>
        <w:rPr>
          <w:rFonts w:ascii="黑体" w:hAnsi="黑体" w:eastAsia="黑体"/>
          <w:kern w:val="0"/>
          <w:sz w:val="32"/>
          <w:szCs w:val="32"/>
        </w:rPr>
      </w:pPr>
    </w:p>
    <w:p>
      <w:pPr>
        <w:widowControl/>
        <w:jc w:val="center"/>
        <w:outlineLvl w:val="1"/>
        <w:rPr>
          <w:rFonts w:ascii="黑体" w:hAnsi="黑体" w:eastAsia="黑体"/>
          <w:kern w:val="0"/>
          <w:sz w:val="32"/>
          <w:szCs w:val="32"/>
        </w:rPr>
      </w:pPr>
    </w:p>
    <w:p>
      <w:pPr>
        <w:widowControl/>
        <w:jc w:val="center"/>
        <w:outlineLvl w:val="1"/>
        <w:rPr>
          <w:rFonts w:ascii="黑体" w:hAnsi="黑体" w:eastAsia="黑体"/>
          <w:kern w:val="0"/>
          <w:sz w:val="32"/>
          <w:szCs w:val="32"/>
        </w:rPr>
      </w:pPr>
    </w:p>
    <w:p>
      <w:pPr>
        <w:widowControl/>
        <w:jc w:val="center"/>
        <w:outlineLvl w:val="1"/>
        <w:rPr>
          <w:rFonts w:ascii="黑体" w:hAnsi="黑体" w:eastAsia="黑体"/>
          <w:kern w:val="0"/>
          <w:sz w:val="32"/>
          <w:szCs w:val="32"/>
        </w:rPr>
      </w:pPr>
      <w:r>
        <w:rPr>
          <w:rFonts w:hint="eastAsia" w:ascii="黑体" w:hAnsi="黑体" w:eastAsia="黑体"/>
          <w:kern w:val="0"/>
          <w:sz w:val="32"/>
          <w:szCs w:val="32"/>
        </w:rPr>
        <w:t xml:space="preserve">第一部分   </w:t>
      </w:r>
      <w:r>
        <w:rPr>
          <w:rFonts w:hint="eastAsia" w:ascii="黑体" w:hAnsi="黑体" w:eastAsia="黑体"/>
          <w:kern w:val="0"/>
          <w:sz w:val="32"/>
          <w:szCs w:val="32"/>
          <w:lang w:eastAsia="zh-CN"/>
        </w:rPr>
        <w:t>吉木萨尔县退役军人事务局</w:t>
      </w:r>
      <w:r>
        <w:rPr>
          <w:rFonts w:hint="eastAsia" w:ascii="黑体" w:hAnsi="黑体" w:eastAsia="黑体"/>
          <w:kern w:val="0"/>
          <w:sz w:val="32"/>
          <w:szCs w:val="32"/>
        </w:rPr>
        <w:t>单位概况</w:t>
      </w:r>
    </w:p>
    <w:p>
      <w:pPr>
        <w:widowControl/>
        <w:jc w:val="center"/>
        <w:outlineLvl w:val="1"/>
        <w:rPr>
          <w:rFonts w:ascii="宋体" w:hAnsi="宋体"/>
          <w:b/>
          <w:kern w:val="0"/>
          <w:sz w:val="32"/>
          <w:szCs w:val="32"/>
        </w:rPr>
      </w:pPr>
    </w:p>
    <w:p>
      <w:pPr>
        <w:widowControl/>
        <w:spacing w:line="560" w:lineRule="exact"/>
        <w:jc w:val="left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　  </w:t>
      </w:r>
      <w:r>
        <w:rPr>
          <w:rFonts w:hint="eastAsia" w:ascii="黑体" w:hAnsi="黑体" w:eastAsia="黑体" w:cs="宋体"/>
          <w:bCs/>
          <w:kern w:val="0"/>
          <w:sz w:val="32"/>
          <w:szCs w:val="32"/>
        </w:rPr>
        <w:t>一、主要职能</w:t>
      </w:r>
    </w:p>
    <w:p>
      <w:pPr>
        <w:widowControl/>
        <w:spacing w:line="460" w:lineRule="exact"/>
        <w:ind w:firstLine="640" w:firstLineChars="200"/>
        <w:outlineLvl w:val="1"/>
        <w:rPr>
          <w:rFonts w:hint="eastAsia" w:ascii="仿宋_GB2312" w:eastAsia="仿宋_GB2312"/>
          <w:color w:val="auto"/>
          <w:sz w:val="32"/>
          <w:szCs w:val="32"/>
          <w:shd w:val="clear" w:color="auto" w:fill="auto"/>
        </w:rPr>
      </w:pPr>
      <w:r>
        <w:rPr>
          <w:rFonts w:hint="eastAsia" w:ascii="仿宋_GB2312" w:eastAsia="仿宋_GB2312"/>
          <w:color w:val="auto"/>
          <w:sz w:val="32"/>
          <w:szCs w:val="32"/>
          <w:shd w:val="clear" w:color="auto" w:fill="auto"/>
          <w:lang w:val="en-US" w:eastAsia="zh-CN"/>
        </w:rPr>
        <w:t>1、主要负责协调落实数据信息采集等有关政策</w:t>
      </w:r>
      <w:r>
        <w:rPr>
          <w:rFonts w:hint="eastAsia" w:ascii="仿宋_GB2312" w:eastAsia="仿宋_GB2312"/>
          <w:color w:val="auto"/>
          <w:sz w:val="32"/>
          <w:szCs w:val="32"/>
          <w:shd w:val="clear" w:color="auto" w:fill="auto"/>
        </w:rPr>
        <w:t>。</w:t>
      </w:r>
    </w:p>
    <w:p>
      <w:pPr>
        <w:widowControl/>
        <w:spacing w:line="460" w:lineRule="exact"/>
        <w:ind w:firstLine="640" w:firstLineChars="200"/>
        <w:outlineLvl w:val="1"/>
        <w:rPr>
          <w:rFonts w:hint="eastAsia" w:ascii="仿宋_GB2312" w:eastAsia="仿宋_GB2312"/>
          <w:color w:val="auto"/>
          <w:sz w:val="32"/>
          <w:szCs w:val="32"/>
          <w:shd w:val="clear" w:color="auto" w:fill="auto"/>
        </w:rPr>
      </w:pPr>
      <w:r>
        <w:rPr>
          <w:rFonts w:hint="eastAsia" w:ascii="仿宋_GB2312" w:eastAsia="仿宋_GB2312"/>
          <w:color w:val="auto"/>
          <w:sz w:val="32"/>
          <w:szCs w:val="32"/>
          <w:shd w:val="clear" w:color="auto" w:fill="auto"/>
          <w:lang w:val="en-US" w:eastAsia="zh-CN"/>
        </w:rPr>
        <w:t>2、协助做好辖区内退役军人教育管理服务工作。</w:t>
      </w:r>
    </w:p>
    <w:p>
      <w:pPr>
        <w:widowControl/>
        <w:spacing w:line="460" w:lineRule="exact"/>
        <w:ind w:firstLine="640" w:firstLineChars="200"/>
        <w:outlineLvl w:val="1"/>
        <w:rPr>
          <w:rFonts w:hint="eastAsia" w:ascii="仿宋_GB2312" w:eastAsia="仿宋_GB2312"/>
          <w:color w:val="auto"/>
          <w:sz w:val="32"/>
          <w:szCs w:val="32"/>
          <w:shd w:val="clear" w:color="auto" w:fill="auto"/>
          <w:lang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shd w:val="clear" w:color="auto" w:fill="auto"/>
          <w:lang w:val="en-US" w:eastAsia="zh-CN"/>
        </w:rPr>
        <w:t>3</w:t>
      </w:r>
      <w:r>
        <w:rPr>
          <w:rFonts w:hint="eastAsia" w:ascii="仿宋_GB2312" w:eastAsia="仿宋_GB2312"/>
          <w:color w:val="auto"/>
          <w:sz w:val="32"/>
          <w:szCs w:val="32"/>
          <w:shd w:val="clear" w:color="auto" w:fill="auto"/>
        </w:rPr>
        <w:t>、</w:t>
      </w:r>
      <w:r>
        <w:rPr>
          <w:rFonts w:hint="eastAsia" w:ascii="仿宋_GB2312" w:eastAsia="仿宋_GB2312"/>
          <w:color w:val="auto"/>
          <w:sz w:val="32"/>
          <w:szCs w:val="32"/>
          <w:shd w:val="clear" w:color="auto" w:fill="auto"/>
          <w:lang w:val="en-US" w:eastAsia="zh-CN"/>
        </w:rPr>
        <w:t>协助开展退役军人和其他优抚对象心理疏导、法律服务等工作</w:t>
      </w:r>
      <w:r>
        <w:rPr>
          <w:rFonts w:hint="eastAsia" w:ascii="仿宋_GB2312" w:eastAsia="仿宋_GB2312"/>
          <w:color w:val="auto"/>
          <w:sz w:val="32"/>
          <w:szCs w:val="32"/>
          <w:shd w:val="clear" w:color="auto" w:fill="auto"/>
          <w:lang w:eastAsia="zh-CN"/>
        </w:rPr>
        <w:t>。</w:t>
      </w:r>
    </w:p>
    <w:p>
      <w:pPr>
        <w:widowControl/>
        <w:spacing w:line="460" w:lineRule="exact"/>
        <w:ind w:firstLine="640" w:firstLineChars="200"/>
        <w:outlineLvl w:val="1"/>
        <w:rPr>
          <w:rFonts w:hint="eastAsia" w:ascii="仿宋_GB2312" w:eastAsia="仿宋_GB2312"/>
          <w:color w:val="auto"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shd w:val="clear" w:color="auto" w:fill="auto"/>
          <w:lang w:val="en-US" w:eastAsia="zh-CN"/>
        </w:rPr>
        <w:t>4、搭建政策咨询、沟通联系、学习交流等活动场所。</w:t>
      </w:r>
    </w:p>
    <w:p>
      <w:pPr>
        <w:widowControl/>
        <w:spacing w:line="460" w:lineRule="exact"/>
        <w:ind w:firstLine="640" w:firstLineChars="200"/>
        <w:outlineLvl w:val="1"/>
        <w:rPr>
          <w:rFonts w:hint="eastAsia" w:ascii="仿宋_GB2312" w:eastAsia="仿宋_GB2312"/>
          <w:color w:val="auto"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shd w:val="clear" w:color="auto" w:fill="auto"/>
          <w:lang w:val="en-US" w:eastAsia="zh-CN"/>
        </w:rPr>
        <w:t>5、报告有关政策落实、工作开展以及辖区内退役军人和其他优抚对象家庭生活情况。</w:t>
      </w:r>
    </w:p>
    <w:p>
      <w:pPr>
        <w:widowControl/>
        <w:spacing w:line="460" w:lineRule="exact"/>
        <w:ind w:firstLine="640" w:firstLineChars="200"/>
        <w:outlineLvl w:val="1"/>
        <w:rPr>
          <w:rFonts w:ascii="仿宋_GB2312" w:hAnsi="宋体" w:eastAsia="仿宋_GB2312" w:cs="宋体"/>
          <w:bCs/>
          <w:color w:val="auto"/>
          <w:kern w:val="0"/>
          <w:sz w:val="32"/>
          <w:szCs w:val="32"/>
          <w:shd w:val="clear" w:color="auto" w:fill="auto"/>
        </w:rPr>
      </w:pPr>
      <w:r>
        <w:rPr>
          <w:rFonts w:hint="eastAsia" w:ascii="仿宋_GB2312" w:eastAsia="仿宋_GB2312"/>
          <w:color w:val="auto"/>
          <w:sz w:val="32"/>
          <w:szCs w:val="32"/>
          <w:shd w:val="clear" w:color="auto" w:fill="auto"/>
          <w:lang w:val="en-US" w:eastAsia="zh-CN"/>
        </w:rPr>
        <w:t>6、开展政策宣讲、走访慰问，协调解决问题等工作。</w:t>
      </w:r>
    </w:p>
    <w:p>
      <w:pPr>
        <w:widowControl/>
        <w:spacing w:line="560" w:lineRule="exact"/>
        <w:jc w:val="left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　  </w:t>
      </w:r>
      <w:r>
        <w:rPr>
          <w:rFonts w:hint="eastAsia" w:ascii="黑体" w:hAnsi="黑体" w:eastAsia="黑体" w:cs="宋体"/>
          <w:bCs/>
          <w:kern w:val="0"/>
          <w:sz w:val="32"/>
          <w:szCs w:val="32"/>
        </w:rPr>
        <w:t>二、机构设置及人员情况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40"/>
        <w:jc w:val="left"/>
        <w:textAlignment w:val="auto"/>
        <w:rPr>
          <w:rFonts w:hint="default" w:ascii="仿宋_GB2312" w:hAnsi="宋体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 w:cs="宋体"/>
          <w:bCs/>
          <w:kern w:val="0"/>
          <w:sz w:val="32"/>
          <w:szCs w:val="32"/>
          <w:lang w:eastAsia="zh-CN"/>
        </w:rPr>
        <w:t>吉木萨尔县退役军人事务局</w:t>
      </w:r>
      <w:r>
        <w:rPr>
          <w:rFonts w:hint="eastAsia" w:ascii="仿宋_GB2312" w:hAnsi="黑体" w:eastAsia="仿宋_GB2312" w:cs="宋体"/>
          <w:bCs/>
          <w:kern w:val="0"/>
          <w:sz w:val="32"/>
          <w:szCs w:val="32"/>
        </w:rPr>
        <w:t>无下属预算单位</w:t>
      </w:r>
      <w:r>
        <w:rPr>
          <w:rFonts w:hint="eastAsia" w:ascii="仿宋_GB2312" w:hAnsi="黑体" w:eastAsia="仿宋_GB2312" w:cs="宋体"/>
          <w:bCs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黑体" w:eastAsia="仿宋_GB2312" w:cs="宋体"/>
          <w:bCs/>
          <w:kern w:val="0"/>
          <w:sz w:val="32"/>
          <w:szCs w:val="32"/>
          <w:lang w:val="en-US" w:eastAsia="zh-CN"/>
        </w:rPr>
        <w:t>下设处室1个为：吉木萨尔县退役军人服务中心。</w:t>
      </w:r>
    </w:p>
    <w:p>
      <w:pPr>
        <w:widowControl/>
        <w:spacing w:line="560" w:lineRule="exact"/>
        <w:ind w:firstLine="640"/>
        <w:jc w:val="left"/>
        <w:rPr>
          <w:rFonts w:hint="eastAsia" w:ascii="仿宋_GB2312" w:hAnsi="黑体" w:eastAsia="仿宋_GB2312" w:cs="宋体"/>
          <w:bCs/>
          <w:kern w:val="0"/>
          <w:sz w:val="32"/>
          <w:szCs w:val="32"/>
          <w:lang w:eastAsia="zh-CN"/>
        </w:rPr>
      </w:pPr>
      <w:r>
        <w:rPr>
          <w:rFonts w:hint="eastAsia" w:ascii="仿宋_GB2312" w:hAnsi="黑体" w:eastAsia="仿宋_GB2312" w:cs="宋体"/>
          <w:bCs/>
          <w:kern w:val="0"/>
          <w:sz w:val="32"/>
          <w:szCs w:val="32"/>
          <w:lang w:eastAsia="zh-CN"/>
        </w:rPr>
        <w:t>吉木萨尔县退役军人事务局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编制数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7人，实有人数7人，其中：在职7人，</w:t>
      </w:r>
      <w:r>
        <w:rPr>
          <w:rFonts w:hint="eastAsia" w:ascii="仿宋_GB2312" w:hAnsi="黑体" w:eastAsia="仿宋_GB2312" w:cs="宋体"/>
          <w:bCs/>
          <w:kern w:val="0"/>
          <w:sz w:val="32"/>
          <w:szCs w:val="32"/>
          <w:lang w:val="en-US" w:eastAsia="zh-CN"/>
        </w:rPr>
        <w:t>增加7人，退休0人，增加0人，离休0人，增加0人</w:t>
      </w:r>
      <w:r>
        <w:rPr>
          <w:rFonts w:hint="eastAsia" w:ascii="仿宋_GB2312" w:hAnsi="黑体" w:eastAsia="仿宋_GB2312" w:cs="宋体"/>
          <w:bCs/>
          <w:kern w:val="0"/>
          <w:sz w:val="32"/>
          <w:szCs w:val="32"/>
          <w:lang w:eastAsia="zh-CN"/>
        </w:rPr>
        <w:t>。</w:t>
      </w:r>
    </w:p>
    <w:p>
      <w:pPr>
        <w:widowControl/>
        <w:spacing w:line="560" w:lineRule="exact"/>
        <w:ind w:firstLine="640"/>
        <w:jc w:val="left"/>
        <w:rPr>
          <w:rFonts w:hint="eastAsia" w:ascii="仿宋_GB2312" w:hAnsi="黑体" w:eastAsia="仿宋_GB2312" w:cs="宋体"/>
          <w:bCs/>
          <w:kern w:val="0"/>
          <w:sz w:val="32"/>
          <w:szCs w:val="32"/>
          <w:lang w:eastAsia="zh-CN"/>
        </w:rPr>
      </w:pPr>
    </w:p>
    <w:p>
      <w:pPr>
        <w:widowControl/>
        <w:spacing w:line="560" w:lineRule="exact"/>
        <w:ind w:firstLine="640"/>
        <w:jc w:val="left"/>
        <w:rPr>
          <w:rFonts w:hint="eastAsia" w:ascii="仿宋_GB2312" w:hAnsi="黑体" w:eastAsia="仿宋_GB2312" w:cs="宋体"/>
          <w:bCs/>
          <w:kern w:val="0"/>
          <w:sz w:val="32"/>
          <w:szCs w:val="32"/>
          <w:lang w:eastAsia="zh-CN"/>
        </w:rPr>
      </w:pPr>
    </w:p>
    <w:p>
      <w:pPr>
        <w:widowControl/>
        <w:spacing w:line="560" w:lineRule="exact"/>
        <w:ind w:firstLine="640"/>
        <w:jc w:val="left"/>
        <w:rPr>
          <w:rFonts w:hint="eastAsia" w:ascii="仿宋_GB2312" w:hAnsi="黑体" w:eastAsia="仿宋_GB2312" w:cs="宋体"/>
          <w:bCs/>
          <w:kern w:val="0"/>
          <w:sz w:val="32"/>
          <w:szCs w:val="32"/>
          <w:lang w:eastAsia="zh-CN"/>
        </w:rPr>
      </w:pPr>
    </w:p>
    <w:p>
      <w:pPr>
        <w:widowControl/>
        <w:spacing w:line="560" w:lineRule="exact"/>
        <w:ind w:firstLine="640"/>
        <w:jc w:val="left"/>
        <w:rPr>
          <w:rFonts w:hint="eastAsia" w:ascii="仿宋_GB2312" w:hAnsi="黑体" w:eastAsia="仿宋_GB2312" w:cs="宋体"/>
          <w:bCs/>
          <w:kern w:val="0"/>
          <w:sz w:val="32"/>
          <w:szCs w:val="32"/>
          <w:lang w:eastAsia="zh-CN"/>
        </w:rPr>
      </w:pPr>
    </w:p>
    <w:p>
      <w:pPr>
        <w:widowControl/>
        <w:spacing w:line="560" w:lineRule="exact"/>
        <w:ind w:firstLine="640"/>
        <w:jc w:val="left"/>
        <w:rPr>
          <w:rFonts w:hint="eastAsia" w:ascii="仿宋_GB2312" w:hAnsi="黑体" w:eastAsia="仿宋_GB2312" w:cs="宋体"/>
          <w:bCs/>
          <w:kern w:val="0"/>
          <w:sz w:val="32"/>
          <w:szCs w:val="32"/>
          <w:lang w:eastAsia="zh-CN"/>
        </w:rPr>
      </w:pPr>
    </w:p>
    <w:p>
      <w:pPr>
        <w:widowControl/>
        <w:spacing w:line="560" w:lineRule="exact"/>
        <w:ind w:firstLine="640"/>
        <w:jc w:val="left"/>
        <w:rPr>
          <w:rFonts w:hint="eastAsia" w:ascii="仿宋_GB2312" w:hAnsi="黑体" w:eastAsia="仿宋_GB2312" w:cs="宋体"/>
          <w:bCs/>
          <w:kern w:val="0"/>
          <w:sz w:val="32"/>
          <w:szCs w:val="32"/>
          <w:lang w:eastAsia="zh-CN"/>
        </w:rPr>
      </w:pPr>
    </w:p>
    <w:p>
      <w:pPr>
        <w:widowControl/>
        <w:spacing w:line="560" w:lineRule="exact"/>
        <w:ind w:firstLine="640"/>
        <w:jc w:val="left"/>
        <w:rPr>
          <w:rFonts w:hint="eastAsia" w:ascii="仿宋_GB2312" w:hAnsi="黑体" w:eastAsia="仿宋_GB2312" w:cs="宋体"/>
          <w:bCs/>
          <w:kern w:val="0"/>
          <w:sz w:val="32"/>
          <w:szCs w:val="32"/>
          <w:lang w:eastAsia="zh-CN"/>
        </w:rPr>
      </w:pPr>
    </w:p>
    <w:p>
      <w:pPr>
        <w:widowControl/>
        <w:spacing w:before="120" w:beforeLines="50"/>
        <w:jc w:val="both"/>
        <w:outlineLvl w:val="1"/>
        <w:rPr>
          <w:rFonts w:hint="eastAsia" w:ascii="黑体" w:hAnsi="黑体" w:eastAsia="黑体"/>
          <w:kern w:val="0"/>
          <w:sz w:val="32"/>
          <w:szCs w:val="32"/>
        </w:rPr>
      </w:pPr>
    </w:p>
    <w:p>
      <w:pPr>
        <w:widowControl/>
        <w:spacing w:before="120" w:beforeLines="50"/>
        <w:jc w:val="center"/>
        <w:outlineLvl w:val="1"/>
        <w:rPr>
          <w:rFonts w:ascii="黑体" w:hAnsi="黑体" w:eastAsia="黑体"/>
          <w:kern w:val="0"/>
          <w:sz w:val="32"/>
          <w:szCs w:val="32"/>
        </w:rPr>
      </w:pPr>
      <w:r>
        <w:rPr>
          <w:rFonts w:hint="eastAsia" w:ascii="黑体" w:hAnsi="黑体" w:eastAsia="黑体"/>
          <w:kern w:val="0"/>
          <w:sz w:val="32"/>
          <w:szCs w:val="32"/>
        </w:rPr>
        <w:t>第二部分  2020年部门预算公开表</w:t>
      </w:r>
    </w:p>
    <w:p>
      <w:pPr>
        <w:widowControl/>
        <w:spacing w:before="120" w:beforeLines="50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表一：</w:t>
      </w:r>
    </w:p>
    <w:p>
      <w:pPr>
        <w:widowControl/>
        <w:jc w:val="center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部门收支总体情况表</w:t>
      </w:r>
    </w:p>
    <w:p>
      <w:pPr>
        <w:widowControl/>
        <w:outlineLvl w:val="1"/>
        <w:rPr>
          <w:rFonts w:ascii="仿宋_GB2312" w:hAnsi="宋体" w:eastAsia="仿宋_GB2312"/>
          <w:kern w:val="0"/>
          <w:sz w:val="24"/>
        </w:rPr>
      </w:pPr>
      <w:r>
        <w:rPr>
          <w:rFonts w:hint="eastAsia" w:ascii="仿宋_GB2312" w:hAnsi="宋体" w:eastAsia="仿宋_GB2312"/>
          <w:kern w:val="0"/>
          <w:sz w:val="24"/>
          <w:szCs w:val="24"/>
        </w:rPr>
        <w:t>编制部门：</w:t>
      </w:r>
      <w:r>
        <w:rPr>
          <w:rFonts w:hint="eastAsia" w:ascii="仿宋_GB2312" w:hAnsi="宋体" w:eastAsia="仿宋_GB2312"/>
          <w:kern w:val="0"/>
          <w:sz w:val="24"/>
          <w:szCs w:val="24"/>
          <w:lang w:val="en-US" w:eastAsia="zh-CN"/>
        </w:rPr>
        <w:t>吉木萨尔县退役军人事务局</w:t>
      </w:r>
      <w:r>
        <w:rPr>
          <w:rFonts w:hint="eastAsia" w:ascii="仿宋_GB2312" w:hAnsi="宋体" w:eastAsia="仿宋_GB2312"/>
          <w:kern w:val="0"/>
          <w:sz w:val="24"/>
          <w:szCs w:val="24"/>
        </w:rPr>
        <w:t xml:space="preserve">                        单位：万元</w:t>
      </w:r>
    </w:p>
    <w:tbl>
      <w:tblPr>
        <w:tblStyle w:val="5"/>
        <w:tblW w:w="8662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0"/>
        <w:gridCol w:w="1988"/>
        <w:gridCol w:w="2693"/>
        <w:gridCol w:w="170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0"/>
                <w:szCs w:val="20"/>
              </w:rPr>
              <w:t>收     入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0"/>
                <w:szCs w:val="20"/>
              </w:rPr>
              <w:t>支     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0"/>
                <w:szCs w:val="20"/>
              </w:rPr>
              <w:t>项     目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0"/>
                <w:szCs w:val="20"/>
              </w:rPr>
              <w:t>预算数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0"/>
                <w:szCs w:val="20"/>
              </w:rPr>
              <w:t>功能分类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0"/>
                <w:szCs w:val="20"/>
              </w:rPr>
              <w:t>预算数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财政拨款（补助）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/>
              </w:rPr>
              <w:t>687.59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201 一般公共服务支出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 xml:space="preserve">    一般公共预算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/>
              </w:rPr>
              <w:t>687.59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202 外交支出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 xml:space="preserve">    政府性基金预算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203 国防支出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教育收费（财政专户）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204</w:t>
            </w: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/>
              </w:rPr>
              <w:t xml:space="preserve"> 204支出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事业收入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205 教育支出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事业单位经营收入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206 科学技术支出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其他收入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207 文化旅游体育与传媒支出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用事业基金弥补收支差额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208 社会保障和就业支出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678.75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210卫生健康支出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8.84</w:t>
            </w:r>
          </w:p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211 节能环保支出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212 城乡社区支出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213 农林水支出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214 交通运输支出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215 资源勘探工业信息等支出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216 商业服务业等支出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217 金融支出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219 援助其他地区支出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220 自然资源海洋气象等支出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221 住房保障支出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222 粮油物资储备支出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224灾害防治及应急管理支出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227 预备费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229 其他支出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230转移性支出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231 债务还本支出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232 债务付息支出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233 债务发行费用支出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小           计</w:t>
            </w:r>
          </w:p>
        </w:tc>
        <w:tc>
          <w:tcPr>
            <w:tcW w:w="19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/>
              </w:rPr>
              <w:t>687.59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/>
              </w:rPr>
              <w:t>687.59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单位上年结余（不包括国库集中支付额度结余）</w:t>
            </w:r>
          </w:p>
        </w:tc>
        <w:tc>
          <w:tcPr>
            <w:tcW w:w="19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收  入  总  计</w:t>
            </w:r>
          </w:p>
        </w:tc>
        <w:tc>
          <w:tcPr>
            <w:tcW w:w="19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/>
              </w:rPr>
              <w:t>687.59</w:t>
            </w: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支  出  合  计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/>
              </w:rPr>
              <w:t>687.59</w:t>
            </w: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　</w:t>
            </w:r>
          </w:p>
        </w:tc>
      </w:tr>
    </w:tbl>
    <w:p>
      <w:pPr>
        <w:widowControl/>
        <w:outlineLvl w:val="1"/>
        <w:rPr>
          <w:rFonts w:ascii="仿宋_GB2312" w:hAnsi="宋体" w:eastAsia="仿宋_GB2312"/>
          <w:b/>
          <w:kern w:val="0"/>
          <w:sz w:val="28"/>
          <w:szCs w:val="32"/>
          <w:highlight w:val="none"/>
        </w:rPr>
      </w:pPr>
    </w:p>
    <w:p>
      <w:pPr>
        <w:widowControl/>
        <w:jc w:val="left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表二：</w:t>
      </w:r>
    </w:p>
    <w:p>
      <w:pPr>
        <w:widowControl/>
        <w:jc w:val="center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部门收入总体情况表</w:t>
      </w:r>
    </w:p>
    <w:p>
      <w:pPr>
        <w:widowControl/>
        <w:jc w:val="left"/>
        <w:outlineLvl w:val="1"/>
        <w:rPr>
          <w:rFonts w:ascii="仿宋_GB2312" w:hAnsi="宋体" w:eastAsia="仿宋_GB2312"/>
          <w:kern w:val="0"/>
          <w:sz w:val="24"/>
        </w:rPr>
      </w:pPr>
      <w:r>
        <w:rPr>
          <w:rFonts w:hint="eastAsia" w:ascii="仿宋_GB2312" w:hAnsi="宋体" w:eastAsia="仿宋_GB2312"/>
          <w:kern w:val="0"/>
          <w:sz w:val="24"/>
          <w:lang w:eastAsia="zh-CN"/>
        </w:rPr>
        <w:t>编制</w:t>
      </w:r>
      <w:r>
        <w:rPr>
          <w:rFonts w:hint="eastAsia" w:ascii="仿宋_GB2312" w:hAnsi="宋体" w:eastAsia="仿宋_GB2312"/>
          <w:kern w:val="0"/>
          <w:sz w:val="24"/>
        </w:rPr>
        <w:t>部门：</w:t>
      </w:r>
      <w:r>
        <w:rPr>
          <w:rFonts w:hint="eastAsia" w:ascii="仿宋_GB2312" w:hAnsi="宋体" w:eastAsia="仿宋_GB2312"/>
          <w:kern w:val="0"/>
          <w:sz w:val="24"/>
          <w:lang w:val="en-US" w:eastAsia="zh-CN"/>
        </w:rPr>
        <w:t>吉木萨尔县退役军人事务局</w:t>
      </w:r>
      <w:r>
        <w:rPr>
          <w:rFonts w:hint="eastAsia" w:ascii="仿宋_GB2312" w:hAnsi="宋体" w:eastAsia="仿宋_GB2312"/>
          <w:kern w:val="0"/>
          <w:sz w:val="24"/>
        </w:rPr>
        <w:t xml:space="preserve">                         单位：万元</w:t>
      </w:r>
    </w:p>
    <w:tbl>
      <w:tblPr>
        <w:tblStyle w:val="5"/>
        <w:tblW w:w="9898" w:type="dxa"/>
        <w:tblInd w:w="-69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5"/>
        <w:gridCol w:w="480"/>
        <w:gridCol w:w="435"/>
        <w:gridCol w:w="2170"/>
        <w:gridCol w:w="890"/>
        <w:gridCol w:w="870"/>
        <w:gridCol w:w="420"/>
        <w:gridCol w:w="680"/>
        <w:gridCol w:w="680"/>
        <w:gridCol w:w="680"/>
        <w:gridCol w:w="680"/>
        <w:gridCol w:w="680"/>
        <w:gridCol w:w="67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 w:val="20"/>
                <w:szCs w:val="20"/>
              </w:rPr>
              <w:t>功能分类科目编码</w:t>
            </w:r>
          </w:p>
        </w:tc>
        <w:tc>
          <w:tcPr>
            <w:tcW w:w="217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 w:val="20"/>
                <w:szCs w:val="20"/>
              </w:rPr>
              <w:t>功能分类科目名称</w:t>
            </w:r>
          </w:p>
        </w:tc>
        <w:tc>
          <w:tcPr>
            <w:tcW w:w="8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 w:val="20"/>
                <w:szCs w:val="20"/>
              </w:rPr>
              <w:t>总  计</w:t>
            </w:r>
          </w:p>
        </w:tc>
        <w:tc>
          <w:tcPr>
            <w:tcW w:w="87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 w:val="20"/>
                <w:szCs w:val="20"/>
              </w:rPr>
              <w:t>一般公共预算拨款</w:t>
            </w:r>
          </w:p>
        </w:tc>
        <w:tc>
          <w:tcPr>
            <w:tcW w:w="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 w:val="20"/>
                <w:szCs w:val="20"/>
              </w:rPr>
              <w:t>政府性基金预算拨款</w:t>
            </w:r>
          </w:p>
        </w:tc>
        <w:tc>
          <w:tcPr>
            <w:tcW w:w="6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 w:val="20"/>
                <w:szCs w:val="20"/>
              </w:rPr>
              <w:t>财政专户管理资金</w:t>
            </w:r>
          </w:p>
        </w:tc>
        <w:tc>
          <w:tcPr>
            <w:tcW w:w="6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 w:val="20"/>
                <w:szCs w:val="20"/>
              </w:rPr>
              <w:t>事业收入</w:t>
            </w:r>
          </w:p>
        </w:tc>
        <w:tc>
          <w:tcPr>
            <w:tcW w:w="6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 w:val="20"/>
                <w:szCs w:val="20"/>
              </w:rPr>
              <w:t>事业单位经营收入</w:t>
            </w:r>
          </w:p>
        </w:tc>
        <w:tc>
          <w:tcPr>
            <w:tcW w:w="6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 w:val="20"/>
                <w:szCs w:val="20"/>
              </w:rPr>
              <w:t>其他收入</w:t>
            </w:r>
          </w:p>
        </w:tc>
        <w:tc>
          <w:tcPr>
            <w:tcW w:w="6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 w:val="20"/>
                <w:szCs w:val="20"/>
              </w:rPr>
              <w:t>用事业基金弥补收支差额</w:t>
            </w:r>
          </w:p>
        </w:tc>
        <w:tc>
          <w:tcPr>
            <w:tcW w:w="67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 w:val="20"/>
                <w:szCs w:val="20"/>
              </w:rPr>
              <w:t>单位上年结余（不包括国库集中支付额度结余）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 w:val="20"/>
                <w:szCs w:val="20"/>
              </w:rPr>
              <w:t>类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 w:val="20"/>
                <w:szCs w:val="20"/>
              </w:rPr>
              <w:t>款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 w:val="20"/>
                <w:szCs w:val="20"/>
              </w:rPr>
              <w:t>项</w:t>
            </w:r>
          </w:p>
        </w:tc>
        <w:tc>
          <w:tcPr>
            <w:tcW w:w="21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208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社会保障和就业支出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678.75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678.75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208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行政事业单位养老支出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12.93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12.93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208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</w:t>
            </w:r>
          </w:p>
        </w:tc>
        <w:tc>
          <w:tcPr>
            <w:tcW w:w="2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机关事业单位基本养老保险缴费支出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8.83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8.83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208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06</w:t>
            </w:r>
          </w:p>
        </w:tc>
        <w:tc>
          <w:tcPr>
            <w:tcW w:w="2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机关事业单位职业年金缴费支出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4.1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4.1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208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08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抚恤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430.70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430.70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208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08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02</w:t>
            </w:r>
          </w:p>
        </w:tc>
        <w:tc>
          <w:tcPr>
            <w:tcW w:w="2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伤残抚恤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94.02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94.02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208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08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06</w:t>
            </w:r>
          </w:p>
        </w:tc>
        <w:tc>
          <w:tcPr>
            <w:tcW w:w="2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农村籍退役士兵老年生活补助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318.14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318.14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208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08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99</w:t>
            </w:r>
          </w:p>
        </w:tc>
        <w:tc>
          <w:tcPr>
            <w:tcW w:w="2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其他优抚支出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18.54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18.54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208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09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退役安置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124.53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124.53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208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09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02</w:t>
            </w:r>
          </w:p>
        </w:tc>
        <w:tc>
          <w:tcPr>
            <w:tcW w:w="2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2080902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13.69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13.69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208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09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</w:t>
            </w:r>
          </w:p>
        </w:tc>
        <w:tc>
          <w:tcPr>
            <w:tcW w:w="2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2080905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110.84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110.84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208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临时救助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0.17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0.17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208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01</w:t>
            </w:r>
          </w:p>
        </w:tc>
        <w:tc>
          <w:tcPr>
            <w:tcW w:w="2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临时救助支出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0.17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0.17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208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28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退役军人管理事务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110.42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110.42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208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28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01</w:t>
            </w:r>
          </w:p>
        </w:tc>
        <w:tc>
          <w:tcPr>
            <w:tcW w:w="2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行政运行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54.40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54.40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208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28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04</w:t>
            </w:r>
          </w:p>
        </w:tc>
        <w:tc>
          <w:tcPr>
            <w:tcW w:w="2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拥军优属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20.00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20.00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208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28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50</w:t>
            </w:r>
          </w:p>
        </w:tc>
        <w:tc>
          <w:tcPr>
            <w:tcW w:w="2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事业运行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36.02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36.02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210</w:t>
            </w: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卫生健康支出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8.84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8.84</w:t>
            </w: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210</w:t>
            </w: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行政事业单位医疗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8.84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8.84</w:t>
            </w: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210</w:t>
            </w: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01</w:t>
            </w:r>
          </w:p>
        </w:tc>
        <w:tc>
          <w:tcPr>
            <w:tcW w:w="2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行政单位医疗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3.26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3.26</w:t>
            </w: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210</w:t>
            </w: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02</w:t>
            </w:r>
          </w:p>
        </w:tc>
        <w:tc>
          <w:tcPr>
            <w:tcW w:w="2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事业单位医疗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1.99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1.99</w:t>
            </w: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210</w:t>
            </w: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</w:t>
            </w:r>
          </w:p>
        </w:tc>
        <w:tc>
          <w:tcPr>
            <w:tcW w:w="2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公务员医疗补助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3.59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3.59</w:t>
            </w: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合计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687.59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687.59</w:t>
            </w: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</w:tbl>
    <w:p>
      <w:pPr>
        <w:rPr>
          <w:rFonts w:hint="eastAsia" w:asciiTheme="majorEastAsia" w:hAnsiTheme="majorEastAsia" w:eastAsiaTheme="majorEastAsia" w:cstheme="majorEastAsia"/>
          <w:b/>
          <w:kern w:val="0"/>
          <w:sz w:val="28"/>
          <w:szCs w:val="32"/>
        </w:rPr>
      </w:pPr>
    </w:p>
    <w:p>
      <w:pPr>
        <w:rPr>
          <w:rFonts w:hint="eastAsia" w:ascii="仿宋_GB2312" w:hAnsi="宋体" w:eastAsia="仿宋_GB2312"/>
          <w:b/>
          <w:kern w:val="0"/>
          <w:sz w:val="28"/>
          <w:szCs w:val="32"/>
        </w:rPr>
      </w:pPr>
    </w:p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表三：</w:t>
      </w:r>
    </w:p>
    <w:p>
      <w:pPr>
        <w:widowControl/>
        <w:jc w:val="center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部门支出总体情况表</w:t>
      </w:r>
    </w:p>
    <w:p>
      <w:pPr>
        <w:widowControl/>
        <w:jc w:val="left"/>
        <w:outlineLvl w:val="1"/>
        <w:rPr>
          <w:rFonts w:ascii="仿宋_GB2312" w:hAnsi="宋体" w:eastAsia="仿宋_GB2312"/>
          <w:kern w:val="0"/>
          <w:sz w:val="24"/>
        </w:rPr>
      </w:pPr>
      <w:r>
        <w:rPr>
          <w:rFonts w:hint="eastAsia" w:ascii="仿宋_GB2312" w:hAnsi="宋体" w:eastAsia="仿宋_GB2312"/>
          <w:kern w:val="0"/>
          <w:sz w:val="24"/>
        </w:rPr>
        <w:t>编制部门：</w:t>
      </w:r>
      <w:r>
        <w:rPr>
          <w:rFonts w:hint="eastAsia" w:ascii="仿宋_GB2312" w:hAnsi="宋体" w:eastAsia="仿宋_GB2312"/>
          <w:kern w:val="0"/>
          <w:sz w:val="24"/>
          <w:lang w:val="en-US" w:eastAsia="zh-CN"/>
        </w:rPr>
        <w:t>吉木萨尔县退役军人事务局</w:t>
      </w:r>
      <w:r>
        <w:rPr>
          <w:rFonts w:hint="eastAsia" w:ascii="仿宋_GB2312" w:hAnsi="宋体" w:eastAsia="仿宋_GB2312"/>
          <w:kern w:val="0"/>
          <w:sz w:val="24"/>
        </w:rPr>
        <w:t xml:space="preserve">                          单位：万元</w:t>
      </w:r>
    </w:p>
    <w:tbl>
      <w:tblPr>
        <w:tblStyle w:val="5"/>
        <w:tblW w:w="9559" w:type="dxa"/>
        <w:tblInd w:w="-3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2"/>
        <w:gridCol w:w="480"/>
        <w:gridCol w:w="495"/>
        <w:gridCol w:w="2317"/>
        <w:gridCol w:w="1855"/>
        <w:gridCol w:w="1856"/>
        <w:gridCol w:w="190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39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0"/>
                <w:szCs w:val="20"/>
              </w:rPr>
              <w:t>项目</w:t>
            </w:r>
          </w:p>
        </w:tc>
        <w:tc>
          <w:tcPr>
            <w:tcW w:w="56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0"/>
                <w:szCs w:val="20"/>
              </w:rPr>
              <w:t>支出预算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6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0"/>
                <w:szCs w:val="20"/>
              </w:rPr>
              <w:t>功能分类科目编码</w:t>
            </w:r>
          </w:p>
        </w:tc>
        <w:tc>
          <w:tcPr>
            <w:tcW w:w="23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0"/>
                <w:szCs w:val="20"/>
              </w:rPr>
              <w:t>功能分类科目名称</w:t>
            </w:r>
          </w:p>
        </w:tc>
        <w:tc>
          <w:tcPr>
            <w:tcW w:w="18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18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90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0"/>
                <w:szCs w:val="20"/>
              </w:rPr>
              <w:t>项目支出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23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208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社会保障和就业支出</w:t>
            </w:r>
          </w:p>
        </w:tc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678.75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678.75</w:t>
            </w:r>
          </w:p>
        </w:tc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208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3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行政事业单位养老支出</w:t>
            </w:r>
          </w:p>
        </w:tc>
        <w:tc>
          <w:tcPr>
            <w:tcW w:w="18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12.93</w:t>
            </w:r>
          </w:p>
        </w:tc>
        <w:tc>
          <w:tcPr>
            <w:tcW w:w="1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12.93</w:t>
            </w:r>
          </w:p>
        </w:tc>
        <w:tc>
          <w:tcPr>
            <w:tcW w:w="19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208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</w:t>
            </w:r>
          </w:p>
        </w:tc>
        <w:tc>
          <w:tcPr>
            <w:tcW w:w="23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机关事业单位基本养老保险缴费支出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8.83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8.83</w:t>
            </w:r>
          </w:p>
        </w:tc>
        <w:tc>
          <w:tcPr>
            <w:tcW w:w="1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208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06</w:t>
            </w:r>
          </w:p>
        </w:tc>
        <w:tc>
          <w:tcPr>
            <w:tcW w:w="23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机关事业单位职业年金缴费支出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4.1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4.1</w:t>
            </w:r>
          </w:p>
        </w:tc>
        <w:tc>
          <w:tcPr>
            <w:tcW w:w="1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208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08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3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抚恤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430.70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430.70</w:t>
            </w:r>
          </w:p>
        </w:tc>
        <w:tc>
          <w:tcPr>
            <w:tcW w:w="1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208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08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02</w:t>
            </w:r>
          </w:p>
        </w:tc>
        <w:tc>
          <w:tcPr>
            <w:tcW w:w="23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伤残抚恤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94.02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94.02</w:t>
            </w:r>
          </w:p>
        </w:tc>
        <w:tc>
          <w:tcPr>
            <w:tcW w:w="1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208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08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06</w:t>
            </w:r>
          </w:p>
        </w:tc>
        <w:tc>
          <w:tcPr>
            <w:tcW w:w="23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农村籍退役士兵老年生活补助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318.14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318.14</w:t>
            </w:r>
          </w:p>
        </w:tc>
        <w:tc>
          <w:tcPr>
            <w:tcW w:w="1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208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08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99</w:t>
            </w:r>
          </w:p>
        </w:tc>
        <w:tc>
          <w:tcPr>
            <w:tcW w:w="23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其他优抚支出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18.54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18.54</w:t>
            </w:r>
          </w:p>
        </w:tc>
        <w:tc>
          <w:tcPr>
            <w:tcW w:w="1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208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09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3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退役安置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124.53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124.53</w:t>
            </w:r>
          </w:p>
        </w:tc>
        <w:tc>
          <w:tcPr>
            <w:tcW w:w="1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208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09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02</w:t>
            </w:r>
          </w:p>
        </w:tc>
        <w:tc>
          <w:tcPr>
            <w:tcW w:w="23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2080902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13.69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13.69</w:t>
            </w:r>
          </w:p>
        </w:tc>
        <w:tc>
          <w:tcPr>
            <w:tcW w:w="1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208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09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</w:t>
            </w:r>
          </w:p>
        </w:tc>
        <w:tc>
          <w:tcPr>
            <w:tcW w:w="23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2080905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110.84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110.84</w:t>
            </w:r>
          </w:p>
        </w:tc>
        <w:tc>
          <w:tcPr>
            <w:tcW w:w="1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208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3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临时救助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0.17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0.17</w:t>
            </w:r>
          </w:p>
        </w:tc>
        <w:tc>
          <w:tcPr>
            <w:tcW w:w="1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208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01</w:t>
            </w:r>
          </w:p>
        </w:tc>
        <w:tc>
          <w:tcPr>
            <w:tcW w:w="23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临时救助支出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0.17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0.17</w:t>
            </w:r>
          </w:p>
        </w:tc>
        <w:tc>
          <w:tcPr>
            <w:tcW w:w="1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208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28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3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退役军人管理事务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110.42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110.42</w:t>
            </w:r>
          </w:p>
        </w:tc>
        <w:tc>
          <w:tcPr>
            <w:tcW w:w="1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208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28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01</w:t>
            </w:r>
          </w:p>
        </w:tc>
        <w:tc>
          <w:tcPr>
            <w:tcW w:w="23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行政运行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54.40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54.40</w:t>
            </w:r>
          </w:p>
        </w:tc>
        <w:tc>
          <w:tcPr>
            <w:tcW w:w="1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208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28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04</w:t>
            </w:r>
          </w:p>
        </w:tc>
        <w:tc>
          <w:tcPr>
            <w:tcW w:w="23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拥军优属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20.00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20.00</w:t>
            </w:r>
          </w:p>
        </w:tc>
        <w:tc>
          <w:tcPr>
            <w:tcW w:w="1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208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28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50</w:t>
            </w:r>
          </w:p>
        </w:tc>
        <w:tc>
          <w:tcPr>
            <w:tcW w:w="23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事业运行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36.02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36.02</w:t>
            </w:r>
          </w:p>
        </w:tc>
        <w:tc>
          <w:tcPr>
            <w:tcW w:w="1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210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3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卫生健康支出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8.84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8.84</w:t>
            </w:r>
          </w:p>
        </w:tc>
        <w:tc>
          <w:tcPr>
            <w:tcW w:w="1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210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3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行政事业单位医疗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8.84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8.84</w:t>
            </w:r>
          </w:p>
        </w:tc>
        <w:tc>
          <w:tcPr>
            <w:tcW w:w="1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210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01</w:t>
            </w:r>
          </w:p>
        </w:tc>
        <w:tc>
          <w:tcPr>
            <w:tcW w:w="23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行政单位医疗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3.26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3.26</w:t>
            </w:r>
          </w:p>
        </w:tc>
        <w:tc>
          <w:tcPr>
            <w:tcW w:w="1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210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02</w:t>
            </w:r>
          </w:p>
        </w:tc>
        <w:tc>
          <w:tcPr>
            <w:tcW w:w="23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事业单位医疗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1.99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1.99</w:t>
            </w:r>
          </w:p>
        </w:tc>
        <w:tc>
          <w:tcPr>
            <w:tcW w:w="1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210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</w:t>
            </w:r>
          </w:p>
        </w:tc>
        <w:tc>
          <w:tcPr>
            <w:tcW w:w="23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公务员医疗补助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3.59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3.59</w:t>
            </w:r>
          </w:p>
        </w:tc>
        <w:tc>
          <w:tcPr>
            <w:tcW w:w="1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合计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687.59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687.59</w:t>
            </w:r>
          </w:p>
        </w:tc>
        <w:tc>
          <w:tcPr>
            <w:tcW w:w="1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</w:rPr>
            </w:pPr>
          </w:p>
        </w:tc>
      </w:tr>
    </w:tbl>
    <w:p/>
    <w:p/>
    <w:p>
      <w:pPr>
        <w:widowControl/>
        <w:spacing w:before="120" w:beforeLines="50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表四：</w:t>
      </w:r>
    </w:p>
    <w:p>
      <w:pPr>
        <w:widowControl/>
        <w:spacing w:before="120" w:beforeLines="50"/>
        <w:jc w:val="center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财政拨款收支预算总体情况表</w:t>
      </w:r>
    </w:p>
    <w:p>
      <w:pPr>
        <w:widowControl/>
        <w:spacing w:before="120" w:beforeLines="50"/>
        <w:outlineLvl w:val="1"/>
        <w:rPr>
          <w:rFonts w:ascii="仿宋_GB2312" w:hAnsi="宋体" w:eastAsia="仿宋_GB2312"/>
          <w:kern w:val="0"/>
          <w:sz w:val="28"/>
          <w:szCs w:val="28"/>
        </w:rPr>
      </w:pPr>
      <w:r>
        <w:rPr>
          <w:rFonts w:hint="eastAsia" w:ascii="仿宋_GB2312" w:hAnsi="宋体" w:eastAsia="仿宋_GB2312"/>
          <w:kern w:val="0"/>
          <w:sz w:val="24"/>
          <w:szCs w:val="24"/>
        </w:rPr>
        <w:t>编制部门：</w:t>
      </w:r>
      <w:r>
        <w:rPr>
          <w:rFonts w:hint="eastAsia" w:ascii="仿宋_GB2312" w:hAnsi="宋体" w:eastAsia="仿宋_GB2312"/>
          <w:kern w:val="0"/>
          <w:sz w:val="24"/>
          <w:szCs w:val="24"/>
          <w:lang w:eastAsia="zh-CN"/>
        </w:rPr>
        <w:t>吉木萨尔县</w:t>
      </w:r>
      <w:r>
        <w:rPr>
          <w:rFonts w:hint="eastAsia" w:ascii="仿宋_GB2312" w:hAnsi="宋体" w:eastAsia="仿宋_GB2312"/>
          <w:kern w:val="0"/>
          <w:sz w:val="24"/>
          <w:szCs w:val="24"/>
          <w:lang w:val="en-US" w:eastAsia="zh-CN"/>
        </w:rPr>
        <w:t>退役军人事务局</w:t>
      </w:r>
      <w:r>
        <w:rPr>
          <w:rFonts w:hint="eastAsia" w:ascii="仿宋_GB2312" w:hAnsi="宋体" w:eastAsia="仿宋_GB2312"/>
          <w:kern w:val="0"/>
          <w:sz w:val="24"/>
          <w:szCs w:val="24"/>
        </w:rPr>
        <w:t xml:space="preserve">       </w:t>
      </w:r>
      <w:r>
        <w:rPr>
          <w:rFonts w:hint="eastAsia" w:ascii="仿宋_GB2312" w:hAnsi="宋体" w:eastAsia="仿宋_GB2312"/>
          <w:kern w:val="0"/>
          <w:sz w:val="24"/>
          <w:szCs w:val="24"/>
          <w:lang w:val="en-US" w:eastAsia="zh-CN"/>
        </w:rPr>
        <w:t xml:space="preserve">  </w:t>
      </w:r>
      <w:r>
        <w:rPr>
          <w:rFonts w:hint="eastAsia" w:ascii="仿宋_GB2312" w:hAnsi="宋体" w:eastAsia="仿宋_GB2312"/>
          <w:kern w:val="0"/>
          <w:sz w:val="24"/>
          <w:szCs w:val="24"/>
        </w:rPr>
        <w:t xml:space="preserve">        单位：万元</w:t>
      </w:r>
    </w:p>
    <w:tbl>
      <w:tblPr>
        <w:tblStyle w:val="5"/>
        <w:tblW w:w="8825" w:type="dxa"/>
        <w:tblInd w:w="16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0"/>
        <w:gridCol w:w="1075"/>
        <w:gridCol w:w="2787"/>
        <w:gridCol w:w="1175"/>
        <w:gridCol w:w="1085"/>
        <w:gridCol w:w="110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0"/>
                <w:szCs w:val="20"/>
              </w:rPr>
              <w:t>财政拨款收入</w:t>
            </w:r>
          </w:p>
        </w:tc>
        <w:tc>
          <w:tcPr>
            <w:tcW w:w="615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0"/>
                <w:szCs w:val="20"/>
              </w:rPr>
              <w:t>财政拨款支出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0"/>
                <w:szCs w:val="20"/>
              </w:rPr>
              <w:t>项    目</w:t>
            </w:r>
          </w:p>
        </w:tc>
        <w:tc>
          <w:tcPr>
            <w:tcW w:w="10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0"/>
                <w:szCs w:val="20"/>
              </w:rPr>
              <w:t>合计</w:t>
            </w:r>
          </w:p>
        </w:tc>
        <w:tc>
          <w:tcPr>
            <w:tcW w:w="2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0"/>
                <w:szCs w:val="20"/>
              </w:rPr>
              <w:t>功  能  分  类</w:t>
            </w:r>
          </w:p>
        </w:tc>
        <w:tc>
          <w:tcPr>
            <w:tcW w:w="11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0"/>
                <w:szCs w:val="20"/>
              </w:rPr>
              <w:t>合计</w:t>
            </w: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0"/>
                <w:szCs w:val="20"/>
              </w:rPr>
              <w:t>一般公共预算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0"/>
                <w:szCs w:val="20"/>
              </w:rPr>
              <w:t>政府性基金预算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  <w:t>财政拨款（补助）</w:t>
            </w:r>
          </w:p>
        </w:tc>
        <w:tc>
          <w:tcPr>
            <w:tcW w:w="10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687.59</w:t>
            </w:r>
          </w:p>
        </w:tc>
        <w:tc>
          <w:tcPr>
            <w:tcW w:w="2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  <w:t>201 一般公共服务支出</w:t>
            </w:r>
          </w:p>
        </w:tc>
        <w:tc>
          <w:tcPr>
            <w:tcW w:w="11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0"/>
                <w:szCs w:val="20"/>
              </w:rPr>
              <w:t xml:space="preserve"> 一般公共预算</w:t>
            </w:r>
          </w:p>
        </w:tc>
        <w:tc>
          <w:tcPr>
            <w:tcW w:w="10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687.59</w:t>
            </w:r>
          </w:p>
        </w:tc>
        <w:tc>
          <w:tcPr>
            <w:tcW w:w="2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  <w:t>202 外交支出</w:t>
            </w:r>
          </w:p>
        </w:tc>
        <w:tc>
          <w:tcPr>
            <w:tcW w:w="11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0"/>
                <w:szCs w:val="20"/>
              </w:rPr>
              <w:t xml:space="preserve"> 政府性基金预算</w:t>
            </w:r>
          </w:p>
        </w:tc>
        <w:tc>
          <w:tcPr>
            <w:tcW w:w="10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  <w:t>203 国防支出</w:t>
            </w:r>
          </w:p>
        </w:tc>
        <w:tc>
          <w:tcPr>
            <w:tcW w:w="11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0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  <w:t>204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 xml:space="preserve">  公共安全支出</w:t>
            </w:r>
          </w:p>
        </w:tc>
        <w:tc>
          <w:tcPr>
            <w:tcW w:w="11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0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  <w:t>205 教育支出</w:t>
            </w:r>
          </w:p>
        </w:tc>
        <w:tc>
          <w:tcPr>
            <w:tcW w:w="11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0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  <w:t>206 科学技术支出</w:t>
            </w:r>
          </w:p>
        </w:tc>
        <w:tc>
          <w:tcPr>
            <w:tcW w:w="11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0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  <w:t>207 文化旅游体育与传媒支出</w:t>
            </w:r>
          </w:p>
        </w:tc>
        <w:tc>
          <w:tcPr>
            <w:tcW w:w="11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0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  <w:t>208 社会保障和就业支出</w:t>
            </w:r>
          </w:p>
        </w:tc>
        <w:tc>
          <w:tcPr>
            <w:tcW w:w="11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678.75</w:t>
            </w: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678.75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0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  <w:t>210卫生健康支出</w:t>
            </w:r>
          </w:p>
        </w:tc>
        <w:tc>
          <w:tcPr>
            <w:tcW w:w="11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8.84</w:t>
            </w: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8.84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0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  <w:t>211 节能环保支出</w:t>
            </w:r>
          </w:p>
        </w:tc>
        <w:tc>
          <w:tcPr>
            <w:tcW w:w="11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0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  <w:t>212 城乡社区支出</w:t>
            </w:r>
          </w:p>
        </w:tc>
        <w:tc>
          <w:tcPr>
            <w:tcW w:w="11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0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  <w:t>213 农林水支出</w:t>
            </w:r>
          </w:p>
        </w:tc>
        <w:tc>
          <w:tcPr>
            <w:tcW w:w="11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0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  <w:t>214 交通运输支出</w:t>
            </w:r>
          </w:p>
        </w:tc>
        <w:tc>
          <w:tcPr>
            <w:tcW w:w="11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0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  <w:t>215 资源勘探工业信息等支出</w:t>
            </w:r>
          </w:p>
        </w:tc>
        <w:tc>
          <w:tcPr>
            <w:tcW w:w="11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0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  <w:t>216 商业服务业等支出</w:t>
            </w:r>
          </w:p>
        </w:tc>
        <w:tc>
          <w:tcPr>
            <w:tcW w:w="11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0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  <w:t>217 金融支出</w:t>
            </w:r>
          </w:p>
        </w:tc>
        <w:tc>
          <w:tcPr>
            <w:tcW w:w="11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0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  <w:t>219 援助其他地区支出</w:t>
            </w:r>
          </w:p>
        </w:tc>
        <w:tc>
          <w:tcPr>
            <w:tcW w:w="11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0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  <w:t>220 自然资源海洋气象等支出</w:t>
            </w:r>
          </w:p>
        </w:tc>
        <w:tc>
          <w:tcPr>
            <w:tcW w:w="11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0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  <w:t>221 住房保障支出</w:t>
            </w:r>
          </w:p>
        </w:tc>
        <w:tc>
          <w:tcPr>
            <w:tcW w:w="11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0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  <w:t>222 粮油物资储备支出</w:t>
            </w:r>
          </w:p>
        </w:tc>
        <w:tc>
          <w:tcPr>
            <w:tcW w:w="11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0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  <w:t>224灾害防治及应急管理支出</w:t>
            </w:r>
          </w:p>
        </w:tc>
        <w:tc>
          <w:tcPr>
            <w:tcW w:w="11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0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  <w:t>227 预备费</w:t>
            </w:r>
          </w:p>
        </w:tc>
        <w:tc>
          <w:tcPr>
            <w:tcW w:w="11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0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  <w:t>229 其他支出</w:t>
            </w:r>
          </w:p>
        </w:tc>
        <w:tc>
          <w:tcPr>
            <w:tcW w:w="11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0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  <w:t>230转移性支出</w:t>
            </w:r>
          </w:p>
        </w:tc>
        <w:tc>
          <w:tcPr>
            <w:tcW w:w="11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0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  <w:t>231 债务还本支出</w:t>
            </w:r>
          </w:p>
        </w:tc>
        <w:tc>
          <w:tcPr>
            <w:tcW w:w="11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0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  <w:t>232 债务付息支出</w:t>
            </w:r>
          </w:p>
        </w:tc>
        <w:tc>
          <w:tcPr>
            <w:tcW w:w="11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0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  <w:t>233 债务发行费用支出</w:t>
            </w:r>
          </w:p>
        </w:tc>
        <w:tc>
          <w:tcPr>
            <w:tcW w:w="11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  <w:t>收  入  总  计</w:t>
            </w:r>
          </w:p>
        </w:tc>
        <w:tc>
          <w:tcPr>
            <w:tcW w:w="10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687.59</w:t>
            </w:r>
          </w:p>
        </w:tc>
        <w:tc>
          <w:tcPr>
            <w:tcW w:w="2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  <w:t>支  出  总  计</w:t>
            </w:r>
          </w:p>
        </w:tc>
        <w:tc>
          <w:tcPr>
            <w:tcW w:w="11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687.59</w:t>
            </w: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687.59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0"/>
                <w:szCs w:val="20"/>
              </w:rPr>
            </w:pPr>
          </w:p>
        </w:tc>
      </w:tr>
    </w:tbl>
    <w:p/>
    <w:p/>
    <w:p/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表五：</w:t>
      </w:r>
    </w:p>
    <w:tbl>
      <w:tblPr>
        <w:tblStyle w:val="5"/>
        <w:tblW w:w="9075" w:type="dxa"/>
        <w:tblInd w:w="-19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465"/>
        <w:gridCol w:w="450"/>
        <w:gridCol w:w="3105"/>
        <w:gridCol w:w="1231"/>
        <w:gridCol w:w="216"/>
        <w:gridCol w:w="1626"/>
        <w:gridCol w:w="139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075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一般公共预算支出情况表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05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编制部门：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>吉木萨尔县退役军人事务局</w:t>
            </w:r>
          </w:p>
        </w:tc>
        <w:tc>
          <w:tcPr>
            <w:tcW w:w="30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>单位：万元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6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0"/>
                <w:szCs w:val="20"/>
              </w:rPr>
              <w:t>项目</w:t>
            </w:r>
          </w:p>
        </w:tc>
        <w:tc>
          <w:tcPr>
            <w:tcW w:w="447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0"/>
                <w:szCs w:val="20"/>
              </w:rPr>
              <w:t>一般公共预算支出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0"/>
                <w:szCs w:val="20"/>
              </w:rPr>
              <w:t>功能分类科目编码</w:t>
            </w:r>
          </w:p>
        </w:tc>
        <w:tc>
          <w:tcPr>
            <w:tcW w:w="310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0"/>
                <w:szCs w:val="20"/>
              </w:rPr>
              <w:t>功能分类科目名称</w:t>
            </w:r>
          </w:p>
        </w:tc>
        <w:tc>
          <w:tcPr>
            <w:tcW w:w="123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0"/>
                <w:szCs w:val="20"/>
              </w:rPr>
              <w:t>小计</w:t>
            </w:r>
          </w:p>
        </w:tc>
        <w:tc>
          <w:tcPr>
            <w:tcW w:w="1842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39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0"/>
                <w:szCs w:val="20"/>
              </w:rPr>
              <w:t>项目支出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310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3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208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社会保障和就业支出</w:t>
            </w:r>
          </w:p>
        </w:tc>
        <w:tc>
          <w:tcPr>
            <w:tcW w:w="1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678.75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678.75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208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行政事业单位养老支出</w:t>
            </w:r>
          </w:p>
        </w:tc>
        <w:tc>
          <w:tcPr>
            <w:tcW w:w="1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12.93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12.93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208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</w:t>
            </w:r>
          </w:p>
        </w:tc>
        <w:tc>
          <w:tcPr>
            <w:tcW w:w="3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机关事业单位基本养老保险缴费支出</w:t>
            </w:r>
          </w:p>
        </w:tc>
        <w:tc>
          <w:tcPr>
            <w:tcW w:w="1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8.83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8.83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208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06</w:t>
            </w:r>
          </w:p>
        </w:tc>
        <w:tc>
          <w:tcPr>
            <w:tcW w:w="3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机关事业单位职业年金缴费支出</w:t>
            </w:r>
          </w:p>
        </w:tc>
        <w:tc>
          <w:tcPr>
            <w:tcW w:w="1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4.1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4.1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208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08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抚恤</w:t>
            </w:r>
          </w:p>
        </w:tc>
        <w:tc>
          <w:tcPr>
            <w:tcW w:w="1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430.70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430.70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208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08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02</w:t>
            </w:r>
          </w:p>
        </w:tc>
        <w:tc>
          <w:tcPr>
            <w:tcW w:w="3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伤残抚恤</w:t>
            </w:r>
          </w:p>
        </w:tc>
        <w:tc>
          <w:tcPr>
            <w:tcW w:w="1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94.02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94.02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208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08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06</w:t>
            </w:r>
          </w:p>
        </w:tc>
        <w:tc>
          <w:tcPr>
            <w:tcW w:w="3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农村籍退役士兵老年生活补助</w:t>
            </w:r>
          </w:p>
        </w:tc>
        <w:tc>
          <w:tcPr>
            <w:tcW w:w="1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318.14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318.14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208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08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99</w:t>
            </w:r>
          </w:p>
        </w:tc>
        <w:tc>
          <w:tcPr>
            <w:tcW w:w="3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其他优抚支出</w:t>
            </w:r>
          </w:p>
        </w:tc>
        <w:tc>
          <w:tcPr>
            <w:tcW w:w="1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18.54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18.54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208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09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退役安置</w:t>
            </w:r>
          </w:p>
        </w:tc>
        <w:tc>
          <w:tcPr>
            <w:tcW w:w="1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124.53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124.53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208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09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02</w:t>
            </w:r>
          </w:p>
        </w:tc>
        <w:tc>
          <w:tcPr>
            <w:tcW w:w="3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2080902</w:t>
            </w:r>
          </w:p>
        </w:tc>
        <w:tc>
          <w:tcPr>
            <w:tcW w:w="1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13.69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13.69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208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09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</w:t>
            </w:r>
          </w:p>
        </w:tc>
        <w:tc>
          <w:tcPr>
            <w:tcW w:w="3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2080905</w:t>
            </w:r>
          </w:p>
        </w:tc>
        <w:tc>
          <w:tcPr>
            <w:tcW w:w="1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110.84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110.84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208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临时救助</w:t>
            </w:r>
          </w:p>
        </w:tc>
        <w:tc>
          <w:tcPr>
            <w:tcW w:w="1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0.17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0.17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208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01</w:t>
            </w:r>
          </w:p>
        </w:tc>
        <w:tc>
          <w:tcPr>
            <w:tcW w:w="3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临时救助支出</w:t>
            </w:r>
          </w:p>
        </w:tc>
        <w:tc>
          <w:tcPr>
            <w:tcW w:w="1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0.17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0.17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208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28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退役军人管理事务</w:t>
            </w:r>
          </w:p>
        </w:tc>
        <w:tc>
          <w:tcPr>
            <w:tcW w:w="1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110.42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110.42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208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28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01</w:t>
            </w:r>
          </w:p>
        </w:tc>
        <w:tc>
          <w:tcPr>
            <w:tcW w:w="3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行政运行</w:t>
            </w:r>
          </w:p>
        </w:tc>
        <w:tc>
          <w:tcPr>
            <w:tcW w:w="1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54.40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54.40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208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28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04</w:t>
            </w:r>
          </w:p>
        </w:tc>
        <w:tc>
          <w:tcPr>
            <w:tcW w:w="3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拥军优属</w:t>
            </w:r>
          </w:p>
        </w:tc>
        <w:tc>
          <w:tcPr>
            <w:tcW w:w="1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20.00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20.00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208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28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50</w:t>
            </w:r>
          </w:p>
        </w:tc>
        <w:tc>
          <w:tcPr>
            <w:tcW w:w="3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事业运行</w:t>
            </w:r>
          </w:p>
        </w:tc>
        <w:tc>
          <w:tcPr>
            <w:tcW w:w="1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36.02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36.02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210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卫生健康支出</w:t>
            </w:r>
          </w:p>
        </w:tc>
        <w:tc>
          <w:tcPr>
            <w:tcW w:w="1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8.84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8.84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210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行政事业单位医疗</w:t>
            </w:r>
          </w:p>
        </w:tc>
        <w:tc>
          <w:tcPr>
            <w:tcW w:w="1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8.84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8.84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210</w:t>
            </w: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01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行政单位医疗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3.26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3.26</w:t>
            </w: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210</w:t>
            </w: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02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事业单位医疗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1.99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1.99</w:t>
            </w: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210</w:t>
            </w: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公务员医疗补助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3.59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3.59</w:t>
            </w: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合计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687.59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687.59</w:t>
            </w: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</w:rPr>
            </w:pPr>
          </w:p>
        </w:tc>
      </w:tr>
    </w:tbl>
    <w:p/>
    <w:p/>
    <w:p>
      <w:pPr>
        <w:widowControl/>
        <w:outlineLvl w:val="1"/>
        <w:rPr>
          <w:rFonts w:ascii="仿宋_GB2312" w:hAnsi="宋体" w:eastAsia="仿宋_GB2312" w:cs="仿宋_GB2312"/>
          <w:b/>
          <w:bCs/>
          <w:kern w:val="0"/>
          <w:sz w:val="32"/>
          <w:szCs w:val="32"/>
        </w:rPr>
      </w:pPr>
      <w:r>
        <w:rPr>
          <w:rFonts w:hint="eastAsia" w:ascii="仿宋_GB2312" w:hAnsi="宋体" w:eastAsia="仿宋_GB2312" w:cs="仿宋_GB2312"/>
          <w:b/>
          <w:bCs/>
          <w:kern w:val="0"/>
          <w:sz w:val="32"/>
          <w:szCs w:val="32"/>
        </w:rPr>
        <w:t>表六：</w:t>
      </w:r>
      <w:r>
        <w:rPr>
          <w:rFonts w:ascii="仿宋_GB2312" w:hAnsi="宋体" w:eastAsia="仿宋_GB2312" w:cs="仿宋_GB2312"/>
          <w:b/>
          <w:bCs/>
          <w:kern w:val="0"/>
          <w:sz w:val="32"/>
          <w:szCs w:val="32"/>
        </w:rPr>
        <w:t xml:space="preserve">       </w:t>
      </w:r>
    </w:p>
    <w:p>
      <w:pPr>
        <w:widowControl/>
        <w:jc w:val="center"/>
        <w:outlineLvl w:val="1"/>
        <w:rPr>
          <w:rFonts w:ascii="仿宋_GB2312" w:hAnsi="宋体" w:eastAsia="仿宋_GB2312"/>
          <w:b/>
          <w:bCs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仿宋_GB2312"/>
          <w:b/>
          <w:bCs/>
          <w:color w:val="000000"/>
          <w:kern w:val="0"/>
          <w:sz w:val="32"/>
          <w:szCs w:val="32"/>
        </w:rPr>
        <w:t>一般公共预算基本支出情况表</w:t>
      </w:r>
    </w:p>
    <w:tbl>
      <w:tblPr>
        <w:tblStyle w:val="5"/>
        <w:tblW w:w="874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3"/>
        <w:gridCol w:w="717"/>
        <w:gridCol w:w="2993"/>
        <w:gridCol w:w="1789"/>
        <w:gridCol w:w="491"/>
        <w:gridCol w:w="867"/>
        <w:gridCol w:w="136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51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</w:rPr>
              <w:t>编制部门：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  <w:t>吉木萨尔县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退役军人事务局</w:t>
            </w:r>
          </w:p>
        </w:tc>
        <w:tc>
          <w:tcPr>
            <w:tcW w:w="2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firstLine="720" w:firstLineChars="300"/>
              <w:rPr>
                <w:rFonts w:ascii="仿宋_GB2312" w:hAnsi="宋体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</w:rPr>
              <w:t>单位：万元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423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0"/>
                <w:szCs w:val="20"/>
              </w:rPr>
              <w:t>项目</w:t>
            </w:r>
          </w:p>
        </w:tc>
        <w:tc>
          <w:tcPr>
            <w:tcW w:w="450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0"/>
                <w:szCs w:val="20"/>
              </w:rPr>
              <w:t>一般公共预算基本支出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124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0"/>
                <w:szCs w:val="20"/>
              </w:rPr>
              <w:t>经济分类科目编码</w:t>
            </w:r>
          </w:p>
        </w:tc>
        <w:tc>
          <w:tcPr>
            <w:tcW w:w="29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0"/>
                <w:szCs w:val="20"/>
              </w:rPr>
              <w:t>经济分类科目名称</w:t>
            </w:r>
          </w:p>
        </w:tc>
        <w:tc>
          <w:tcPr>
            <w:tcW w:w="178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0"/>
                <w:szCs w:val="20"/>
              </w:rPr>
              <w:t>总   计</w:t>
            </w:r>
          </w:p>
        </w:tc>
        <w:tc>
          <w:tcPr>
            <w:tcW w:w="1358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13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0"/>
                <w:szCs w:val="20"/>
              </w:rPr>
              <w:t>公用经费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0" w:hRule="atLeast"/>
        </w:trPr>
        <w:tc>
          <w:tcPr>
            <w:tcW w:w="124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5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29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5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</w:rPr>
              <w:t>301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</w:rPr>
              <w:t>工资福利支出</w:t>
            </w:r>
          </w:p>
        </w:tc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108.51</w:t>
            </w:r>
          </w:p>
        </w:tc>
        <w:tc>
          <w:tcPr>
            <w:tcW w:w="13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108.51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</w:rPr>
              <w:t>301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2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</w:rPr>
              <w:t>基本工资</w:t>
            </w:r>
          </w:p>
        </w:tc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/>
              </w:rPr>
              <w:t>27.01</w:t>
            </w:r>
          </w:p>
        </w:tc>
        <w:tc>
          <w:tcPr>
            <w:tcW w:w="13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/>
              </w:rPr>
              <w:t>27.01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</w:rPr>
              <w:t>301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2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</w:rPr>
              <w:t>津贴补贴</w:t>
            </w:r>
          </w:p>
        </w:tc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/>
              </w:rPr>
              <w:t>20.42</w:t>
            </w:r>
          </w:p>
        </w:tc>
        <w:tc>
          <w:tcPr>
            <w:tcW w:w="13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/>
              </w:rPr>
              <w:t>20.42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</w:rPr>
              <w:t>301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2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</w:rPr>
              <w:t>奖金</w:t>
            </w:r>
          </w:p>
        </w:tc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/>
              </w:rPr>
              <w:t>17.03</w:t>
            </w:r>
          </w:p>
        </w:tc>
        <w:tc>
          <w:tcPr>
            <w:tcW w:w="13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/>
              </w:rPr>
              <w:t>17.03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</w:rPr>
              <w:t>301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2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</w:rPr>
              <w:t>绩效工资</w:t>
            </w:r>
          </w:p>
        </w:tc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/>
              </w:rPr>
              <w:t>2.29</w:t>
            </w:r>
          </w:p>
        </w:tc>
        <w:tc>
          <w:tcPr>
            <w:tcW w:w="13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/>
              </w:rPr>
              <w:t>2.29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</w:rPr>
              <w:t>301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2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</w:rPr>
              <w:t>机关事业单位基本养老保险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eastAsia="zh-CN"/>
              </w:rPr>
              <w:t>缴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</w:rPr>
              <w:t>费</w:t>
            </w:r>
          </w:p>
        </w:tc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/>
              </w:rPr>
              <w:t>8.83</w:t>
            </w:r>
          </w:p>
        </w:tc>
        <w:tc>
          <w:tcPr>
            <w:tcW w:w="13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/>
              </w:rPr>
              <w:t>8.83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</w:rPr>
              <w:t>301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2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</w:rPr>
              <w:t>职业年金缴费</w:t>
            </w:r>
          </w:p>
        </w:tc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/>
              </w:rPr>
              <w:t>4.11</w:t>
            </w:r>
          </w:p>
        </w:tc>
        <w:tc>
          <w:tcPr>
            <w:tcW w:w="13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/>
              </w:rPr>
              <w:t>4.11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</w:rPr>
              <w:t>301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2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</w:rPr>
              <w:t>职工基本医疗保险缴费</w:t>
            </w:r>
          </w:p>
        </w:tc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/>
              </w:rPr>
              <w:t>5.25</w:t>
            </w:r>
          </w:p>
        </w:tc>
        <w:tc>
          <w:tcPr>
            <w:tcW w:w="13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/>
              </w:rPr>
              <w:t>5.25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</w:rPr>
              <w:t>301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2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</w:rPr>
              <w:t>公务员医疗补助缴费</w:t>
            </w:r>
          </w:p>
        </w:tc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/>
              </w:rPr>
              <w:t>3.59</w:t>
            </w:r>
          </w:p>
        </w:tc>
        <w:tc>
          <w:tcPr>
            <w:tcW w:w="13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/>
              </w:rPr>
              <w:t>3.59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</w:rPr>
              <w:t>301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2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</w:rPr>
              <w:t>其他社会保障缴费</w:t>
            </w:r>
          </w:p>
        </w:tc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/>
              </w:rPr>
              <w:t>0.22</w:t>
            </w:r>
          </w:p>
        </w:tc>
        <w:tc>
          <w:tcPr>
            <w:tcW w:w="13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/>
              </w:rPr>
              <w:t>0.22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</w:rPr>
              <w:t>301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2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</w:rPr>
              <w:t>住房公积金</w:t>
            </w:r>
          </w:p>
        </w:tc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/>
              </w:rPr>
              <w:t>7.30</w:t>
            </w:r>
          </w:p>
        </w:tc>
        <w:tc>
          <w:tcPr>
            <w:tcW w:w="13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/>
              </w:rPr>
              <w:t>7.30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  <w:t>301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99</w:t>
            </w:r>
          </w:p>
        </w:tc>
        <w:tc>
          <w:tcPr>
            <w:tcW w:w="2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其他工资福利支出</w:t>
            </w:r>
          </w:p>
        </w:tc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/>
              </w:rPr>
              <w:t>12.46</w:t>
            </w:r>
          </w:p>
        </w:tc>
        <w:tc>
          <w:tcPr>
            <w:tcW w:w="13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/>
              </w:rPr>
              <w:t>12.46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</w:rPr>
              <w:t>302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</w:rPr>
              <w:t>商品和服务支出</w:t>
            </w:r>
          </w:p>
        </w:tc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/>
              </w:rPr>
              <w:t>23.68</w:t>
            </w:r>
          </w:p>
        </w:tc>
        <w:tc>
          <w:tcPr>
            <w:tcW w:w="13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/>
              </w:rPr>
              <w:t>23.68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</w:rPr>
              <w:t>302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2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</w:rPr>
              <w:t>办公费</w:t>
            </w:r>
          </w:p>
        </w:tc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/>
              </w:rPr>
              <w:t>1.96</w:t>
            </w:r>
          </w:p>
        </w:tc>
        <w:tc>
          <w:tcPr>
            <w:tcW w:w="13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/>
              </w:rPr>
              <w:t>1.96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</w:rPr>
              <w:t>302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2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</w:rPr>
              <w:t>培训费</w:t>
            </w:r>
          </w:p>
        </w:tc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/>
              </w:rPr>
              <w:t>0.74</w:t>
            </w:r>
          </w:p>
        </w:tc>
        <w:tc>
          <w:tcPr>
            <w:tcW w:w="13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/>
              </w:rPr>
              <w:t>0.74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</w:rPr>
              <w:t>302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</w:rPr>
              <w:t>28</w:t>
            </w:r>
          </w:p>
        </w:tc>
        <w:tc>
          <w:tcPr>
            <w:tcW w:w="2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</w:rPr>
              <w:t>工会经费</w:t>
            </w:r>
          </w:p>
        </w:tc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/>
              </w:rPr>
              <w:t>0.98</w:t>
            </w:r>
          </w:p>
        </w:tc>
        <w:tc>
          <w:tcPr>
            <w:tcW w:w="13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/>
              </w:rPr>
              <w:t>0.98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</w:trPr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  <w:t>302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  <w:t>99</w:t>
            </w:r>
          </w:p>
        </w:tc>
        <w:tc>
          <w:tcPr>
            <w:tcW w:w="2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  <w:t>其他商品和服务支出</w:t>
            </w:r>
          </w:p>
        </w:tc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/>
              </w:rPr>
              <w:t>20.00</w:t>
            </w:r>
          </w:p>
        </w:tc>
        <w:tc>
          <w:tcPr>
            <w:tcW w:w="13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/>
              </w:rPr>
              <w:t>20.00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  <w:t>303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  <w:t>对个人和家庭的补助</w:t>
            </w:r>
          </w:p>
        </w:tc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/>
              </w:rPr>
              <w:t>555.4</w:t>
            </w:r>
          </w:p>
        </w:tc>
        <w:tc>
          <w:tcPr>
            <w:tcW w:w="13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/>
              </w:rPr>
              <w:t>555.4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  <w:t>303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  <w:t>04</w:t>
            </w:r>
          </w:p>
        </w:tc>
        <w:tc>
          <w:tcPr>
            <w:tcW w:w="2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  <w:t>抚恤金</w:t>
            </w:r>
          </w:p>
        </w:tc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/>
              </w:rPr>
              <w:t>94.02</w:t>
            </w:r>
          </w:p>
        </w:tc>
        <w:tc>
          <w:tcPr>
            <w:tcW w:w="13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/>
              </w:rPr>
              <w:t>94.02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  <w:t>303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  <w:t>05</w:t>
            </w:r>
          </w:p>
        </w:tc>
        <w:tc>
          <w:tcPr>
            <w:tcW w:w="2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  <w:t>生活补助</w:t>
            </w:r>
          </w:p>
        </w:tc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/>
              </w:rPr>
              <w:t>318.14</w:t>
            </w:r>
          </w:p>
        </w:tc>
        <w:tc>
          <w:tcPr>
            <w:tcW w:w="13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/>
              </w:rPr>
              <w:t>318.14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  <w:t>303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  <w:t>06</w:t>
            </w:r>
          </w:p>
        </w:tc>
        <w:tc>
          <w:tcPr>
            <w:tcW w:w="2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  <w:t>救济费</w:t>
            </w:r>
          </w:p>
        </w:tc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/>
              </w:rPr>
              <w:t>0.17</w:t>
            </w:r>
          </w:p>
        </w:tc>
        <w:tc>
          <w:tcPr>
            <w:tcW w:w="13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/>
              </w:rPr>
              <w:t>0.17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  <w:t>03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  <w:t>99</w:t>
            </w:r>
          </w:p>
        </w:tc>
        <w:tc>
          <w:tcPr>
            <w:tcW w:w="2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/>
              </w:rPr>
              <w:t>其他对个人和家庭补助支出</w:t>
            </w:r>
          </w:p>
        </w:tc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/>
              </w:rPr>
              <w:t>143.07</w:t>
            </w:r>
          </w:p>
        </w:tc>
        <w:tc>
          <w:tcPr>
            <w:tcW w:w="13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/>
              </w:rPr>
              <w:t>143.07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/>
              </w:rPr>
              <w:t>687.59</w:t>
            </w:r>
          </w:p>
        </w:tc>
        <w:tc>
          <w:tcPr>
            <w:tcW w:w="13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663.91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23.68</w:t>
            </w:r>
          </w:p>
        </w:tc>
      </w:tr>
    </w:tbl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表七：</w:t>
      </w:r>
    </w:p>
    <w:tbl>
      <w:tblPr>
        <w:tblStyle w:val="5"/>
        <w:tblW w:w="8850" w:type="dxa"/>
        <w:tblInd w:w="12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"/>
        <w:gridCol w:w="392"/>
        <w:gridCol w:w="375"/>
        <w:gridCol w:w="463"/>
        <w:gridCol w:w="825"/>
        <w:gridCol w:w="950"/>
        <w:gridCol w:w="637"/>
        <w:gridCol w:w="588"/>
        <w:gridCol w:w="550"/>
        <w:gridCol w:w="650"/>
        <w:gridCol w:w="736"/>
        <w:gridCol w:w="378"/>
        <w:gridCol w:w="200"/>
        <w:gridCol w:w="419"/>
        <w:gridCol w:w="578"/>
        <w:gridCol w:w="326"/>
        <w:gridCol w:w="514"/>
        <w:gridCol w:w="26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375" w:hRule="atLeast"/>
        </w:trPr>
        <w:tc>
          <w:tcPr>
            <w:tcW w:w="8842" w:type="dxa"/>
            <w:gridSpan w:val="1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项目支出情况表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405" w:hRule="atLeast"/>
        </w:trPr>
        <w:tc>
          <w:tcPr>
            <w:tcW w:w="478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编制部门：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  <w:t>吉木萨尔县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退役军人事务局</w:t>
            </w:r>
          </w:p>
        </w:tc>
        <w:tc>
          <w:tcPr>
            <w:tcW w:w="176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    </w:t>
            </w:r>
          </w:p>
        </w:tc>
        <w:tc>
          <w:tcPr>
            <w:tcW w:w="229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firstLine="960" w:firstLineChars="400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238" w:type="dxa"/>
            <w:gridSpan w:val="4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科 目 编 码</w:t>
            </w:r>
          </w:p>
        </w:tc>
        <w:tc>
          <w:tcPr>
            <w:tcW w:w="825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科目</w:t>
            </w:r>
          </w:p>
        </w:tc>
        <w:tc>
          <w:tcPr>
            <w:tcW w:w="950" w:type="dxa"/>
            <w:vMerge w:val="restart"/>
            <w:vAlign w:val="center"/>
          </w:tcPr>
          <w:p>
            <w:pPr>
              <w:jc w:val="center"/>
              <w:rPr>
                <w:rFonts w:ascii="Calibri" w:hAnsi="Calibri"/>
                <w:sz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</w:rPr>
              <w:t>项目名称</w:t>
            </w:r>
          </w:p>
        </w:tc>
        <w:tc>
          <w:tcPr>
            <w:tcW w:w="637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项目支出合计</w:t>
            </w:r>
          </w:p>
        </w:tc>
        <w:tc>
          <w:tcPr>
            <w:tcW w:w="588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工资福利支出</w:t>
            </w:r>
          </w:p>
        </w:tc>
        <w:tc>
          <w:tcPr>
            <w:tcW w:w="550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商品和服务支出</w:t>
            </w:r>
          </w:p>
        </w:tc>
        <w:tc>
          <w:tcPr>
            <w:tcW w:w="650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对个人和家庭的补助</w:t>
            </w:r>
          </w:p>
        </w:tc>
        <w:tc>
          <w:tcPr>
            <w:tcW w:w="736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债务利息及费用支出</w:t>
            </w:r>
          </w:p>
        </w:tc>
        <w:tc>
          <w:tcPr>
            <w:tcW w:w="578" w:type="dxa"/>
            <w:gridSpan w:val="2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资本性支出（基本建设）</w:t>
            </w:r>
          </w:p>
        </w:tc>
        <w:tc>
          <w:tcPr>
            <w:tcW w:w="419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资本性支出</w:t>
            </w:r>
          </w:p>
        </w:tc>
        <w:tc>
          <w:tcPr>
            <w:tcW w:w="578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对企业补助（基本建设）</w:t>
            </w:r>
          </w:p>
        </w:tc>
        <w:tc>
          <w:tcPr>
            <w:tcW w:w="326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对企业补助</w:t>
            </w:r>
          </w:p>
        </w:tc>
        <w:tc>
          <w:tcPr>
            <w:tcW w:w="514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对社会保障基金补助</w:t>
            </w:r>
          </w:p>
        </w:tc>
        <w:tc>
          <w:tcPr>
            <w:tcW w:w="261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" w:hRule="atLeast"/>
        </w:trPr>
        <w:tc>
          <w:tcPr>
            <w:tcW w:w="40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类</w:t>
            </w:r>
          </w:p>
        </w:tc>
        <w:tc>
          <w:tcPr>
            <w:tcW w:w="375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款</w:t>
            </w:r>
          </w:p>
        </w:tc>
        <w:tc>
          <w:tcPr>
            <w:tcW w:w="463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项</w:t>
            </w:r>
          </w:p>
        </w:tc>
        <w:tc>
          <w:tcPr>
            <w:tcW w:w="825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</w:p>
        </w:tc>
        <w:tc>
          <w:tcPr>
            <w:tcW w:w="950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</w:p>
        </w:tc>
        <w:tc>
          <w:tcPr>
            <w:tcW w:w="588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</w:p>
        </w:tc>
        <w:tc>
          <w:tcPr>
            <w:tcW w:w="550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</w:p>
        </w:tc>
        <w:tc>
          <w:tcPr>
            <w:tcW w:w="650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</w:p>
        </w:tc>
        <w:tc>
          <w:tcPr>
            <w:tcW w:w="736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gridSpan w:val="2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</w:p>
        </w:tc>
        <w:tc>
          <w:tcPr>
            <w:tcW w:w="419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</w:p>
        </w:tc>
        <w:tc>
          <w:tcPr>
            <w:tcW w:w="326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</w:p>
        </w:tc>
        <w:tc>
          <w:tcPr>
            <w:tcW w:w="514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</w:p>
        </w:tc>
        <w:tc>
          <w:tcPr>
            <w:tcW w:w="261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00" w:type="dxa"/>
            <w:gridSpan w:val="2"/>
            <w:vAlign w:val="top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vAlign w:val="top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463" w:type="dxa"/>
            <w:vAlign w:val="top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vAlign w:val="top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950" w:type="dxa"/>
            <w:vAlign w:val="top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vAlign w:val="top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588" w:type="dxa"/>
            <w:vAlign w:val="top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550" w:type="dxa"/>
            <w:vAlign w:val="top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650" w:type="dxa"/>
            <w:vAlign w:val="top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736" w:type="dxa"/>
            <w:vAlign w:val="top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gridSpan w:val="2"/>
            <w:vAlign w:val="top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419" w:type="dxa"/>
            <w:vAlign w:val="top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vAlign w:val="top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326" w:type="dxa"/>
            <w:vAlign w:val="top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514" w:type="dxa"/>
            <w:vAlign w:val="top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261" w:type="dxa"/>
            <w:vAlign w:val="top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00" w:type="dxa"/>
            <w:gridSpan w:val="2"/>
            <w:vAlign w:val="top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vAlign w:val="top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463" w:type="dxa"/>
            <w:vAlign w:val="top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vAlign w:val="top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950" w:type="dxa"/>
            <w:vAlign w:val="top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kern w:val="0"/>
                <w:sz w:val="18"/>
                <w:szCs w:val="18"/>
                <w:lang w:eastAsia="zh-CN"/>
              </w:rPr>
              <w:t>合计</w:t>
            </w:r>
          </w:p>
        </w:tc>
        <w:tc>
          <w:tcPr>
            <w:tcW w:w="588" w:type="dxa"/>
            <w:vAlign w:val="top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550" w:type="dxa"/>
            <w:vAlign w:val="top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650" w:type="dxa"/>
            <w:vAlign w:val="top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736" w:type="dxa"/>
            <w:vAlign w:val="top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gridSpan w:val="2"/>
            <w:vAlign w:val="top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419" w:type="dxa"/>
            <w:vAlign w:val="top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vAlign w:val="top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326" w:type="dxa"/>
            <w:vAlign w:val="top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514" w:type="dxa"/>
            <w:vAlign w:val="top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261" w:type="dxa"/>
            <w:vAlign w:val="top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</w:tr>
    </w:tbl>
    <w:p>
      <w:pPr>
        <w:widowControl/>
        <w:outlineLvl w:val="1"/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lang w:eastAsia="zh-CN"/>
        </w:rPr>
        <w:t>备注：吉木萨尔县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lang w:val="en-US" w:eastAsia="zh-CN"/>
        </w:rPr>
        <w:t>退役军人事务局2020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lang w:eastAsia="zh-CN"/>
        </w:rPr>
        <w:t>年未安排项目资金，项目支出情况表为空表。</w:t>
      </w:r>
    </w:p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表八：</w:t>
      </w:r>
    </w:p>
    <w:p>
      <w:pPr>
        <w:widowControl/>
        <w:jc w:val="left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center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一般公共预算“三公”经费支出情况表</w:t>
      </w:r>
    </w:p>
    <w:p>
      <w:pPr>
        <w:widowControl/>
        <w:jc w:val="center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ascii="仿宋_GB2312" w:hAnsi="宋体" w:eastAsia="仿宋_GB2312"/>
          <w:kern w:val="0"/>
          <w:sz w:val="24"/>
        </w:rPr>
      </w:pPr>
      <w:r>
        <w:rPr>
          <w:rFonts w:hint="eastAsia" w:ascii="仿宋_GB2312" w:hAnsi="宋体" w:eastAsia="仿宋_GB2312"/>
          <w:kern w:val="0"/>
          <w:sz w:val="24"/>
        </w:rPr>
        <w:t xml:space="preserve">编制单位： </w:t>
      </w:r>
      <w:r>
        <w:rPr>
          <w:rFonts w:hint="eastAsia" w:ascii="仿宋_GB2312" w:hAnsi="宋体" w:eastAsia="仿宋_GB2312" w:cs="仿宋_GB2312"/>
          <w:color w:val="000000"/>
          <w:kern w:val="0"/>
          <w:sz w:val="24"/>
          <w:szCs w:val="24"/>
          <w:lang w:eastAsia="zh-CN"/>
        </w:rPr>
        <w:t>吉木萨尔县</w:t>
      </w:r>
      <w:r>
        <w:rPr>
          <w:rFonts w:hint="eastAsia" w:ascii="仿宋_GB2312" w:hAnsi="宋体" w:eastAsia="仿宋_GB2312" w:cs="仿宋_GB2312"/>
          <w:color w:val="000000"/>
          <w:kern w:val="0"/>
          <w:sz w:val="24"/>
          <w:szCs w:val="24"/>
          <w:lang w:val="en-US" w:eastAsia="zh-CN"/>
        </w:rPr>
        <w:t>退役军人事务局</w:t>
      </w:r>
      <w:r>
        <w:rPr>
          <w:rFonts w:hint="eastAsia" w:ascii="仿宋_GB2312" w:hAnsi="宋体" w:eastAsia="仿宋_GB2312"/>
          <w:kern w:val="0"/>
          <w:sz w:val="24"/>
        </w:rPr>
        <w:t xml:space="preserve">                          单位：万元</w:t>
      </w:r>
    </w:p>
    <w:tbl>
      <w:tblPr>
        <w:tblStyle w:val="5"/>
        <w:tblW w:w="890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60"/>
        <w:gridCol w:w="1575"/>
        <w:gridCol w:w="1358"/>
        <w:gridCol w:w="1600"/>
        <w:gridCol w:w="1487"/>
        <w:gridCol w:w="162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2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1575" w:type="dxa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因公出国（境）费用</w:t>
            </w:r>
          </w:p>
        </w:tc>
        <w:tc>
          <w:tcPr>
            <w:tcW w:w="444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公务用车购置及运行费</w:t>
            </w:r>
          </w:p>
        </w:tc>
        <w:tc>
          <w:tcPr>
            <w:tcW w:w="1625" w:type="dxa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公务接待费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小计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公务用车购置费</w:t>
            </w:r>
          </w:p>
        </w:tc>
        <w:tc>
          <w:tcPr>
            <w:tcW w:w="148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公务用车运行费</w:t>
            </w:r>
          </w:p>
        </w:tc>
        <w:tc>
          <w:tcPr>
            <w:tcW w:w="1625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2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2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2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2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2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2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2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2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2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</w:tbl>
    <w:p>
      <w:pPr>
        <w:widowControl/>
        <w:outlineLvl w:val="1"/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lang w:eastAsia="zh-CN"/>
        </w:rPr>
        <w:t>备注：吉木萨尔县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lang w:val="en-US" w:eastAsia="zh-CN"/>
        </w:rPr>
        <w:t>退役军人事务局2020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lang w:eastAsia="zh-CN"/>
        </w:rPr>
        <w:t>年未安排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lang w:val="en-US" w:eastAsia="zh-CN"/>
        </w:rPr>
        <w:t>“三公”经费预算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lang w:eastAsia="zh-CN"/>
        </w:rPr>
        <w:t>资金。此表为空表。</w:t>
      </w:r>
    </w:p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表九：</w:t>
      </w:r>
    </w:p>
    <w:p>
      <w:pPr>
        <w:widowControl/>
        <w:jc w:val="center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政府性基金预算支出情况表</w:t>
      </w:r>
    </w:p>
    <w:p>
      <w:pPr>
        <w:widowControl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24"/>
        </w:rPr>
        <w:t>编制单位：</w:t>
      </w:r>
      <w:r>
        <w:rPr>
          <w:rFonts w:hint="eastAsia" w:ascii="仿宋_GB2312" w:hAnsi="宋体" w:eastAsia="仿宋_GB2312" w:cs="仿宋_GB2312"/>
          <w:color w:val="000000"/>
          <w:kern w:val="0"/>
          <w:sz w:val="24"/>
          <w:szCs w:val="24"/>
          <w:lang w:eastAsia="zh-CN"/>
        </w:rPr>
        <w:t>吉木萨尔县</w:t>
      </w:r>
      <w:r>
        <w:rPr>
          <w:rFonts w:hint="eastAsia" w:ascii="仿宋_GB2312" w:hAnsi="宋体" w:eastAsia="仿宋_GB2312" w:cs="仿宋_GB2312"/>
          <w:color w:val="000000"/>
          <w:kern w:val="0"/>
          <w:sz w:val="24"/>
          <w:szCs w:val="24"/>
          <w:lang w:val="en-US" w:eastAsia="zh-CN"/>
        </w:rPr>
        <w:t>退役军人事务局</w:t>
      </w:r>
      <w:r>
        <w:rPr>
          <w:rFonts w:hint="eastAsia" w:ascii="仿宋_GB2312" w:hAnsi="宋体" w:eastAsia="仿宋_GB2312"/>
          <w:kern w:val="0"/>
          <w:sz w:val="24"/>
        </w:rPr>
        <w:t xml:space="preserve">                      单位：万元</w:t>
      </w:r>
    </w:p>
    <w:tbl>
      <w:tblPr>
        <w:tblStyle w:val="5"/>
        <w:tblW w:w="840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30"/>
        <w:gridCol w:w="630"/>
        <w:gridCol w:w="630"/>
        <w:gridCol w:w="1785"/>
        <w:gridCol w:w="1575"/>
        <w:gridCol w:w="1575"/>
        <w:gridCol w:w="157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367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  目</w:t>
            </w:r>
          </w:p>
        </w:tc>
        <w:tc>
          <w:tcPr>
            <w:tcW w:w="472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政府性基金预算支出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890" w:type="dxa"/>
            <w:gridSpan w:val="3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功能分类科目编码</w:t>
            </w:r>
          </w:p>
        </w:tc>
        <w:tc>
          <w:tcPr>
            <w:tcW w:w="1785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功能分类科目名称</w:t>
            </w:r>
          </w:p>
        </w:tc>
        <w:tc>
          <w:tcPr>
            <w:tcW w:w="1575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小计</w:t>
            </w:r>
          </w:p>
        </w:tc>
        <w:tc>
          <w:tcPr>
            <w:tcW w:w="1575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基本支出</w:t>
            </w:r>
          </w:p>
        </w:tc>
        <w:tc>
          <w:tcPr>
            <w:tcW w:w="1575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项目支出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630" w:type="dxa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类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款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78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0"/>
                <w:szCs w:val="20"/>
                <w:u w:val="none"/>
                <w:lang w:eastAsia="zh-CN"/>
              </w:rPr>
              <w:t>合计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widowControl/>
        <w:outlineLvl w:val="1"/>
        <w:rPr>
          <w:rFonts w:hint="eastAsia"/>
          <w:lang w:eastAsia="zh-CN"/>
        </w:rPr>
        <w:sectPr>
          <w:footerReference r:id="rId3" w:type="default"/>
          <w:pgSz w:w="11906" w:h="16838"/>
          <w:pgMar w:top="2098" w:right="1418" w:bottom="1928" w:left="1588" w:header="851" w:footer="992" w:gutter="0"/>
          <w:pgNumType w:fmt="decimal"/>
          <w:cols w:space="720" w:num="1"/>
          <w:docGrid w:linePitch="312" w:charSpace="0"/>
        </w:sectPr>
      </w:pPr>
      <w:r>
        <w:rPr>
          <w:rFonts w:hint="eastAsia"/>
          <w:lang w:eastAsia="zh-CN"/>
        </w:rPr>
        <w:t>备注：吉木萨尔县</w:t>
      </w:r>
      <w:r>
        <w:rPr>
          <w:rFonts w:hint="eastAsia"/>
          <w:lang w:val="en-US" w:eastAsia="zh-CN"/>
        </w:rPr>
        <w:t>退役军人事务局2020年</w:t>
      </w:r>
      <w:r>
        <w:rPr>
          <w:rFonts w:hint="eastAsia"/>
          <w:lang w:eastAsia="zh-CN"/>
        </w:rPr>
        <w:t>未安排政府性基金预算支出，此表为空表。</w:t>
      </w:r>
    </w:p>
    <w:p>
      <w:pPr>
        <w:spacing w:line="560" w:lineRule="exact"/>
        <w:jc w:val="center"/>
        <w:rPr>
          <w:rFonts w:ascii="黑体" w:hAnsi="黑体" w:eastAsia="黑体"/>
          <w:kern w:val="0"/>
          <w:sz w:val="32"/>
          <w:szCs w:val="32"/>
        </w:rPr>
      </w:pPr>
      <w:r>
        <w:rPr>
          <w:rFonts w:hint="eastAsia" w:ascii="黑体" w:hAnsi="黑体" w:eastAsia="黑体"/>
          <w:kern w:val="0"/>
          <w:sz w:val="32"/>
          <w:szCs w:val="32"/>
        </w:rPr>
        <w:t>第三部分  2020年部门预算情况说明</w:t>
      </w:r>
    </w:p>
    <w:p>
      <w:pPr>
        <w:spacing w:line="560" w:lineRule="exact"/>
        <w:jc w:val="center"/>
        <w:rPr>
          <w:rFonts w:ascii="黑体" w:hAnsi="黑体" w:eastAsia="黑体"/>
          <w:kern w:val="0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bCs/>
          <w:kern w:val="0"/>
          <w:sz w:val="32"/>
          <w:szCs w:val="32"/>
        </w:rPr>
        <w:t>一、</w:t>
      </w:r>
      <w:r>
        <w:rPr>
          <w:rFonts w:hint="eastAsia" w:ascii="黑体" w:hAnsi="宋体" w:eastAsia="黑体" w:cs="宋体"/>
          <w:kern w:val="0"/>
          <w:sz w:val="32"/>
          <w:szCs w:val="32"/>
        </w:rPr>
        <w:t>关于</w:t>
      </w:r>
      <w:r>
        <w:rPr>
          <w:rFonts w:hint="eastAsia" w:ascii="黑体" w:hAnsi="宋体" w:eastAsia="黑体" w:cs="宋体"/>
          <w:kern w:val="0"/>
          <w:sz w:val="32"/>
          <w:szCs w:val="32"/>
          <w:lang w:eastAsia="zh-CN"/>
        </w:rPr>
        <w:t>吉木萨尔县退役军人事务局</w:t>
      </w:r>
      <w:r>
        <w:rPr>
          <w:rFonts w:hint="eastAsia" w:ascii="黑体" w:hAnsi="宋体" w:eastAsia="黑体" w:cs="宋体"/>
          <w:kern w:val="0"/>
          <w:sz w:val="32"/>
          <w:szCs w:val="32"/>
        </w:rPr>
        <w:t>2020年收支预算情况的总体说明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按照全口径预算的原则，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吉木萨尔县退役军人事务局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2020年所有收入和支出均纳入部门预算管理。收支总预算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687.59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收入预算包括：一般公共预算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687.59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支出预算包括：社会保障和就业支出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678.75万元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、卫生健康支出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8.84万元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二、关于</w:t>
      </w:r>
      <w:r>
        <w:rPr>
          <w:rFonts w:hint="eastAsia" w:ascii="黑体" w:hAnsi="宋体" w:eastAsia="黑体" w:cs="宋体"/>
          <w:kern w:val="0"/>
          <w:sz w:val="32"/>
          <w:szCs w:val="32"/>
          <w:lang w:eastAsia="zh-CN"/>
        </w:rPr>
        <w:t>吉木萨尔县退役军人事务局</w:t>
      </w:r>
      <w:r>
        <w:rPr>
          <w:rFonts w:hint="eastAsia" w:ascii="黑体" w:hAnsi="宋体" w:eastAsia="黑体" w:cs="宋体"/>
          <w:kern w:val="0"/>
          <w:sz w:val="32"/>
          <w:szCs w:val="32"/>
        </w:rPr>
        <w:t>2020年收入预算情况说明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吉木萨尔县退役军人事务局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收入预算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687.59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万元，其中：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一般公共预算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687.59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万元，占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100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%，比上年增加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687.59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万元，主要原因是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退役军人事务局为2018年年底新成立单位，无上年预算数。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   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0"/>
          <w:szCs w:val="30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政府性基金预算未安排</w:t>
      </w:r>
      <w:r>
        <w:rPr>
          <w:rFonts w:hint="eastAsia" w:ascii="仿宋_GB2312" w:hAnsi="宋体" w:eastAsia="仿宋_GB2312" w:cs="宋体"/>
          <w:kern w:val="0"/>
          <w:sz w:val="30"/>
          <w:szCs w:val="30"/>
        </w:rPr>
        <w:t>。</w:t>
      </w:r>
    </w:p>
    <w:p>
      <w:pPr>
        <w:spacing w:line="560" w:lineRule="exact"/>
        <w:ind w:firstLine="600" w:firstLineChars="200"/>
        <w:rPr>
          <w:rFonts w:ascii="黑体" w:hAnsi="宋体" w:eastAsia="黑体" w:cs="宋体"/>
          <w:kern w:val="0"/>
          <w:sz w:val="30"/>
          <w:szCs w:val="30"/>
        </w:rPr>
      </w:pPr>
      <w:r>
        <w:rPr>
          <w:rFonts w:hint="eastAsia" w:ascii="黑体" w:hAnsi="宋体" w:eastAsia="黑体" w:cs="宋体"/>
          <w:kern w:val="0"/>
          <w:sz w:val="30"/>
          <w:szCs w:val="30"/>
        </w:rPr>
        <w:t>三、关于</w:t>
      </w:r>
      <w:r>
        <w:rPr>
          <w:rFonts w:hint="eastAsia" w:ascii="黑体" w:hAnsi="宋体" w:eastAsia="黑体" w:cs="宋体"/>
          <w:kern w:val="0"/>
          <w:sz w:val="30"/>
          <w:szCs w:val="30"/>
          <w:lang w:eastAsia="zh-CN"/>
        </w:rPr>
        <w:t>吉木萨尔县退役军人事务局</w:t>
      </w:r>
      <w:r>
        <w:rPr>
          <w:rFonts w:hint="eastAsia" w:ascii="黑体" w:hAnsi="宋体" w:eastAsia="黑体" w:cs="宋体"/>
          <w:kern w:val="0"/>
          <w:sz w:val="30"/>
          <w:szCs w:val="30"/>
        </w:rPr>
        <w:t>2020年支出预算情况说明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吉木萨尔县退役军人事务局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2020年支出预算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687.59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万元，其中：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基本支出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687.59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万元，占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100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%，比上年增加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687.59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万元，主要原因是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退役军人事务局为2018年年底新成立单位，无上年预算数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；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项目支出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万元，占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%，比上年增加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0万元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，主要原因是无项目支出预算。</w:t>
      </w:r>
    </w:p>
    <w:p>
      <w:pPr>
        <w:spacing w:line="560" w:lineRule="exact"/>
        <w:ind w:firstLine="640" w:firstLineChars="200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hint="eastAsia" w:ascii="黑体" w:hAnsi="黑体" w:eastAsia="黑体" w:cs="宋体"/>
          <w:bCs/>
          <w:kern w:val="0"/>
          <w:sz w:val="32"/>
          <w:szCs w:val="32"/>
        </w:rPr>
        <w:t>四、关于</w:t>
      </w:r>
      <w:r>
        <w:rPr>
          <w:rFonts w:hint="eastAsia" w:ascii="黑体" w:hAnsi="黑体" w:eastAsia="黑体" w:cs="宋体"/>
          <w:bCs/>
          <w:kern w:val="0"/>
          <w:sz w:val="32"/>
          <w:szCs w:val="32"/>
          <w:lang w:eastAsia="zh-CN"/>
        </w:rPr>
        <w:t>吉木萨尔县退役军人事务局</w:t>
      </w:r>
      <w:r>
        <w:rPr>
          <w:rFonts w:hint="eastAsia" w:ascii="黑体" w:hAnsi="黑体" w:eastAsia="黑体" w:cs="宋体"/>
          <w:bCs/>
          <w:kern w:val="0"/>
          <w:sz w:val="32"/>
          <w:szCs w:val="32"/>
        </w:rPr>
        <w:t>2020年财政拨款收支预算情况的总体说明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spacing w:val="-4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2020年财政拨款收支总预算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687.59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</w:t>
      </w:r>
    </w:p>
    <w:p>
      <w:pPr>
        <w:spacing w:line="560" w:lineRule="exact"/>
        <w:ind w:firstLine="616" w:firstLineChars="200"/>
        <w:rPr>
          <w:rFonts w:ascii="仿宋_GB2312" w:hAnsi="宋体" w:eastAsia="仿宋_GB2312" w:cs="宋体"/>
          <w:b/>
          <w:spacing w:val="-6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spacing w:val="-6"/>
          <w:kern w:val="0"/>
          <w:sz w:val="32"/>
          <w:szCs w:val="32"/>
        </w:rPr>
        <w:t>收入全部为一般公共预算拨款，无政府性基金预算拨款。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40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支出预算包括：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社会保障和就业支出678.75万元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，主要用于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退役军人事务局职工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工资、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机关养老保险、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办公费、社保、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优抚金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40"/>
        <w:textAlignment w:val="auto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卫生健康支出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8.84万元，主要用于职工医疗保险支出。</w:t>
      </w:r>
    </w:p>
    <w:p>
      <w:pPr>
        <w:spacing w:line="560" w:lineRule="exact"/>
        <w:ind w:firstLine="640" w:firstLineChars="200"/>
        <w:rPr>
          <w:rFonts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五、关于</w:t>
      </w:r>
      <w:r>
        <w:rPr>
          <w:rFonts w:hint="eastAsia" w:ascii="黑体" w:hAnsi="宋体" w:eastAsia="黑体" w:cs="宋体"/>
          <w:kern w:val="0"/>
          <w:sz w:val="32"/>
          <w:szCs w:val="32"/>
          <w:lang w:eastAsia="zh-CN"/>
        </w:rPr>
        <w:t>吉木萨尔县退役军人事务局</w:t>
      </w:r>
      <w:r>
        <w:rPr>
          <w:rFonts w:hint="eastAsia" w:ascii="黑体" w:hAnsi="宋体" w:eastAsia="黑体" w:cs="宋体"/>
          <w:kern w:val="0"/>
          <w:sz w:val="32"/>
          <w:szCs w:val="32"/>
        </w:rPr>
        <w:t>2020年一般公共预算当年拨款情况说明</w:t>
      </w:r>
    </w:p>
    <w:p>
      <w:pPr>
        <w:spacing w:line="560" w:lineRule="exact"/>
        <w:ind w:firstLine="643" w:firstLineChars="200"/>
        <w:rPr>
          <w:rFonts w:ascii="楷体_GB2312" w:hAnsi="宋体" w:eastAsia="楷体_GB2312" w:cs="宋体"/>
          <w:b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</w:rPr>
        <w:t>（一）一般公用预算当年拨款规模变化情况</w:t>
      </w:r>
    </w:p>
    <w:p>
      <w:pPr>
        <w:spacing w:line="560" w:lineRule="exact"/>
        <w:ind w:firstLine="640" w:firstLineChars="200"/>
        <w:rPr>
          <w:rFonts w:hint="default" w:ascii="仿宋_GB2312" w:hAnsi="宋体" w:eastAsia="仿宋_GB2312" w:cs="宋体"/>
          <w:kern w:val="0"/>
          <w:sz w:val="32"/>
          <w:szCs w:val="32"/>
          <w:lang w:val="en-US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吉木萨尔县退役军人事务局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2020年一般公共预算拨款基本支出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687.59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万元，比上年执行数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增加687.59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增长100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%。主要原因是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退役军人事务局为2018年年底新成立单位，无上年执行数。</w:t>
      </w:r>
    </w:p>
    <w:p>
      <w:pPr>
        <w:spacing w:line="560" w:lineRule="exact"/>
        <w:ind w:firstLine="643" w:firstLineChars="200"/>
        <w:rPr>
          <w:rFonts w:ascii="楷体_GB2312" w:hAnsi="宋体" w:eastAsia="楷体_GB2312" w:cs="宋体"/>
          <w:b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</w:rPr>
        <w:t>（二）一般公共预算当年拨款结构情况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40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1.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社会保障和就业支出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(类）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678.75万元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98.71%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40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2.卫生健康支出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(类）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8.84万元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，占1.29%。</w:t>
      </w:r>
    </w:p>
    <w:p>
      <w:pPr>
        <w:spacing w:line="560" w:lineRule="exact"/>
        <w:ind w:firstLine="643" w:firstLineChars="200"/>
        <w:rPr>
          <w:rFonts w:ascii="楷体_GB2312" w:hAnsi="宋体" w:eastAsia="楷体_GB2312" w:cs="宋体"/>
          <w:b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</w:rPr>
        <w:t>（三）一般公共预算当年拨款具体使用情况</w:t>
      </w:r>
    </w:p>
    <w:p>
      <w:pPr>
        <w:widowControl/>
        <w:spacing w:line="520" w:lineRule="exact"/>
        <w:ind w:firstLine="640"/>
        <w:jc w:val="left"/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1.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社会保障和就业支出(类）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行政事业单位养老支出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(款)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机关事业单位基本养老保险缴费支出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(项)：20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20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年预算数为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8.83万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元，比上年执行数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增加8.83万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100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%，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主要原因是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退役军人事务局为2018年年底新成立单位，无上年预算数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。</w:t>
      </w:r>
    </w:p>
    <w:p>
      <w:pPr>
        <w:widowControl/>
        <w:spacing w:line="520" w:lineRule="exact"/>
        <w:ind w:firstLine="640"/>
        <w:jc w:val="left"/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2.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社会保障和就业支出(类）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行政事业单位养老支出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(款)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机关事业单位职业年金缴费支出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(项)：20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20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年预算数为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4.1万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元，比上年执行数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增加4.1万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增长100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%，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主要原因是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退役军人事务局为2018年年底新成立单位，无上年预算数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。</w:t>
      </w:r>
    </w:p>
    <w:p>
      <w:pPr>
        <w:widowControl/>
        <w:spacing w:line="520" w:lineRule="exact"/>
        <w:ind w:firstLine="640"/>
        <w:jc w:val="left"/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3.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社会保障和就业支出(类）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抚恤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(款)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伤残抚恤支出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(项)：20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20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年预算数为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94.02万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元，比上年执行数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增加94.02万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增长100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%，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主要原因是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退役军人事务局为2018年年底新成立单位，无上年预算数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。</w:t>
      </w:r>
    </w:p>
    <w:p>
      <w:pPr>
        <w:widowControl/>
        <w:spacing w:line="520" w:lineRule="exact"/>
        <w:ind w:firstLine="640"/>
        <w:jc w:val="left"/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4.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社会保障和就业支出(类）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抚恤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(款)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农村籍退役士兵老年生活补助支出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(项)：20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20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年预算数为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318.14万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元，比上年执行数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增加318.14万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增长100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%，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主要原因是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退役军人事务局为2018年年底新成立单位，无上年预算数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。</w:t>
      </w:r>
    </w:p>
    <w:p>
      <w:pPr>
        <w:widowControl/>
        <w:spacing w:line="520" w:lineRule="exact"/>
        <w:ind w:firstLine="640"/>
        <w:jc w:val="left"/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5.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社会保障和就业支出(类）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抚恤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(款)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其他优抚支出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(项)：20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20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年预算数为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18.54万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元，比上年执行数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增加18.54万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增长100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%，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主要原因是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退役军人事务局为2018年年底新成立单位，无上年预算数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。</w:t>
      </w:r>
    </w:p>
    <w:p>
      <w:pPr>
        <w:widowControl/>
        <w:spacing w:line="520" w:lineRule="exact"/>
        <w:ind w:firstLine="640"/>
        <w:jc w:val="left"/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6.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社会保障和就业支出(类）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09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(款)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02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(项)：20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20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年预算数为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13.69万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元，比上年执行数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增加13.69万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增长100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%，主要原因是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退役军人事务局为2018年年底新成立单位，无上年预算数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。</w:t>
      </w:r>
    </w:p>
    <w:p>
      <w:pPr>
        <w:widowControl/>
        <w:spacing w:line="520" w:lineRule="exact"/>
        <w:ind w:firstLine="640"/>
        <w:jc w:val="left"/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7.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社会保障和就业支出(类）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09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(款)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05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(项)：20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20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年预算数为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110.84万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元，比上年执行数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增加110.84万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增长100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%，主要原因是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退役军人事务局为2018年年底新成立单位，无上年预算数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。</w:t>
      </w:r>
    </w:p>
    <w:p>
      <w:pPr>
        <w:widowControl/>
        <w:spacing w:line="520" w:lineRule="exact"/>
        <w:ind w:firstLine="640"/>
        <w:jc w:val="left"/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8.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社会保障和就业支出(类）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临时救助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(款)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临时救助支出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(项)：20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20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年预算数为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0.17万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元，比上年执行数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增加0.17万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增长100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%，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主要原因是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退役军人事务局为2018年年底新成立单位，无上年预算数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。</w:t>
      </w:r>
    </w:p>
    <w:p>
      <w:pPr>
        <w:widowControl/>
        <w:spacing w:line="520" w:lineRule="exact"/>
        <w:ind w:firstLine="640"/>
        <w:jc w:val="left"/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9.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社会保障和就业支出(类）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退役军人管理事务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(款)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行政运行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(项)：20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20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年预算数为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54.4万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元，比上年执行数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增加54.4万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增长100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%，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主要原因是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退役军人事务局为2018年年底新成立单位，无上年预算数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。</w:t>
      </w:r>
    </w:p>
    <w:p>
      <w:pPr>
        <w:widowControl/>
        <w:spacing w:line="520" w:lineRule="exact"/>
        <w:ind w:firstLine="640"/>
        <w:jc w:val="left"/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10.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社会保障和就业支出(类）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退役军人管理事务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(款)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拥军优属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(项)：20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20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年预算数为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20万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元，比上年执行数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增加20万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增长100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%，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主要原因是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退役军人事务局为2018年年底新成立单位，无上年预算数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。</w:t>
      </w:r>
    </w:p>
    <w:p>
      <w:pPr>
        <w:widowControl/>
        <w:spacing w:line="520" w:lineRule="exact"/>
        <w:ind w:firstLine="640"/>
        <w:jc w:val="left"/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11.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社会保障和就业支出(类）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退役军人管理事务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(款)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事业运行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(项)：20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20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年预算数为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36.02万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元，比上年执行数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增加36.02万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增长100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%，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主要原因是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退役军人事务局为2018年年底新成立单位，无上年预算数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。</w:t>
      </w:r>
    </w:p>
    <w:p>
      <w:pPr>
        <w:widowControl/>
        <w:spacing w:line="520" w:lineRule="exact"/>
        <w:ind w:firstLine="640"/>
        <w:jc w:val="left"/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12.卫生健康支出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(类）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行政事业单位医疗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(款)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行政单位医疗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(项)：20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20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年预算数为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3.26万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元，比上年执行数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增加3.26万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增长100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%，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主要原因是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退役军人事务局为2018年年底新成立单位，无上年预算数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。</w:t>
      </w:r>
    </w:p>
    <w:p>
      <w:pPr>
        <w:widowControl/>
        <w:spacing w:line="520" w:lineRule="exact"/>
        <w:ind w:firstLine="640"/>
        <w:jc w:val="left"/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13.卫生健康支出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(类）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行政事业单位医疗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(款)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事业单位医疗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(项)：20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20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年预算数为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1.99万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元，比上年执行数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增加1.99万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增长100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%，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主要原因是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退役军人事务局为2018年年底新成立单位，无上年预算数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。</w:t>
      </w:r>
    </w:p>
    <w:p>
      <w:pPr>
        <w:widowControl/>
        <w:spacing w:line="520" w:lineRule="exact"/>
        <w:ind w:firstLine="640"/>
        <w:jc w:val="left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14.卫生健康支出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(类）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行政事业单位医疗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(款)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公务员医疗补助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(项)：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2020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年预算数为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3.59万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元，比上年执行数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增加3.59万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增长100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%，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主要原因是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退役军人事务局为2018年年底新成立单位，无上年预算数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六、关于</w:t>
      </w:r>
      <w:r>
        <w:rPr>
          <w:rFonts w:hint="eastAsia" w:ascii="黑体" w:hAnsi="宋体" w:eastAsia="黑体" w:cs="宋体"/>
          <w:kern w:val="0"/>
          <w:sz w:val="32"/>
          <w:szCs w:val="32"/>
          <w:lang w:eastAsia="zh-CN"/>
        </w:rPr>
        <w:t>吉木萨尔县退役军人事务局</w:t>
      </w:r>
      <w:r>
        <w:rPr>
          <w:rFonts w:hint="eastAsia" w:ascii="黑体" w:hAnsi="宋体" w:eastAsia="黑体" w:cs="宋体"/>
          <w:kern w:val="0"/>
          <w:sz w:val="32"/>
          <w:szCs w:val="32"/>
        </w:rPr>
        <w:t>2020年一般公共预算基本支出情况说明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吉木萨尔县退役军人事务局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2020年一般公共预算基本支出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687.59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万元，其中：</w:t>
      </w:r>
    </w:p>
    <w:p>
      <w:pPr>
        <w:widowControl/>
        <w:spacing w:line="580" w:lineRule="exact"/>
        <w:ind w:firstLine="64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人员经费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663.91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万元，主要包括：基本工资、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津贴补贴、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奖金、绩效工资、机关事业单位基本养老保险缴费、职业年金缴费、职工基本医疗保险缴费、公务员医疗补助缴费、其他社会保障缴费、住房公积金、其他工资福利支出、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抚恤金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、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生活补助、救济费、其他对个人和家庭的补助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。</w:t>
      </w:r>
    </w:p>
    <w:p>
      <w:pPr>
        <w:widowControl/>
        <w:spacing w:line="580" w:lineRule="exact"/>
        <w:ind w:firstLine="64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公用经费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23.68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万元，主要包括：办公费、培训费、工会经费、其他商品和服务支出。</w:t>
      </w:r>
    </w:p>
    <w:p>
      <w:pPr>
        <w:spacing w:line="560" w:lineRule="exact"/>
        <w:ind w:firstLine="640" w:firstLineChars="200"/>
        <w:rPr>
          <w:rFonts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七、关于</w:t>
      </w:r>
      <w:r>
        <w:rPr>
          <w:rFonts w:hint="eastAsia" w:ascii="黑体" w:hAnsi="宋体" w:eastAsia="黑体" w:cs="宋体"/>
          <w:kern w:val="0"/>
          <w:sz w:val="32"/>
          <w:szCs w:val="32"/>
          <w:lang w:eastAsia="zh-CN"/>
        </w:rPr>
        <w:t>吉木萨尔县退役军人事务局</w:t>
      </w:r>
      <w:r>
        <w:rPr>
          <w:rFonts w:hint="eastAsia" w:ascii="黑体" w:hAnsi="宋体" w:eastAsia="黑体" w:cs="宋体"/>
          <w:kern w:val="0"/>
          <w:sz w:val="32"/>
          <w:szCs w:val="32"/>
          <w:lang w:val="en-US" w:eastAsia="zh-CN"/>
        </w:rPr>
        <w:t>2020</w:t>
      </w:r>
      <w:r>
        <w:rPr>
          <w:rFonts w:hint="eastAsia" w:ascii="黑体" w:hAnsi="宋体" w:eastAsia="黑体" w:cs="宋体"/>
          <w:kern w:val="0"/>
          <w:sz w:val="32"/>
          <w:szCs w:val="32"/>
        </w:rPr>
        <w:t>年项目支出情况说明</w:t>
      </w:r>
    </w:p>
    <w:p>
      <w:pPr>
        <w:spacing w:line="560" w:lineRule="exact"/>
        <w:ind w:firstLine="640" w:firstLineChars="200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本单位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2020</w:t>
      </w:r>
      <w:r>
        <w:rPr>
          <w:rFonts w:hint="eastAsia" w:ascii="仿宋_GB2312" w:hAnsi="黑体" w:eastAsia="仿宋_GB2312"/>
          <w:sz w:val="32"/>
          <w:szCs w:val="32"/>
        </w:rPr>
        <w:t>年无项目支出预算，项目支出情况表为空表。</w:t>
      </w:r>
    </w:p>
    <w:p>
      <w:pPr>
        <w:spacing w:line="560" w:lineRule="exact"/>
        <w:ind w:firstLine="640" w:firstLineChars="200"/>
        <w:rPr>
          <w:rFonts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八、关于</w:t>
      </w:r>
      <w:r>
        <w:rPr>
          <w:rFonts w:hint="eastAsia" w:ascii="黑体" w:hAnsi="宋体" w:eastAsia="黑体" w:cs="宋体"/>
          <w:kern w:val="0"/>
          <w:sz w:val="32"/>
          <w:szCs w:val="32"/>
          <w:lang w:eastAsia="zh-CN"/>
        </w:rPr>
        <w:t>吉木萨尔县退役军人事务局</w:t>
      </w:r>
      <w:r>
        <w:rPr>
          <w:rFonts w:hint="eastAsia" w:ascii="黑体" w:hAnsi="宋体" w:eastAsia="黑体" w:cs="宋体"/>
          <w:kern w:val="0"/>
          <w:sz w:val="32"/>
          <w:szCs w:val="32"/>
        </w:rPr>
        <w:t>2020年一般公共预算“三公”经费预算情况说明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吉木萨尔县退役军人事务局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2020年“三公”经费财政拨款预算数为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万元，其中：因公出国（境）费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万元，公务用车购置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万元，公务用车运行费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万元，公务接待费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2020年“三公”经费财政拨款预算比上年增加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 万元，其中：因公出国（境）费增加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万元，主要原因是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退役军人事务局为2018年年底新成立单位，无上年预算数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；公务用车购置费为0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万元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，未安排预算。公务用车运行费增加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万元，主要原因是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退役军人事务局为2018年年底新成立单位，无上年预算数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；公务接待费增加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万元，主要原因是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退役军人事务局为2018年年底新成立单位，无上年预算数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九、关于</w:t>
      </w:r>
      <w:r>
        <w:rPr>
          <w:rFonts w:hint="eastAsia" w:ascii="黑体" w:hAnsi="宋体" w:eastAsia="黑体" w:cs="宋体"/>
          <w:kern w:val="0"/>
          <w:sz w:val="32"/>
          <w:szCs w:val="32"/>
          <w:lang w:eastAsia="zh-CN"/>
        </w:rPr>
        <w:t>吉木萨尔县退役军人事务局</w:t>
      </w:r>
      <w:r>
        <w:rPr>
          <w:rFonts w:hint="eastAsia" w:ascii="黑体" w:hAnsi="宋体" w:eastAsia="黑体" w:cs="宋体"/>
          <w:kern w:val="0"/>
          <w:sz w:val="32"/>
          <w:szCs w:val="32"/>
        </w:rPr>
        <w:t>2020年政府性基金预算拨款情况说明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吉木萨尔县退役军人事务局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2020年没有使用政府性基金预算拨款安排的支出，政府性基金预算支出情况表为空表。</w:t>
      </w:r>
    </w:p>
    <w:p>
      <w:pPr>
        <w:spacing w:line="560" w:lineRule="exact"/>
        <w:ind w:firstLine="640" w:firstLineChars="200"/>
        <w:rPr>
          <w:rFonts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十、其他重要事项的情况说明</w:t>
      </w:r>
    </w:p>
    <w:p>
      <w:pPr>
        <w:spacing w:line="560" w:lineRule="exact"/>
        <w:ind w:firstLine="643" w:firstLineChars="200"/>
        <w:rPr>
          <w:rFonts w:ascii="楷体_GB2312" w:hAnsi="宋体" w:eastAsia="楷体_GB2312" w:cs="宋体"/>
          <w:b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</w:rPr>
        <w:t>（一）机关运行经费情况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2020年，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吉木萨尔县退役军人事务局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本级及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下属0家行政单位和0家事业单位的机关运行经费财政拨款预算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23.68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万元，比上年预算增加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23.68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万元，增长100%。主要原因是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退役军人事务局为2018年年底新成立单位，无上年预算数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。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 </w:t>
      </w:r>
    </w:p>
    <w:p>
      <w:pPr>
        <w:spacing w:line="560" w:lineRule="exact"/>
        <w:ind w:firstLine="643" w:firstLineChars="200"/>
        <w:rPr>
          <w:rFonts w:ascii="楷体_GB2312" w:hAnsi="宋体" w:eastAsia="楷体_GB2312" w:cs="宋体"/>
          <w:b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</w:rPr>
        <w:t>（二）政府采购情况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2020年，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吉木萨尔县退役军人事务局及下属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单位政府采购预算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万元，其中：政府采购货物预算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万元，政府采购工程预算 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万元，政府采购服务预算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仿宋_GB2312" w:eastAsia="仿宋_GB2312"/>
          <w:sz w:val="32"/>
        </w:rPr>
        <w:t>2020年度本部门面向中小企业预留政府采购项目预算金额</w:t>
      </w:r>
      <w:r>
        <w:rPr>
          <w:rFonts w:hint="eastAsia" w:ascii="仿宋_GB2312" w:hAnsi="仿宋_GB2312" w:eastAsia="仿宋_GB2312"/>
          <w:sz w:val="32"/>
          <w:lang w:val="en-US" w:eastAsia="zh-CN"/>
        </w:rPr>
        <w:t>0</w:t>
      </w:r>
      <w:r>
        <w:rPr>
          <w:rFonts w:hint="eastAsia" w:ascii="仿宋_GB2312" w:hAnsi="仿宋_GB2312" w:eastAsia="仿宋_GB2312"/>
          <w:sz w:val="32"/>
        </w:rPr>
        <w:t>万元，其中：面向小微企业预留政府采购项目预算金额</w:t>
      </w:r>
      <w:r>
        <w:rPr>
          <w:rFonts w:hint="eastAsia" w:ascii="仿宋_GB2312" w:hAnsi="仿宋_GB2312" w:eastAsia="仿宋_GB2312"/>
          <w:sz w:val="32"/>
          <w:lang w:val="en-US" w:eastAsia="zh-CN"/>
        </w:rPr>
        <w:t>0</w:t>
      </w:r>
      <w:r>
        <w:rPr>
          <w:rFonts w:hint="eastAsia" w:ascii="仿宋_GB2312" w:hAnsi="仿宋_GB2312" w:eastAsia="仿宋_GB2312"/>
          <w:sz w:val="32"/>
        </w:rPr>
        <w:t>万元。</w:t>
      </w:r>
    </w:p>
    <w:p>
      <w:pPr>
        <w:spacing w:line="560" w:lineRule="exact"/>
        <w:ind w:firstLine="643" w:firstLineChars="200"/>
        <w:rPr>
          <w:rFonts w:ascii="楷体_GB2312" w:hAnsi="宋体" w:eastAsia="楷体_GB2312" w:cs="宋体"/>
          <w:b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</w:rPr>
        <w:t>（三）国有资产占用使用情况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截至2019年底，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吉木萨尔县退役军人事务局及下属各预算单位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占用使用国有资产总体情况为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：</w:t>
      </w:r>
    </w:p>
    <w:p>
      <w:pPr>
        <w:numPr>
          <w:numId w:val="0"/>
        </w:numPr>
        <w:spacing w:line="560" w:lineRule="exact"/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.房屋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:0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平方米，价值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（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与应急管理局共同使用一座办公楼，房屋产权归应急管理局所有）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2.车辆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辆，价值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万元；其中：一般公务用车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辆，价值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万元；执法执勤用车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辆，价值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万元；其他车辆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辆，价值 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3.办公家具价值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16.85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4.其他资产价值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单位价值50万元以上大型设备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台（套），单位价值100万元以上大型设备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台（套）。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2020年部门预算未安排购置车辆经费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安排购置50万元以上大型设备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台（套），单位价值100万元以上大型设备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台（套）。</w:t>
      </w:r>
    </w:p>
    <w:p>
      <w:pPr>
        <w:spacing w:line="560" w:lineRule="exact"/>
        <w:ind w:firstLine="643" w:firstLineChars="200"/>
        <w:rPr>
          <w:rFonts w:ascii="楷体_GB2312" w:hAnsi="宋体" w:eastAsia="楷体_GB2312" w:cs="宋体"/>
          <w:b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</w:rPr>
        <w:t>（四）预算绩效情况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2020年度，本年度实行绩效管理的项目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个，涉及预算金额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万元。具体情况见下表（按项目分别填报）：</w:t>
      </w:r>
    </w:p>
    <w:p>
      <w:pPr>
        <w:widowControl/>
        <w:spacing w:line="600" w:lineRule="exact"/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   </w:t>
      </w:r>
    </w:p>
    <w:p>
      <w:pPr>
        <w:widowControl/>
        <w:spacing w:line="560" w:lineRule="exact"/>
        <w:jc w:val="left"/>
        <w:rPr>
          <w:rFonts w:ascii="楷体_GB2312" w:hAnsi="宋体" w:eastAsia="楷体_GB2312" w:cs="宋体"/>
          <w:b/>
          <w:kern w:val="0"/>
          <w:sz w:val="32"/>
          <w:szCs w:val="32"/>
        </w:rPr>
        <w:sectPr>
          <w:pgSz w:w="11906" w:h="16838"/>
          <w:pgMar w:top="1440" w:right="1800" w:bottom="1440" w:left="1800" w:header="851" w:footer="992" w:gutter="0"/>
          <w:pgNumType w:fmt="decimal"/>
          <w:cols w:space="720" w:num="1"/>
          <w:docGrid w:type="lines" w:linePitch="312" w:charSpace="0"/>
        </w:sectPr>
      </w:pPr>
    </w:p>
    <w:tbl>
      <w:tblPr>
        <w:tblStyle w:val="5"/>
        <w:tblpPr w:leftFromText="180" w:rightFromText="180" w:vertAnchor="text" w:horzAnchor="page" w:tblpXSpec="center" w:tblpY="1295"/>
        <w:tblOverlap w:val="never"/>
        <w:tblW w:w="1018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1"/>
        <w:gridCol w:w="1353"/>
        <w:gridCol w:w="1"/>
        <w:gridCol w:w="1212"/>
        <w:gridCol w:w="366"/>
        <w:gridCol w:w="848"/>
        <w:gridCol w:w="236"/>
        <w:gridCol w:w="235"/>
        <w:gridCol w:w="1404"/>
        <w:gridCol w:w="181"/>
        <w:gridCol w:w="1"/>
        <w:gridCol w:w="825"/>
        <w:gridCol w:w="1562"/>
        <w:gridCol w:w="181"/>
        <w:gridCol w:w="18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" w:hRule="atLeast"/>
          <w:jc w:val="center"/>
        </w:trPr>
        <w:tc>
          <w:tcPr>
            <w:tcW w:w="10188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ind w:firstLine="1928" w:firstLineChars="600"/>
              <w:jc w:val="both"/>
              <w:outlineLvl w:val="1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32"/>
                <w:szCs w:val="32"/>
              </w:rPr>
              <w:t>项  目  支  出  绩  效  目  标  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" w:hRule="atLeast"/>
          <w:jc w:val="center"/>
        </w:trPr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38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" w:hRule="atLeast"/>
          <w:jc w:val="center"/>
        </w:trPr>
        <w:tc>
          <w:tcPr>
            <w:tcW w:w="1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预算单位</w:t>
            </w:r>
          </w:p>
        </w:tc>
        <w:tc>
          <w:tcPr>
            <w:tcW w:w="425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吉木萨尔县退役军人事务局</w:t>
            </w:r>
          </w:p>
        </w:tc>
        <w:tc>
          <w:tcPr>
            <w:tcW w:w="14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293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" w:hRule="atLeast"/>
          <w:jc w:val="center"/>
        </w:trPr>
        <w:tc>
          <w:tcPr>
            <w:tcW w:w="16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3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年度资金总额：</w:t>
            </w:r>
          </w:p>
        </w:tc>
        <w:tc>
          <w:tcPr>
            <w:tcW w:w="157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3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其中：财政拨款</w:t>
            </w:r>
          </w:p>
        </w:tc>
        <w:tc>
          <w:tcPr>
            <w:tcW w:w="1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00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92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" w:hRule="atLeast"/>
          <w:jc w:val="center"/>
        </w:trPr>
        <w:tc>
          <w:tcPr>
            <w:tcW w:w="16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项目总体目标</w:t>
            </w:r>
          </w:p>
        </w:tc>
        <w:tc>
          <w:tcPr>
            <w:tcW w:w="8587" w:type="dxa"/>
            <w:gridSpan w:val="1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" w:hRule="atLeast"/>
          <w:jc w:val="center"/>
        </w:trPr>
        <w:tc>
          <w:tcPr>
            <w:tcW w:w="16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35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4484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2750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指标值（包含数字及文字描述）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" w:hRule="atLeast"/>
          <w:jc w:val="center"/>
        </w:trPr>
        <w:tc>
          <w:tcPr>
            <w:tcW w:w="1601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项目完成指标</w:t>
            </w:r>
          </w:p>
        </w:tc>
        <w:tc>
          <w:tcPr>
            <w:tcW w:w="1353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4484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750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" w:hRule="atLeast"/>
          <w:jc w:val="center"/>
        </w:trPr>
        <w:tc>
          <w:tcPr>
            <w:tcW w:w="1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484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750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" w:hRule="atLeast"/>
          <w:jc w:val="center"/>
        </w:trPr>
        <w:tc>
          <w:tcPr>
            <w:tcW w:w="1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53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4484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750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" w:hRule="atLeast"/>
          <w:jc w:val="center"/>
        </w:trPr>
        <w:tc>
          <w:tcPr>
            <w:tcW w:w="1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484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750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" w:hRule="atLeast"/>
          <w:jc w:val="center"/>
        </w:trPr>
        <w:tc>
          <w:tcPr>
            <w:tcW w:w="1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53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4484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750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" w:hRule="atLeast"/>
          <w:jc w:val="center"/>
        </w:trPr>
        <w:tc>
          <w:tcPr>
            <w:tcW w:w="1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484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750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" w:hRule="atLeast"/>
          <w:jc w:val="center"/>
        </w:trPr>
        <w:tc>
          <w:tcPr>
            <w:tcW w:w="1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53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4484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750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" w:hRule="atLeast"/>
          <w:jc w:val="center"/>
        </w:trPr>
        <w:tc>
          <w:tcPr>
            <w:tcW w:w="1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484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750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" w:hRule="atLeast"/>
          <w:jc w:val="center"/>
        </w:trPr>
        <w:tc>
          <w:tcPr>
            <w:tcW w:w="1601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项目效益指标</w:t>
            </w:r>
          </w:p>
        </w:tc>
        <w:tc>
          <w:tcPr>
            <w:tcW w:w="1353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经济效益指标</w:t>
            </w:r>
          </w:p>
        </w:tc>
        <w:tc>
          <w:tcPr>
            <w:tcW w:w="4484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750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" w:hRule="atLeast"/>
          <w:jc w:val="center"/>
        </w:trPr>
        <w:tc>
          <w:tcPr>
            <w:tcW w:w="1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484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750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" w:hRule="atLeast"/>
          <w:jc w:val="center"/>
        </w:trPr>
        <w:tc>
          <w:tcPr>
            <w:tcW w:w="1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53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4484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750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" w:hRule="atLeast"/>
          <w:jc w:val="center"/>
        </w:trPr>
        <w:tc>
          <w:tcPr>
            <w:tcW w:w="1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484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750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" w:hRule="atLeast"/>
          <w:jc w:val="center"/>
        </w:trPr>
        <w:tc>
          <w:tcPr>
            <w:tcW w:w="1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53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4484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750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" w:hRule="atLeast"/>
          <w:jc w:val="center"/>
        </w:trPr>
        <w:tc>
          <w:tcPr>
            <w:tcW w:w="1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484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750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" w:hRule="atLeast"/>
          <w:jc w:val="center"/>
        </w:trPr>
        <w:tc>
          <w:tcPr>
            <w:tcW w:w="1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53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生态效益指标</w:t>
            </w:r>
          </w:p>
        </w:tc>
        <w:tc>
          <w:tcPr>
            <w:tcW w:w="4484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750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" w:hRule="atLeast"/>
          <w:jc w:val="center"/>
        </w:trPr>
        <w:tc>
          <w:tcPr>
            <w:tcW w:w="1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484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750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" w:hRule="atLeast"/>
          <w:jc w:val="center"/>
        </w:trPr>
        <w:tc>
          <w:tcPr>
            <w:tcW w:w="1601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满意度指标</w:t>
            </w:r>
          </w:p>
        </w:tc>
        <w:tc>
          <w:tcPr>
            <w:tcW w:w="1353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满意度指标</w:t>
            </w:r>
          </w:p>
        </w:tc>
        <w:tc>
          <w:tcPr>
            <w:tcW w:w="4484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750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" w:hRule="atLeast"/>
          <w:jc w:val="center"/>
        </w:trPr>
        <w:tc>
          <w:tcPr>
            <w:tcW w:w="16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484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750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</w:tbl>
    <w:p>
      <w:pPr>
        <w:widowControl/>
        <w:spacing w:line="520" w:lineRule="exact"/>
        <w:jc w:val="left"/>
        <w:rPr>
          <w:rFonts w:hint="eastAsia" w:ascii="楷体_GB2312" w:hAnsi="宋体" w:eastAsia="楷体_GB2312" w:cs="宋体"/>
          <w:b/>
          <w:kern w:val="0"/>
          <w:sz w:val="32"/>
          <w:szCs w:val="32"/>
        </w:rPr>
      </w:pPr>
    </w:p>
    <w:p>
      <w:pPr>
        <w:widowControl/>
        <w:spacing w:line="520" w:lineRule="exact"/>
        <w:ind w:firstLine="630" w:firstLineChars="196"/>
        <w:jc w:val="left"/>
        <w:rPr>
          <w:rFonts w:hint="eastAsia" w:ascii="楷体_GB2312" w:hAnsi="宋体" w:eastAsia="楷体_GB2312" w:cs="宋体"/>
          <w:b/>
          <w:kern w:val="0"/>
          <w:sz w:val="32"/>
          <w:szCs w:val="32"/>
        </w:rPr>
      </w:pPr>
      <w:bookmarkStart w:id="0" w:name="_GoBack"/>
      <w:bookmarkEnd w:id="0"/>
    </w:p>
    <w:p>
      <w:pPr>
        <w:widowControl/>
        <w:spacing w:line="520" w:lineRule="exact"/>
        <w:ind w:firstLine="630" w:firstLineChars="196"/>
        <w:jc w:val="left"/>
        <w:rPr>
          <w:rFonts w:hint="eastAsia" w:ascii="楷体_GB2312" w:hAnsi="宋体" w:eastAsia="楷体_GB2312" w:cs="宋体"/>
          <w:b/>
          <w:kern w:val="0"/>
          <w:sz w:val="32"/>
          <w:szCs w:val="32"/>
        </w:rPr>
      </w:pPr>
    </w:p>
    <w:p>
      <w:pPr>
        <w:widowControl/>
        <w:spacing w:line="520" w:lineRule="exact"/>
        <w:ind w:firstLine="630" w:firstLineChars="196"/>
        <w:jc w:val="left"/>
        <w:rPr>
          <w:rFonts w:hint="eastAsia" w:ascii="楷体_GB2312" w:hAnsi="宋体" w:eastAsia="楷体_GB2312" w:cs="宋体"/>
          <w:b/>
          <w:kern w:val="0"/>
          <w:sz w:val="32"/>
          <w:szCs w:val="32"/>
        </w:rPr>
      </w:pPr>
    </w:p>
    <w:p>
      <w:pPr>
        <w:widowControl/>
        <w:spacing w:line="520" w:lineRule="exact"/>
        <w:ind w:firstLine="630" w:firstLineChars="196"/>
        <w:jc w:val="left"/>
        <w:rPr>
          <w:rFonts w:hint="eastAsia" w:ascii="楷体_GB2312" w:hAnsi="宋体" w:eastAsia="楷体_GB2312" w:cs="宋体"/>
          <w:b/>
          <w:kern w:val="0"/>
          <w:sz w:val="32"/>
          <w:szCs w:val="32"/>
        </w:rPr>
      </w:pPr>
    </w:p>
    <w:p>
      <w:pPr>
        <w:widowControl/>
        <w:spacing w:line="520" w:lineRule="exact"/>
        <w:ind w:firstLine="630" w:firstLineChars="196"/>
        <w:jc w:val="left"/>
        <w:rPr>
          <w:rFonts w:hint="eastAsia" w:ascii="楷体_GB2312" w:hAnsi="宋体" w:eastAsia="楷体_GB2312" w:cs="宋体"/>
          <w:b/>
          <w:kern w:val="0"/>
          <w:sz w:val="32"/>
          <w:szCs w:val="32"/>
        </w:rPr>
      </w:pPr>
    </w:p>
    <w:p>
      <w:pPr>
        <w:widowControl/>
        <w:spacing w:line="520" w:lineRule="exact"/>
        <w:ind w:firstLine="630" w:firstLineChars="196"/>
        <w:jc w:val="left"/>
        <w:rPr>
          <w:rFonts w:hint="eastAsia" w:ascii="楷体_GB2312" w:hAnsi="宋体" w:eastAsia="楷体_GB2312" w:cs="宋体"/>
          <w:b/>
          <w:kern w:val="0"/>
          <w:sz w:val="32"/>
          <w:szCs w:val="32"/>
        </w:rPr>
      </w:pPr>
    </w:p>
    <w:p>
      <w:pPr>
        <w:widowControl/>
        <w:spacing w:line="520" w:lineRule="exact"/>
        <w:ind w:firstLine="630" w:firstLineChars="196"/>
        <w:jc w:val="left"/>
        <w:rPr>
          <w:rFonts w:hint="eastAsia" w:ascii="楷体_GB2312" w:hAnsi="宋体" w:eastAsia="楷体_GB2312" w:cs="宋体"/>
          <w:b/>
          <w:kern w:val="0"/>
          <w:sz w:val="32"/>
          <w:szCs w:val="32"/>
        </w:rPr>
      </w:pPr>
    </w:p>
    <w:p>
      <w:pPr>
        <w:widowControl/>
        <w:spacing w:line="520" w:lineRule="exact"/>
        <w:ind w:firstLine="630" w:firstLineChars="196"/>
        <w:jc w:val="left"/>
        <w:rPr>
          <w:rFonts w:hint="eastAsia" w:ascii="楷体_GB2312" w:hAnsi="宋体" w:eastAsia="楷体_GB2312" w:cs="宋体"/>
          <w:b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hint="eastAsia" w:ascii="楷体_GB2312" w:hAnsi="宋体" w:eastAsia="楷体_GB2312" w:cs="宋体"/>
          <w:b/>
          <w:kern w:val="0"/>
          <w:sz w:val="32"/>
          <w:szCs w:val="32"/>
        </w:rPr>
      </w:pPr>
    </w:p>
    <w:p>
      <w:pPr>
        <w:widowControl/>
        <w:spacing w:line="520" w:lineRule="exact"/>
        <w:ind w:firstLine="630" w:firstLineChars="196"/>
        <w:jc w:val="left"/>
        <w:rPr>
          <w:rFonts w:ascii="楷体_GB2312" w:hAnsi="宋体" w:eastAsia="楷体_GB2312" w:cs="宋体"/>
          <w:b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</w:rPr>
        <w:t>（五）其他需说明的事项</w:t>
      </w:r>
    </w:p>
    <w:p>
      <w:pPr>
        <w:widowControl/>
        <w:spacing w:line="520" w:lineRule="exact"/>
        <w:ind w:firstLine="1920" w:firstLineChars="6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无。</w:t>
      </w:r>
    </w:p>
    <w:p>
      <w:pPr>
        <w:widowControl/>
        <w:spacing w:line="520" w:lineRule="exact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    </w:t>
      </w:r>
    </w:p>
    <w:p>
      <w:pPr>
        <w:widowControl/>
        <w:spacing w:before="156" w:beforeLines="50" w:line="520" w:lineRule="exact"/>
        <w:jc w:val="center"/>
        <w:outlineLvl w:val="1"/>
        <w:rPr>
          <w:rFonts w:hint="eastAsia" w:ascii="黑体" w:hAnsi="黑体" w:eastAsia="黑体"/>
          <w:kern w:val="0"/>
          <w:sz w:val="32"/>
          <w:szCs w:val="32"/>
        </w:rPr>
      </w:pPr>
    </w:p>
    <w:p>
      <w:pPr>
        <w:widowControl/>
        <w:spacing w:before="156" w:beforeLines="50" w:line="520" w:lineRule="exact"/>
        <w:jc w:val="center"/>
        <w:outlineLvl w:val="1"/>
        <w:rPr>
          <w:rFonts w:hint="eastAsia" w:ascii="黑体" w:hAnsi="黑体" w:eastAsia="黑体"/>
          <w:kern w:val="0"/>
          <w:sz w:val="32"/>
          <w:szCs w:val="32"/>
        </w:rPr>
      </w:pPr>
    </w:p>
    <w:p>
      <w:pPr>
        <w:widowControl/>
        <w:spacing w:before="156" w:beforeLines="50" w:line="520" w:lineRule="exact"/>
        <w:jc w:val="center"/>
        <w:outlineLvl w:val="1"/>
        <w:rPr>
          <w:rFonts w:hint="eastAsia" w:ascii="黑体" w:hAnsi="黑体" w:eastAsia="黑体"/>
          <w:kern w:val="0"/>
          <w:sz w:val="32"/>
          <w:szCs w:val="32"/>
        </w:rPr>
      </w:pPr>
    </w:p>
    <w:p>
      <w:pPr>
        <w:widowControl/>
        <w:spacing w:before="156" w:beforeLines="50" w:line="520" w:lineRule="exact"/>
        <w:jc w:val="center"/>
        <w:outlineLvl w:val="1"/>
        <w:rPr>
          <w:rFonts w:hint="eastAsia" w:ascii="黑体" w:hAnsi="黑体" w:eastAsia="黑体"/>
          <w:kern w:val="0"/>
          <w:sz w:val="32"/>
          <w:szCs w:val="32"/>
        </w:rPr>
      </w:pPr>
    </w:p>
    <w:p>
      <w:pPr>
        <w:widowControl/>
        <w:spacing w:before="156" w:beforeLines="50" w:line="520" w:lineRule="exact"/>
        <w:jc w:val="center"/>
        <w:outlineLvl w:val="1"/>
        <w:rPr>
          <w:rFonts w:hint="eastAsia" w:ascii="黑体" w:hAnsi="黑体" w:eastAsia="黑体"/>
          <w:kern w:val="0"/>
          <w:sz w:val="32"/>
          <w:szCs w:val="32"/>
        </w:rPr>
      </w:pPr>
    </w:p>
    <w:p>
      <w:pPr>
        <w:widowControl/>
        <w:spacing w:before="156" w:beforeLines="50" w:line="520" w:lineRule="exact"/>
        <w:jc w:val="center"/>
        <w:outlineLvl w:val="1"/>
        <w:rPr>
          <w:rFonts w:hint="eastAsia" w:ascii="黑体" w:hAnsi="黑体" w:eastAsia="黑体"/>
          <w:kern w:val="0"/>
          <w:sz w:val="32"/>
          <w:szCs w:val="32"/>
        </w:rPr>
      </w:pPr>
    </w:p>
    <w:p>
      <w:pPr>
        <w:widowControl/>
        <w:spacing w:before="156" w:beforeLines="50" w:line="520" w:lineRule="exact"/>
        <w:jc w:val="center"/>
        <w:outlineLvl w:val="1"/>
        <w:rPr>
          <w:rFonts w:hint="eastAsia" w:ascii="黑体" w:hAnsi="黑体" w:eastAsia="黑体"/>
          <w:kern w:val="0"/>
          <w:sz w:val="32"/>
          <w:szCs w:val="32"/>
        </w:rPr>
      </w:pPr>
    </w:p>
    <w:p>
      <w:pPr>
        <w:widowControl/>
        <w:spacing w:before="156" w:beforeLines="50" w:line="520" w:lineRule="exact"/>
        <w:jc w:val="center"/>
        <w:outlineLvl w:val="1"/>
        <w:rPr>
          <w:rFonts w:hint="eastAsia" w:ascii="黑体" w:hAnsi="黑体" w:eastAsia="黑体"/>
          <w:kern w:val="0"/>
          <w:sz w:val="32"/>
          <w:szCs w:val="32"/>
        </w:rPr>
      </w:pPr>
    </w:p>
    <w:p>
      <w:pPr>
        <w:widowControl/>
        <w:spacing w:before="156" w:beforeLines="50" w:line="520" w:lineRule="exact"/>
        <w:jc w:val="center"/>
        <w:outlineLvl w:val="1"/>
        <w:rPr>
          <w:rFonts w:hint="eastAsia" w:ascii="黑体" w:hAnsi="黑体" w:eastAsia="黑体"/>
          <w:kern w:val="0"/>
          <w:sz w:val="32"/>
          <w:szCs w:val="32"/>
        </w:rPr>
      </w:pPr>
    </w:p>
    <w:p>
      <w:pPr>
        <w:widowControl/>
        <w:spacing w:before="156" w:beforeLines="50" w:line="520" w:lineRule="exact"/>
        <w:jc w:val="center"/>
        <w:outlineLvl w:val="1"/>
        <w:rPr>
          <w:rFonts w:hint="eastAsia" w:ascii="黑体" w:hAnsi="黑体" w:eastAsia="黑体"/>
          <w:kern w:val="0"/>
          <w:sz w:val="32"/>
          <w:szCs w:val="32"/>
        </w:rPr>
      </w:pPr>
    </w:p>
    <w:p>
      <w:pPr>
        <w:widowControl/>
        <w:spacing w:before="156" w:beforeLines="50" w:line="520" w:lineRule="exact"/>
        <w:jc w:val="center"/>
        <w:outlineLvl w:val="1"/>
        <w:rPr>
          <w:rFonts w:hint="eastAsia" w:ascii="黑体" w:hAnsi="黑体" w:eastAsia="黑体"/>
          <w:kern w:val="0"/>
          <w:sz w:val="32"/>
          <w:szCs w:val="32"/>
        </w:rPr>
      </w:pPr>
    </w:p>
    <w:p>
      <w:pPr>
        <w:widowControl/>
        <w:spacing w:before="156" w:beforeLines="50" w:line="520" w:lineRule="exact"/>
        <w:jc w:val="center"/>
        <w:outlineLvl w:val="1"/>
        <w:rPr>
          <w:rFonts w:hint="eastAsia" w:ascii="黑体" w:hAnsi="黑体" w:eastAsia="黑体"/>
          <w:kern w:val="0"/>
          <w:sz w:val="32"/>
          <w:szCs w:val="32"/>
        </w:rPr>
      </w:pPr>
    </w:p>
    <w:p>
      <w:pPr>
        <w:widowControl/>
        <w:spacing w:before="156" w:beforeLines="50" w:line="520" w:lineRule="exact"/>
        <w:jc w:val="center"/>
        <w:outlineLvl w:val="1"/>
        <w:rPr>
          <w:rFonts w:hint="eastAsia" w:ascii="黑体" w:hAnsi="黑体" w:eastAsia="黑体"/>
          <w:kern w:val="0"/>
          <w:sz w:val="32"/>
          <w:szCs w:val="32"/>
        </w:rPr>
      </w:pPr>
    </w:p>
    <w:p>
      <w:pPr>
        <w:widowControl/>
        <w:spacing w:before="156" w:beforeLines="50" w:line="520" w:lineRule="exact"/>
        <w:jc w:val="center"/>
        <w:outlineLvl w:val="1"/>
        <w:rPr>
          <w:rFonts w:hint="eastAsia" w:ascii="黑体" w:hAnsi="黑体" w:eastAsia="黑体"/>
          <w:kern w:val="0"/>
          <w:sz w:val="32"/>
          <w:szCs w:val="32"/>
        </w:rPr>
      </w:pPr>
    </w:p>
    <w:p>
      <w:pPr>
        <w:widowControl/>
        <w:spacing w:before="156" w:beforeLines="50" w:line="520" w:lineRule="exact"/>
        <w:jc w:val="center"/>
        <w:outlineLvl w:val="1"/>
        <w:rPr>
          <w:rFonts w:hint="eastAsia" w:ascii="黑体" w:hAnsi="黑体" w:eastAsia="黑体"/>
          <w:kern w:val="0"/>
          <w:sz w:val="32"/>
          <w:szCs w:val="32"/>
        </w:rPr>
      </w:pPr>
    </w:p>
    <w:p>
      <w:pPr>
        <w:widowControl/>
        <w:spacing w:before="156" w:beforeLines="50" w:line="520" w:lineRule="exact"/>
        <w:jc w:val="center"/>
        <w:outlineLvl w:val="1"/>
        <w:rPr>
          <w:rFonts w:hint="eastAsia" w:ascii="黑体" w:hAnsi="黑体" w:eastAsia="黑体"/>
          <w:kern w:val="0"/>
          <w:sz w:val="32"/>
          <w:szCs w:val="32"/>
        </w:rPr>
      </w:pPr>
    </w:p>
    <w:p>
      <w:pPr>
        <w:widowControl/>
        <w:spacing w:before="156" w:beforeLines="50" w:line="520" w:lineRule="exact"/>
        <w:jc w:val="center"/>
        <w:outlineLvl w:val="1"/>
        <w:rPr>
          <w:rFonts w:hint="eastAsia" w:ascii="黑体" w:hAnsi="黑体" w:eastAsia="黑体"/>
          <w:kern w:val="0"/>
          <w:sz w:val="32"/>
          <w:szCs w:val="32"/>
        </w:rPr>
      </w:pPr>
    </w:p>
    <w:p>
      <w:pPr>
        <w:widowControl/>
        <w:spacing w:before="156" w:beforeLines="50" w:line="520" w:lineRule="exact"/>
        <w:jc w:val="center"/>
        <w:outlineLvl w:val="1"/>
        <w:rPr>
          <w:rFonts w:hint="eastAsia" w:ascii="黑体" w:hAnsi="黑体" w:eastAsia="黑体"/>
          <w:kern w:val="0"/>
          <w:sz w:val="32"/>
          <w:szCs w:val="32"/>
        </w:rPr>
      </w:pPr>
    </w:p>
    <w:p>
      <w:pPr>
        <w:widowControl/>
        <w:spacing w:before="156" w:beforeLines="50" w:line="520" w:lineRule="exact"/>
        <w:jc w:val="center"/>
        <w:outlineLvl w:val="1"/>
        <w:rPr>
          <w:rFonts w:ascii="黑体" w:hAnsi="黑体" w:eastAsia="黑体"/>
          <w:kern w:val="0"/>
          <w:sz w:val="32"/>
          <w:szCs w:val="32"/>
        </w:rPr>
      </w:pPr>
      <w:r>
        <w:rPr>
          <w:rFonts w:hint="eastAsia" w:ascii="黑体" w:hAnsi="黑体" w:eastAsia="黑体"/>
          <w:kern w:val="0"/>
          <w:sz w:val="32"/>
          <w:szCs w:val="32"/>
        </w:rPr>
        <w:t>第四部分  名词解释</w:t>
      </w:r>
    </w:p>
    <w:p>
      <w:pPr>
        <w:widowControl/>
        <w:spacing w:before="156" w:beforeLines="50" w:line="520" w:lineRule="exact"/>
        <w:jc w:val="center"/>
        <w:outlineLvl w:val="1"/>
        <w:rPr>
          <w:rFonts w:ascii="黑体" w:hAnsi="黑体" w:eastAsia="黑体"/>
          <w:kern w:val="0"/>
          <w:sz w:val="32"/>
          <w:szCs w:val="32"/>
        </w:rPr>
      </w:pPr>
    </w:p>
    <w:p>
      <w:pPr>
        <w:widowControl/>
        <w:spacing w:line="520" w:lineRule="exact"/>
        <w:ind w:firstLine="640"/>
        <w:jc w:val="left"/>
        <w:rPr>
          <w:rFonts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名词解释：</w:t>
      </w:r>
    </w:p>
    <w:p>
      <w:pPr>
        <w:spacing w:line="520" w:lineRule="exact"/>
        <w:ind w:firstLine="642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一、财政拨款：</w:t>
      </w:r>
      <w:r>
        <w:rPr>
          <w:rFonts w:hint="eastAsia" w:ascii="仿宋_GB2312" w:eastAsia="仿宋_GB2312"/>
          <w:sz w:val="32"/>
          <w:szCs w:val="32"/>
        </w:rPr>
        <w:t>指由一般公共预算、政府性基金预算安排的财政拨款数。</w:t>
      </w:r>
    </w:p>
    <w:p>
      <w:pPr>
        <w:spacing w:line="520" w:lineRule="exact"/>
        <w:ind w:firstLine="642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二、一般公共预算：</w:t>
      </w:r>
      <w:r>
        <w:rPr>
          <w:rFonts w:hint="eastAsia" w:ascii="仿宋_GB2312" w:eastAsia="仿宋_GB2312"/>
          <w:spacing w:val="-6"/>
          <w:sz w:val="32"/>
          <w:szCs w:val="32"/>
        </w:rPr>
        <w:t>包括公共财政拨款（补助）资金、专项收入。</w:t>
      </w:r>
    </w:p>
    <w:p>
      <w:pPr>
        <w:spacing w:line="520" w:lineRule="exact"/>
        <w:ind w:firstLine="642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三</w:t>
      </w:r>
      <w:r>
        <w:rPr>
          <w:rFonts w:hint="eastAsia" w:ascii="黑体" w:hAnsi="黑体" w:eastAsia="黑体"/>
          <w:sz w:val="32"/>
          <w:szCs w:val="32"/>
        </w:rPr>
        <w:t>、基本支出：</w:t>
      </w:r>
      <w:r>
        <w:rPr>
          <w:rFonts w:hint="eastAsia" w:ascii="仿宋_GB2312" w:eastAsia="仿宋_GB2312"/>
          <w:sz w:val="32"/>
          <w:szCs w:val="32"/>
        </w:rPr>
        <w:t>包括人员经费、商品和服务支出（定额）。其中，人员经费包括工资福利支出、对个人和家庭的补助。</w:t>
      </w:r>
    </w:p>
    <w:p>
      <w:pPr>
        <w:spacing w:line="520" w:lineRule="exact"/>
        <w:ind w:firstLine="642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四</w:t>
      </w:r>
      <w:r>
        <w:rPr>
          <w:rFonts w:hint="eastAsia" w:ascii="黑体" w:hAnsi="黑体" w:eastAsia="黑体"/>
          <w:sz w:val="32"/>
          <w:szCs w:val="32"/>
        </w:rPr>
        <w:t>、“三公”经费：</w:t>
      </w:r>
      <w:r>
        <w:rPr>
          <w:rFonts w:hint="eastAsia" w:ascii="仿宋_GB2312" w:eastAsia="仿宋_GB2312"/>
          <w:sz w:val="32"/>
          <w:szCs w:val="32"/>
        </w:rPr>
        <w:t>指州本级部门用一般公共预算财政拨款安排的因公出国（境）费、公务用车购置及运行费和公务接待费。其中，因公出国（境）费指单位公务出国（境）的住宿费、旅费、伙食补助费、杂费、培训费等支出；公务用车购置及运行费指单位公务用车购置费及租用费、燃料费、维修费、过路过桥费、保险费、安全奖励费用等支出；公务接待费指单位按规定开支的各类公务接待（含外宾接待）支出。</w:t>
      </w:r>
    </w:p>
    <w:p>
      <w:pPr>
        <w:spacing w:line="520" w:lineRule="exact"/>
        <w:ind w:firstLine="642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五</w:t>
      </w:r>
      <w:r>
        <w:rPr>
          <w:rFonts w:hint="eastAsia" w:ascii="黑体" w:hAnsi="黑体" w:eastAsia="黑体"/>
          <w:sz w:val="32"/>
          <w:szCs w:val="32"/>
        </w:rPr>
        <w:t>、机关运行经费：</w:t>
      </w:r>
      <w:r>
        <w:rPr>
          <w:rFonts w:hint="eastAsia" w:ascii="仿宋_GB2312" w:eastAsia="仿宋_GB2312"/>
          <w:sz w:val="32"/>
          <w:szCs w:val="32"/>
        </w:rPr>
        <w:t>指各部门的公用经费，包括办公及印刷费、邮电费、差旅费、会议费、福利费、日常维修费、专用材料及一般设备购置费、办公用房水电费、办公用房取暖费、办公用房物业管理费、公务用车运行维护费及其他费用。</w:t>
      </w:r>
    </w:p>
    <w:p>
      <w:pPr>
        <w:widowControl/>
        <w:spacing w:line="520" w:lineRule="exact"/>
        <w:jc w:val="left"/>
        <w:rPr>
          <w:rFonts w:ascii="仿宋_GB2312" w:hAnsi="宋体" w:eastAsia="仿宋_GB2312" w:cs="宋体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ascii="仿宋_GB2312" w:hAnsi="宋体" w:eastAsia="仿宋_GB2312" w:cs="宋体"/>
          <w:kern w:val="0"/>
          <w:sz w:val="32"/>
          <w:szCs w:val="32"/>
        </w:rPr>
      </w:pPr>
    </w:p>
    <w:p>
      <w:pPr>
        <w:jc w:val="right"/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                      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吉木萨尔县退役军人事务局</w:t>
      </w:r>
    </w:p>
    <w:p>
      <w:pPr>
        <w:jc w:val="right"/>
        <w:rPr>
          <w:rFonts w:hint="default" w:ascii="仿宋_GB2312" w:hAnsi="宋体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                           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2020</w:t>
      </w:r>
      <w:r>
        <w:rPr>
          <w:rFonts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5</w:t>
      </w:r>
      <w:r>
        <w:rPr>
          <w:rFonts w:ascii="仿宋_GB2312" w:hAnsi="宋体" w:eastAsia="仿宋_GB2312" w:cs="宋体"/>
          <w:kern w:val="0"/>
          <w:sz w:val="32"/>
          <w:szCs w:val="32"/>
        </w:rPr>
        <w:t>月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22</w:t>
      </w:r>
      <w:r>
        <w:rPr>
          <w:rFonts w:ascii="仿宋_GB2312" w:hAnsi="宋体" w:eastAsia="仿宋_GB2312" w:cs="宋体"/>
          <w:kern w:val="0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Default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EC0A2A"/>
    <w:rsid w:val="032B062F"/>
    <w:rsid w:val="046E2E3D"/>
    <w:rsid w:val="060825E7"/>
    <w:rsid w:val="0CFA35A1"/>
    <w:rsid w:val="0F771F9E"/>
    <w:rsid w:val="103A7E08"/>
    <w:rsid w:val="14E30F53"/>
    <w:rsid w:val="16A976A9"/>
    <w:rsid w:val="17312EB4"/>
    <w:rsid w:val="18EC0A2A"/>
    <w:rsid w:val="247C77C7"/>
    <w:rsid w:val="2AA90049"/>
    <w:rsid w:val="2B275A1E"/>
    <w:rsid w:val="31305B17"/>
    <w:rsid w:val="325B0AEA"/>
    <w:rsid w:val="34B41E46"/>
    <w:rsid w:val="35513A47"/>
    <w:rsid w:val="387266A4"/>
    <w:rsid w:val="3A7A1B0E"/>
    <w:rsid w:val="3E311788"/>
    <w:rsid w:val="4E9B67E3"/>
    <w:rsid w:val="4FA924E6"/>
    <w:rsid w:val="51F8774D"/>
    <w:rsid w:val="536A4D6B"/>
    <w:rsid w:val="53881940"/>
    <w:rsid w:val="5A0C2BEE"/>
    <w:rsid w:val="5A9D0A04"/>
    <w:rsid w:val="5FA40E26"/>
    <w:rsid w:val="60115880"/>
    <w:rsid w:val="621F0CB8"/>
    <w:rsid w:val="65F77935"/>
    <w:rsid w:val="6621182D"/>
    <w:rsid w:val="684617A7"/>
    <w:rsid w:val="69DF5B9B"/>
    <w:rsid w:val="6C2749C4"/>
    <w:rsid w:val="75AD6389"/>
    <w:rsid w:val="77D13005"/>
    <w:rsid w:val="7A7158D1"/>
    <w:rsid w:val="7D123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Office_10.8.2.6870_F1E327BC-269C-435d-A152-05C5408002CA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2020-06-09T08:29:00Z</dcterms:created>
  <dc:creator>@她喜爱</dc:creator>
  <cp:lastModifiedBy>Administrator</cp:lastModifiedBy>
  <dcterms:modified xsi:type="dcterms:W3CDTF">2021-07-01T09:24:55Z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2052-10.8.2.6870</vt:lpwstr>
  </property>
  <property fmtid="{D5CDD505-2E9C-101B-9397-08002B2CF9AE}" pid="3" name="ICV">
    <vt:lpwstr>D06A9F4ECB104FD78684AF3EDAAD55B5</vt:lpwstr>
  </property>
</Properties>
</file>