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600" w:lineRule="exact"/>
        <w:jc w:val="center"/>
        <w:outlineLvl w:val="1"/>
        <w:rPr>
          <w:rFonts w:ascii="方正小标宋_GBK" w:hAnsi="宋体" w:eastAsia="方正小标宋_GBK"/>
          <w:kern w:val="0"/>
          <w:sz w:val="44"/>
          <w:szCs w:val="44"/>
        </w:rPr>
      </w:pPr>
    </w:p>
    <w:p>
      <w:pPr>
        <w:widowControl/>
        <w:spacing w:before="100" w:beforeAutospacing="1" w:after="100" w:afterAutospacing="1" w:line="600" w:lineRule="exact"/>
        <w:jc w:val="center"/>
        <w:outlineLvl w:val="1"/>
        <w:rPr>
          <w:rFonts w:ascii="方正小标宋_GBK" w:hAnsi="宋体" w:eastAsia="方正小标宋_GBK"/>
          <w:kern w:val="0"/>
          <w:sz w:val="44"/>
          <w:szCs w:val="44"/>
        </w:rPr>
      </w:pPr>
    </w:p>
    <w:p>
      <w:pPr>
        <w:widowControl/>
        <w:spacing w:before="100" w:beforeAutospacing="1" w:after="100" w:afterAutospacing="1" w:line="600" w:lineRule="exact"/>
        <w:jc w:val="center"/>
        <w:outlineLvl w:val="1"/>
        <w:rPr>
          <w:rFonts w:ascii="方正小标宋_GBK" w:hAnsi="宋体" w:eastAsia="方正小标宋_GBK"/>
          <w:kern w:val="0"/>
          <w:sz w:val="44"/>
          <w:szCs w:val="44"/>
        </w:rPr>
      </w:pPr>
    </w:p>
    <w:p>
      <w:pPr>
        <w:widowControl/>
        <w:spacing w:before="100" w:beforeAutospacing="1" w:after="100" w:afterAutospacing="1" w:line="600" w:lineRule="exact"/>
        <w:jc w:val="center"/>
        <w:outlineLvl w:val="1"/>
        <w:rPr>
          <w:rFonts w:ascii="方正小标宋_GBK" w:hAnsi="宋体" w:eastAsia="方正小标宋_GBK"/>
          <w:kern w:val="0"/>
          <w:sz w:val="44"/>
          <w:szCs w:val="44"/>
        </w:rPr>
      </w:pPr>
    </w:p>
    <w:p>
      <w:pPr>
        <w:widowControl/>
        <w:spacing w:before="100" w:beforeAutospacing="1" w:after="100" w:afterAutospacing="1" w:line="600" w:lineRule="exact"/>
        <w:jc w:val="center"/>
        <w:outlineLvl w:val="1"/>
        <w:rPr>
          <w:rFonts w:ascii="方正小标宋_GBK" w:hAnsi="宋体" w:eastAsia="方正小标宋_GBK"/>
          <w:kern w:val="0"/>
          <w:sz w:val="44"/>
          <w:szCs w:val="44"/>
        </w:rPr>
      </w:pPr>
    </w:p>
    <w:p>
      <w:pPr>
        <w:widowControl/>
        <w:spacing w:before="100" w:beforeAutospacing="1" w:after="100" w:afterAutospacing="1" w:line="600" w:lineRule="exact"/>
        <w:jc w:val="center"/>
        <w:outlineLvl w:val="1"/>
        <w:rPr>
          <w:rFonts w:ascii="方正小标宋_GBK" w:hAnsi="宋体" w:eastAsia="方正小标宋_GBK"/>
          <w:kern w:val="0"/>
          <w:sz w:val="44"/>
          <w:szCs w:val="44"/>
        </w:rPr>
      </w:pPr>
      <w:r>
        <w:rPr>
          <w:rFonts w:hint="eastAsia" w:ascii="方正小标宋_GBK" w:hAnsi="宋体" w:eastAsia="方正小标宋_GBK" w:cs="方正小标宋_GBK"/>
          <w:kern w:val="0"/>
          <w:sz w:val="44"/>
          <w:szCs w:val="44"/>
          <w:lang w:eastAsia="zh-CN"/>
        </w:rPr>
        <w:t>昌吉州吉木萨尔县交通运输局</w:t>
      </w:r>
      <w:r>
        <w:rPr>
          <w:rFonts w:ascii="方正小标宋_GBK" w:hAnsi="宋体" w:eastAsia="方正小标宋_GBK" w:cs="方正小标宋_GBK"/>
          <w:kern w:val="0"/>
          <w:sz w:val="44"/>
          <w:szCs w:val="44"/>
        </w:rPr>
        <w:t>2020</w:t>
      </w:r>
      <w:r>
        <w:rPr>
          <w:rFonts w:hint="eastAsia" w:ascii="方正小标宋_GBK" w:hAnsi="宋体" w:eastAsia="方正小标宋_GBK" w:cs="方正小标宋_GBK"/>
          <w:kern w:val="0"/>
          <w:sz w:val="44"/>
          <w:szCs w:val="44"/>
        </w:rPr>
        <w:t>年</w:t>
      </w:r>
    </w:p>
    <w:p>
      <w:pPr>
        <w:widowControl/>
        <w:spacing w:before="100" w:beforeAutospacing="1" w:after="100" w:afterAutospacing="1" w:line="600" w:lineRule="exact"/>
        <w:jc w:val="center"/>
        <w:outlineLvl w:val="1"/>
        <w:rPr>
          <w:rFonts w:ascii="方正小标宋_GBK" w:hAnsi="宋体" w:eastAsia="方正小标宋_GBK"/>
          <w:kern w:val="0"/>
          <w:sz w:val="44"/>
          <w:szCs w:val="44"/>
        </w:rPr>
      </w:pPr>
      <w:r>
        <w:rPr>
          <w:rFonts w:hint="eastAsia" w:ascii="方正小标宋_GBK" w:hAnsi="宋体" w:eastAsia="方正小标宋_GBK" w:cs="方正小标宋_GBK"/>
          <w:kern w:val="0"/>
          <w:sz w:val="44"/>
          <w:szCs w:val="44"/>
        </w:rPr>
        <w:t>部门预算公开</w:t>
      </w:r>
      <w:bookmarkStart w:id="0" w:name="_GoBack"/>
      <w:bookmarkEnd w:id="0"/>
    </w:p>
    <w:p>
      <w:pPr>
        <w:widowControl/>
        <w:spacing w:before="100" w:beforeAutospacing="1" w:after="100" w:afterAutospacing="1" w:line="600" w:lineRule="exact"/>
        <w:jc w:val="center"/>
        <w:outlineLvl w:val="1"/>
        <w:rPr>
          <w:rFonts w:ascii="宋体"/>
          <w:b/>
          <w:bCs/>
          <w:kern w:val="0"/>
          <w:sz w:val="44"/>
          <w:szCs w:val="44"/>
        </w:rPr>
      </w:pPr>
    </w:p>
    <w:p>
      <w:pPr>
        <w:widowControl/>
        <w:spacing w:before="100" w:beforeAutospacing="1" w:after="100" w:afterAutospacing="1" w:line="600" w:lineRule="exact"/>
        <w:jc w:val="center"/>
        <w:outlineLvl w:val="1"/>
        <w:rPr>
          <w:rFonts w:ascii="宋体"/>
          <w:b/>
          <w:bCs/>
          <w:kern w:val="0"/>
          <w:sz w:val="44"/>
          <w:szCs w:val="44"/>
        </w:rPr>
      </w:pPr>
    </w:p>
    <w:p>
      <w:pPr>
        <w:widowControl/>
        <w:spacing w:before="100" w:beforeAutospacing="1" w:after="100" w:afterAutospacing="1" w:line="600" w:lineRule="exact"/>
        <w:jc w:val="center"/>
        <w:outlineLvl w:val="1"/>
        <w:rPr>
          <w:rFonts w:ascii="宋体"/>
          <w:b/>
          <w:bCs/>
          <w:kern w:val="0"/>
          <w:sz w:val="44"/>
          <w:szCs w:val="44"/>
        </w:rPr>
      </w:pPr>
    </w:p>
    <w:p>
      <w:pPr>
        <w:widowControl/>
        <w:spacing w:before="100" w:beforeAutospacing="1" w:after="100" w:afterAutospacing="1" w:line="600" w:lineRule="exact"/>
        <w:jc w:val="center"/>
        <w:outlineLvl w:val="1"/>
        <w:rPr>
          <w:rFonts w:ascii="宋体"/>
          <w:b/>
          <w:bCs/>
          <w:kern w:val="0"/>
          <w:sz w:val="44"/>
          <w:szCs w:val="44"/>
        </w:rPr>
      </w:pPr>
    </w:p>
    <w:p>
      <w:pPr>
        <w:widowControl/>
        <w:spacing w:before="100" w:beforeAutospacing="1" w:after="100" w:afterAutospacing="1" w:line="600" w:lineRule="exact"/>
        <w:jc w:val="center"/>
        <w:outlineLvl w:val="1"/>
        <w:rPr>
          <w:rFonts w:ascii="宋体"/>
          <w:b/>
          <w:bCs/>
          <w:kern w:val="0"/>
          <w:sz w:val="44"/>
          <w:szCs w:val="44"/>
        </w:rPr>
      </w:pPr>
    </w:p>
    <w:p>
      <w:pPr>
        <w:widowControl/>
        <w:spacing w:before="100" w:beforeAutospacing="1" w:after="100" w:afterAutospacing="1" w:line="600" w:lineRule="exact"/>
        <w:jc w:val="center"/>
        <w:outlineLvl w:val="1"/>
        <w:rPr>
          <w:rFonts w:ascii="宋体"/>
          <w:b/>
          <w:bCs/>
          <w:kern w:val="0"/>
          <w:sz w:val="44"/>
          <w:szCs w:val="44"/>
        </w:rPr>
      </w:pPr>
    </w:p>
    <w:p>
      <w:pPr>
        <w:widowControl/>
        <w:spacing w:before="100" w:beforeAutospacing="1" w:after="100" w:afterAutospacing="1" w:line="600" w:lineRule="exact"/>
        <w:jc w:val="center"/>
        <w:outlineLvl w:val="1"/>
        <w:rPr>
          <w:rFonts w:ascii="宋体"/>
          <w:b/>
          <w:bCs/>
          <w:kern w:val="0"/>
          <w:sz w:val="44"/>
          <w:szCs w:val="44"/>
        </w:rPr>
      </w:pPr>
    </w:p>
    <w:p>
      <w:pPr>
        <w:widowControl/>
        <w:spacing w:line="600" w:lineRule="exact"/>
        <w:jc w:val="center"/>
        <w:outlineLvl w:val="1"/>
        <w:rPr>
          <w:rFonts w:ascii="黑体" w:hAnsi="黑体" w:eastAsia="黑体"/>
          <w:kern w:val="0"/>
          <w:sz w:val="36"/>
          <w:szCs w:val="36"/>
        </w:rPr>
      </w:pPr>
      <w:r>
        <w:rPr>
          <w:rFonts w:hint="eastAsia" w:ascii="黑体" w:hAnsi="黑体" w:eastAsia="黑体" w:cs="黑体"/>
          <w:kern w:val="0"/>
          <w:sz w:val="36"/>
          <w:szCs w:val="36"/>
        </w:rPr>
        <w:t>目</w:t>
      </w:r>
      <w:r>
        <w:rPr>
          <w:rFonts w:ascii="黑体" w:hAnsi="黑体" w:eastAsia="黑体" w:cs="黑体"/>
          <w:kern w:val="0"/>
          <w:sz w:val="36"/>
          <w:szCs w:val="36"/>
        </w:rPr>
        <w:t xml:space="preserve"> </w:t>
      </w:r>
      <w:r>
        <w:rPr>
          <w:rFonts w:hint="eastAsia" w:ascii="黑体" w:hAnsi="黑体" w:eastAsia="黑体" w:cs="黑体"/>
          <w:kern w:val="0"/>
          <w:sz w:val="36"/>
          <w:szCs w:val="36"/>
        </w:rPr>
        <w:t>录</w:t>
      </w:r>
    </w:p>
    <w:p>
      <w:pPr>
        <w:widowControl/>
        <w:spacing w:line="600" w:lineRule="exact"/>
        <w:ind w:firstLine="883" w:firstLineChars="200"/>
        <w:outlineLvl w:val="1"/>
        <w:rPr>
          <w:rFonts w:ascii="宋体"/>
          <w:b/>
          <w:bCs/>
          <w:kern w:val="0"/>
          <w:sz w:val="44"/>
          <w:szCs w:val="44"/>
        </w:rPr>
      </w:pPr>
    </w:p>
    <w:p>
      <w:pPr>
        <w:widowControl/>
        <w:spacing w:line="600" w:lineRule="exact"/>
        <w:ind w:firstLine="643" w:firstLineChars="200"/>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第一部分</w:t>
      </w:r>
      <w:r>
        <w:rPr>
          <w:rFonts w:ascii="仿宋_GB2312" w:hAnsi="宋体" w:eastAsia="仿宋_GB2312" w:cs="仿宋_GB2312"/>
          <w:b/>
          <w:bCs/>
          <w:kern w:val="0"/>
          <w:sz w:val="32"/>
          <w:szCs w:val="32"/>
        </w:rPr>
        <w:t xml:space="preserve"> </w:t>
      </w:r>
      <w:r>
        <w:rPr>
          <w:rFonts w:hint="eastAsia" w:ascii="仿宋_GB2312" w:hAnsi="宋体" w:eastAsia="仿宋_GB2312" w:cs="仿宋_GB2312"/>
          <w:b/>
          <w:bCs/>
          <w:kern w:val="0"/>
          <w:sz w:val="32"/>
          <w:szCs w:val="32"/>
          <w:lang w:eastAsia="zh-CN"/>
        </w:rPr>
        <w:t>吉木萨尔县交通运输局</w:t>
      </w:r>
      <w:r>
        <w:rPr>
          <w:rFonts w:hint="eastAsia" w:ascii="仿宋_GB2312" w:hAnsi="宋体" w:eastAsia="仿宋_GB2312" w:cs="仿宋_GB2312"/>
          <w:b/>
          <w:bCs/>
          <w:kern w:val="0"/>
          <w:sz w:val="32"/>
          <w:szCs w:val="32"/>
        </w:rPr>
        <w:t>单位概况</w:t>
      </w:r>
    </w:p>
    <w:p>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一、主要职能</w:t>
      </w:r>
    </w:p>
    <w:p>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二、机构设置及人员情况</w:t>
      </w:r>
    </w:p>
    <w:p>
      <w:pPr>
        <w:widowControl/>
        <w:spacing w:line="600" w:lineRule="exact"/>
        <w:ind w:firstLine="643" w:firstLineChars="200"/>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第二部分</w:t>
      </w:r>
      <w:r>
        <w:rPr>
          <w:rFonts w:ascii="仿宋_GB2312" w:hAnsi="宋体" w:eastAsia="仿宋_GB2312" w:cs="仿宋_GB2312"/>
          <w:b/>
          <w:bCs/>
          <w:kern w:val="0"/>
          <w:sz w:val="32"/>
          <w:szCs w:val="32"/>
        </w:rPr>
        <w:t xml:space="preserve">  2020</w:t>
      </w:r>
      <w:r>
        <w:rPr>
          <w:rFonts w:hint="eastAsia" w:ascii="仿宋_GB2312" w:hAnsi="宋体" w:eastAsia="仿宋_GB2312" w:cs="仿宋_GB2312"/>
          <w:b/>
          <w:bCs/>
          <w:kern w:val="0"/>
          <w:sz w:val="32"/>
          <w:szCs w:val="32"/>
        </w:rPr>
        <w:t>年部门预算公开表</w:t>
      </w:r>
    </w:p>
    <w:p>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一、部门收支总体情况表</w:t>
      </w:r>
    </w:p>
    <w:p>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二、部门收入总体情况表</w:t>
      </w:r>
    </w:p>
    <w:p>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三、部门支出总体情况表</w:t>
      </w:r>
    </w:p>
    <w:p>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四、财政拨款收支总体情况表</w:t>
      </w:r>
    </w:p>
    <w:p>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五、一般公共预算支出情况表</w:t>
      </w:r>
    </w:p>
    <w:p>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六、一般公共预算基本支出情况表</w:t>
      </w:r>
    </w:p>
    <w:p>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七、项目支出情况表</w:t>
      </w:r>
    </w:p>
    <w:p>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八、一般公共预算“三公”经费支出情况表</w:t>
      </w:r>
    </w:p>
    <w:p>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九、政府性基金预算支出情况表</w:t>
      </w:r>
    </w:p>
    <w:p>
      <w:pPr>
        <w:widowControl/>
        <w:spacing w:line="600" w:lineRule="exact"/>
        <w:ind w:firstLine="643" w:firstLineChars="200"/>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第三部分</w:t>
      </w:r>
      <w:r>
        <w:rPr>
          <w:rFonts w:ascii="仿宋_GB2312" w:hAnsi="宋体" w:eastAsia="仿宋_GB2312" w:cs="仿宋_GB2312"/>
          <w:b/>
          <w:bCs/>
          <w:kern w:val="0"/>
          <w:sz w:val="32"/>
          <w:szCs w:val="32"/>
        </w:rPr>
        <w:t xml:space="preserve">  2020</w:t>
      </w:r>
      <w:r>
        <w:rPr>
          <w:rFonts w:hint="eastAsia" w:ascii="仿宋_GB2312" w:hAnsi="宋体" w:eastAsia="仿宋_GB2312" w:cs="仿宋_GB2312"/>
          <w:b/>
          <w:bCs/>
          <w:kern w:val="0"/>
          <w:sz w:val="32"/>
          <w:szCs w:val="32"/>
        </w:rPr>
        <w:t>年部门预算情况说明</w:t>
      </w:r>
    </w:p>
    <w:p>
      <w:pPr>
        <w:widowControl/>
        <w:spacing w:line="600" w:lineRule="exact"/>
        <w:ind w:firstLine="640" w:firstLineChars="200"/>
        <w:outlineLvl w:val="1"/>
        <w:rPr>
          <w:rFonts w:eastAsia="仿宋_GB2312"/>
          <w:kern w:val="0"/>
          <w:sz w:val="32"/>
          <w:szCs w:val="32"/>
        </w:rPr>
      </w:pPr>
      <w:r>
        <w:rPr>
          <w:rFonts w:hint="eastAsia" w:ascii="仿宋_GB2312" w:hAnsi="宋体" w:eastAsia="仿宋_GB2312" w:cs="仿宋_GB2312"/>
          <w:kern w:val="0"/>
          <w:sz w:val="32"/>
          <w:szCs w:val="32"/>
        </w:rPr>
        <w:t>一、</w:t>
      </w:r>
      <w:r>
        <w:rPr>
          <w:rFonts w:hint="eastAsia" w:ascii="仿宋_GB2312" w:hAnsi="仿宋_GB2312" w:eastAsia="仿宋_GB2312" w:cs="仿宋_GB2312"/>
          <w:kern w:val="0"/>
          <w:sz w:val="32"/>
          <w:szCs w:val="32"/>
        </w:rPr>
        <w:t>关于</w:t>
      </w:r>
      <w:r>
        <w:rPr>
          <w:rFonts w:hint="eastAsia" w:ascii="仿宋_GB2312" w:hAnsi="仿宋_GB2312" w:eastAsia="仿宋_GB2312" w:cs="仿宋_GB2312"/>
          <w:kern w:val="0"/>
          <w:sz w:val="32"/>
          <w:szCs w:val="32"/>
          <w:lang w:eastAsia="zh-CN"/>
        </w:rPr>
        <w:t>吉木萨尔县交通运输局</w:t>
      </w:r>
      <w:r>
        <w:rPr>
          <w:rFonts w:eastAsia="仿宋_GB2312"/>
          <w:kern w:val="0"/>
          <w:sz w:val="32"/>
          <w:szCs w:val="32"/>
        </w:rPr>
        <w:t>2020</w:t>
      </w:r>
      <w:r>
        <w:rPr>
          <w:rFonts w:hint="eastAsia" w:eastAsia="仿宋_GB2312" w:cs="仿宋_GB2312"/>
          <w:kern w:val="0"/>
          <w:sz w:val="32"/>
          <w:szCs w:val="32"/>
        </w:rPr>
        <w:t>年收支预算情况的总体说明</w:t>
      </w:r>
    </w:p>
    <w:p>
      <w:pPr>
        <w:widowControl/>
        <w:spacing w:line="600" w:lineRule="exact"/>
        <w:ind w:firstLine="640" w:firstLineChars="200"/>
        <w:outlineLvl w:val="1"/>
        <w:rPr>
          <w:rFonts w:eastAsia="仿宋_GB2312"/>
          <w:kern w:val="0"/>
          <w:sz w:val="32"/>
          <w:szCs w:val="32"/>
        </w:rPr>
      </w:pPr>
      <w:r>
        <w:rPr>
          <w:rFonts w:hint="eastAsia" w:eastAsia="仿宋_GB2312" w:cs="仿宋_GB2312"/>
          <w:kern w:val="0"/>
          <w:sz w:val="32"/>
          <w:szCs w:val="32"/>
        </w:rPr>
        <w:t>二、</w:t>
      </w:r>
      <w:r>
        <w:rPr>
          <w:rFonts w:hint="eastAsia" w:hAnsi="仿宋_GB2312" w:eastAsia="仿宋_GB2312" w:cs="仿宋_GB2312"/>
          <w:kern w:val="0"/>
          <w:sz w:val="32"/>
          <w:szCs w:val="32"/>
        </w:rPr>
        <w:t>关于</w:t>
      </w:r>
      <w:r>
        <w:rPr>
          <w:rFonts w:hint="eastAsia" w:hAnsi="仿宋_GB2312" w:eastAsia="仿宋_GB2312" w:cs="仿宋_GB2312"/>
          <w:kern w:val="0"/>
          <w:sz w:val="32"/>
          <w:szCs w:val="32"/>
          <w:lang w:eastAsia="zh-CN"/>
        </w:rPr>
        <w:t>吉木萨尔县交通运输局</w:t>
      </w:r>
      <w:r>
        <w:rPr>
          <w:rFonts w:eastAsia="仿宋_GB2312"/>
          <w:kern w:val="0"/>
          <w:sz w:val="32"/>
          <w:szCs w:val="32"/>
        </w:rPr>
        <w:t>2020</w:t>
      </w:r>
      <w:r>
        <w:rPr>
          <w:rFonts w:hint="eastAsia" w:eastAsia="仿宋_GB2312" w:cs="仿宋_GB2312"/>
          <w:kern w:val="0"/>
          <w:sz w:val="32"/>
          <w:szCs w:val="32"/>
        </w:rPr>
        <w:t>年收入预算情况说明</w:t>
      </w:r>
    </w:p>
    <w:p>
      <w:pPr>
        <w:widowControl/>
        <w:spacing w:line="600" w:lineRule="exact"/>
        <w:ind w:firstLine="640" w:firstLineChars="200"/>
        <w:outlineLvl w:val="1"/>
        <w:rPr>
          <w:rFonts w:eastAsia="仿宋_GB2312"/>
          <w:kern w:val="0"/>
          <w:sz w:val="32"/>
          <w:szCs w:val="32"/>
        </w:rPr>
      </w:pPr>
      <w:r>
        <w:rPr>
          <w:rFonts w:hint="eastAsia" w:eastAsia="仿宋_GB2312" w:cs="仿宋_GB2312"/>
          <w:kern w:val="0"/>
          <w:sz w:val="32"/>
          <w:szCs w:val="32"/>
        </w:rPr>
        <w:t>三、</w:t>
      </w:r>
      <w:r>
        <w:rPr>
          <w:rFonts w:hint="eastAsia" w:hAnsi="仿宋_GB2312" w:eastAsia="仿宋_GB2312" w:cs="仿宋_GB2312"/>
          <w:kern w:val="0"/>
          <w:sz w:val="32"/>
          <w:szCs w:val="32"/>
        </w:rPr>
        <w:t>关于</w:t>
      </w:r>
      <w:r>
        <w:rPr>
          <w:rFonts w:hint="eastAsia" w:hAnsi="仿宋_GB2312" w:eastAsia="仿宋_GB2312" w:cs="仿宋_GB2312"/>
          <w:kern w:val="0"/>
          <w:sz w:val="32"/>
          <w:szCs w:val="32"/>
          <w:lang w:eastAsia="zh-CN"/>
        </w:rPr>
        <w:t>吉木萨尔县交通运输局</w:t>
      </w:r>
      <w:r>
        <w:rPr>
          <w:rFonts w:eastAsia="仿宋_GB2312"/>
          <w:kern w:val="0"/>
          <w:sz w:val="32"/>
          <w:szCs w:val="32"/>
        </w:rPr>
        <w:t>2020</w:t>
      </w:r>
      <w:r>
        <w:rPr>
          <w:rFonts w:hint="eastAsia" w:eastAsia="仿宋_GB2312" w:cs="仿宋_GB2312"/>
          <w:kern w:val="0"/>
          <w:sz w:val="32"/>
          <w:szCs w:val="32"/>
        </w:rPr>
        <w:t>年支出预算情况说明</w:t>
      </w:r>
    </w:p>
    <w:p>
      <w:pPr>
        <w:widowControl/>
        <w:spacing w:line="600" w:lineRule="exact"/>
        <w:ind w:firstLine="640" w:firstLineChars="200"/>
        <w:outlineLvl w:val="1"/>
        <w:rPr>
          <w:rFonts w:eastAsia="仿宋_GB2312"/>
          <w:kern w:val="0"/>
          <w:sz w:val="32"/>
          <w:szCs w:val="32"/>
        </w:rPr>
      </w:pPr>
      <w:r>
        <w:rPr>
          <w:rFonts w:hint="eastAsia" w:eastAsia="仿宋_GB2312" w:cs="仿宋_GB2312"/>
          <w:kern w:val="0"/>
          <w:sz w:val="32"/>
          <w:szCs w:val="32"/>
        </w:rPr>
        <w:t>四、</w:t>
      </w:r>
      <w:r>
        <w:rPr>
          <w:rFonts w:hint="eastAsia" w:hAnsi="仿宋_GB2312" w:eastAsia="仿宋_GB2312" w:cs="仿宋_GB2312"/>
          <w:kern w:val="0"/>
          <w:sz w:val="32"/>
          <w:szCs w:val="32"/>
        </w:rPr>
        <w:t>关于</w:t>
      </w:r>
      <w:r>
        <w:rPr>
          <w:rFonts w:hint="eastAsia" w:hAnsi="仿宋_GB2312" w:eastAsia="仿宋_GB2312" w:cs="仿宋_GB2312"/>
          <w:kern w:val="0"/>
          <w:sz w:val="32"/>
          <w:szCs w:val="32"/>
          <w:lang w:eastAsia="zh-CN"/>
        </w:rPr>
        <w:t>吉木萨尔县交通运输局</w:t>
      </w:r>
      <w:r>
        <w:rPr>
          <w:rFonts w:eastAsia="仿宋_GB2312"/>
          <w:kern w:val="0"/>
          <w:sz w:val="32"/>
          <w:szCs w:val="32"/>
        </w:rPr>
        <w:t>2020</w:t>
      </w:r>
      <w:r>
        <w:rPr>
          <w:rFonts w:hint="eastAsia" w:eastAsia="仿宋_GB2312" w:cs="仿宋_GB2312"/>
          <w:kern w:val="0"/>
          <w:sz w:val="32"/>
          <w:szCs w:val="32"/>
        </w:rPr>
        <w:t>年财政拨款收支预算情况的总体说明</w:t>
      </w:r>
    </w:p>
    <w:p>
      <w:pPr>
        <w:widowControl/>
        <w:spacing w:line="600" w:lineRule="exact"/>
        <w:ind w:firstLine="640" w:firstLineChars="200"/>
        <w:outlineLvl w:val="1"/>
        <w:rPr>
          <w:rFonts w:eastAsia="仿宋_GB2312"/>
          <w:kern w:val="0"/>
          <w:sz w:val="32"/>
          <w:szCs w:val="32"/>
        </w:rPr>
      </w:pPr>
      <w:r>
        <w:rPr>
          <w:rFonts w:hint="eastAsia" w:eastAsia="仿宋_GB2312" w:cs="仿宋_GB2312"/>
          <w:kern w:val="0"/>
          <w:sz w:val="32"/>
          <w:szCs w:val="32"/>
        </w:rPr>
        <w:t>五、</w:t>
      </w:r>
      <w:r>
        <w:rPr>
          <w:rFonts w:hint="eastAsia" w:hAnsi="仿宋_GB2312" w:eastAsia="仿宋_GB2312" w:cs="仿宋_GB2312"/>
          <w:kern w:val="0"/>
          <w:sz w:val="32"/>
          <w:szCs w:val="32"/>
        </w:rPr>
        <w:t>关于</w:t>
      </w:r>
      <w:r>
        <w:rPr>
          <w:rFonts w:hint="eastAsia" w:hAnsi="仿宋_GB2312" w:eastAsia="仿宋_GB2312" w:cs="仿宋_GB2312"/>
          <w:kern w:val="0"/>
          <w:sz w:val="32"/>
          <w:szCs w:val="32"/>
          <w:lang w:eastAsia="zh-CN"/>
        </w:rPr>
        <w:t>吉木萨尔县交通运输局</w:t>
      </w:r>
      <w:r>
        <w:rPr>
          <w:rFonts w:eastAsia="仿宋_GB2312"/>
          <w:kern w:val="0"/>
          <w:sz w:val="32"/>
          <w:szCs w:val="32"/>
        </w:rPr>
        <w:t>2020</w:t>
      </w:r>
      <w:r>
        <w:rPr>
          <w:rFonts w:hint="eastAsia" w:eastAsia="仿宋_GB2312" w:cs="仿宋_GB2312"/>
          <w:kern w:val="0"/>
          <w:sz w:val="32"/>
          <w:szCs w:val="32"/>
        </w:rPr>
        <w:t>年一般公共预算当年拨款情况说明</w:t>
      </w:r>
    </w:p>
    <w:p>
      <w:pPr>
        <w:widowControl/>
        <w:spacing w:line="600" w:lineRule="exact"/>
        <w:ind w:firstLine="640" w:firstLineChars="200"/>
        <w:outlineLvl w:val="1"/>
        <w:rPr>
          <w:rFonts w:eastAsia="仿宋_GB2312"/>
          <w:kern w:val="0"/>
          <w:sz w:val="32"/>
          <w:szCs w:val="32"/>
        </w:rPr>
      </w:pPr>
      <w:r>
        <w:rPr>
          <w:rFonts w:hint="eastAsia" w:eastAsia="仿宋_GB2312" w:cs="仿宋_GB2312"/>
          <w:kern w:val="0"/>
          <w:sz w:val="32"/>
          <w:szCs w:val="32"/>
        </w:rPr>
        <w:t>六、</w:t>
      </w:r>
      <w:r>
        <w:rPr>
          <w:rFonts w:hint="eastAsia" w:hAnsi="仿宋_GB2312" w:eastAsia="仿宋_GB2312" w:cs="仿宋_GB2312"/>
          <w:kern w:val="0"/>
          <w:sz w:val="32"/>
          <w:szCs w:val="32"/>
        </w:rPr>
        <w:t>关于</w:t>
      </w:r>
      <w:r>
        <w:rPr>
          <w:rFonts w:hint="eastAsia" w:hAnsi="仿宋_GB2312" w:eastAsia="仿宋_GB2312" w:cs="仿宋_GB2312"/>
          <w:kern w:val="0"/>
          <w:sz w:val="32"/>
          <w:szCs w:val="32"/>
          <w:lang w:eastAsia="zh-CN"/>
        </w:rPr>
        <w:t>吉木萨尔县交通运输局</w:t>
      </w:r>
      <w:r>
        <w:rPr>
          <w:rFonts w:eastAsia="仿宋_GB2312"/>
          <w:kern w:val="0"/>
          <w:sz w:val="32"/>
          <w:szCs w:val="32"/>
        </w:rPr>
        <w:t>2020</w:t>
      </w:r>
      <w:r>
        <w:rPr>
          <w:rFonts w:hint="eastAsia" w:eastAsia="仿宋_GB2312" w:cs="仿宋_GB2312"/>
          <w:kern w:val="0"/>
          <w:sz w:val="32"/>
          <w:szCs w:val="32"/>
        </w:rPr>
        <w:t>年一般公共预算基本支出情况说明</w:t>
      </w:r>
    </w:p>
    <w:p>
      <w:pPr>
        <w:widowControl/>
        <w:spacing w:line="600" w:lineRule="exact"/>
        <w:ind w:firstLine="640" w:firstLineChars="200"/>
        <w:outlineLvl w:val="1"/>
        <w:rPr>
          <w:rFonts w:eastAsia="仿宋_GB2312"/>
          <w:kern w:val="0"/>
          <w:sz w:val="32"/>
          <w:szCs w:val="32"/>
        </w:rPr>
      </w:pPr>
      <w:r>
        <w:rPr>
          <w:rFonts w:hint="eastAsia" w:eastAsia="仿宋_GB2312" w:cs="仿宋_GB2312"/>
          <w:kern w:val="0"/>
          <w:sz w:val="32"/>
          <w:szCs w:val="32"/>
        </w:rPr>
        <w:t>七、</w:t>
      </w:r>
      <w:r>
        <w:rPr>
          <w:rFonts w:hint="eastAsia" w:hAnsi="仿宋_GB2312" w:eastAsia="仿宋_GB2312" w:cs="仿宋_GB2312"/>
          <w:kern w:val="0"/>
          <w:sz w:val="32"/>
          <w:szCs w:val="32"/>
        </w:rPr>
        <w:t>关于</w:t>
      </w:r>
      <w:r>
        <w:rPr>
          <w:rFonts w:hint="eastAsia" w:hAnsi="仿宋_GB2312" w:eastAsia="仿宋_GB2312" w:cs="仿宋_GB2312"/>
          <w:kern w:val="0"/>
          <w:sz w:val="32"/>
          <w:szCs w:val="32"/>
          <w:lang w:eastAsia="zh-CN"/>
        </w:rPr>
        <w:t>吉木萨尔县交通运输局</w:t>
      </w:r>
      <w:r>
        <w:rPr>
          <w:rFonts w:eastAsia="仿宋_GB2312"/>
          <w:kern w:val="0"/>
          <w:sz w:val="32"/>
          <w:szCs w:val="32"/>
        </w:rPr>
        <w:t>2020</w:t>
      </w:r>
      <w:r>
        <w:rPr>
          <w:rFonts w:hint="eastAsia" w:eastAsia="仿宋_GB2312" w:cs="仿宋_GB2312"/>
          <w:kern w:val="0"/>
          <w:sz w:val="32"/>
          <w:szCs w:val="32"/>
        </w:rPr>
        <w:t>年项目支出情况说明</w:t>
      </w:r>
    </w:p>
    <w:p>
      <w:pPr>
        <w:widowControl/>
        <w:spacing w:line="600" w:lineRule="exact"/>
        <w:ind w:firstLine="640" w:firstLineChars="200"/>
        <w:outlineLvl w:val="1"/>
        <w:rPr>
          <w:rFonts w:eastAsia="仿宋_GB2312"/>
          <w:kern w:val="0"/>
          <w:sz w:val="32"/>
          <w:szCs w:val="32"/>
        </w:rPr>
      </w:pPr>
      <w:r>
        <w:rPr>
          <w:rFonts w:hint="eastAsia" w:eastAsia="仿宋_GB2312" w:cs="仿宋_GB2312"/>
          <w:kern w:val="0"/>
          <w:sz w:val="32"/>
          <w:szCs w:val="32"/>
        </w:rPr>
        <w:t>八、</w:t>
      </w:r>
      <w:r>
        <w:rPr>
          <w:rFonts w:hint="eastAsia" w:hAnsi="仿宋_GB2312" w:eastAsia="仿宋_GB2312" w:cs="仿宋_GB2312"/>
          <w:kern w:val="0"/>
          <w:sz w:val="32"/>
          <w:szCs w:val="32"/>
        </w:rPr>
        <w:t>关于</w:t>
      </w:r>
      <w:r>
        <w:rPr>
          <w:rFonts w:hint="eastAsia" w:hAnsi="仿宋_GB2312" w:eastAsia="仿宋_GB2312" w:cs="仿宋_GB2312"/>
          <w:kern w:val="0"/>
          <w:sz w:val="32"/>
          <w:szCs w:val="32"/>
          <w:lang w:eastAsia="zh-CN"/>
        </w:rPr>
        <w:t>吉木萨尔县交通运输局</w:t>
      </w:r>
      <w:r>
        <w:rPr>
          <w:rFonts w:eastAsia="仿宋_GB2312"/>
          <w:kern w:val="0"/>
          <w:sz w:val="32"/>
          <w:szCs w:val="32"/>
        </w:rPr>
        <w:t>2020</w:t>
      </w:r>
      <w:r>
        <w:rPr>
          <w:rFonts w:hint="eastAsia" w:eastAsia="仿宋_GB2312" w:cs="仿宋_GB2312"/>
          <w:kern w:val="0"/>
          <w:sz w:val="32"/>
          <w:szCs w:val="32"/>
        </w:rPr>
        <w:t>年一般公共预算</w:t>
      </w:r>
      <w:r>
        <w:rPr>
          <w:rFonts w:eastAsia="仿宋_GB2312"/>
          <w:kern w:val="0"/>
          <w:sz w:val="32"/>
          <w:szCs w:val="32"/>
        </w:rPr>
        <w:t>“</w:t>
      </w:r>
      <w:r>
        <w:rPr>
          <w:rFonts w:hint="eastAsia" w:eastAsia="仿宋_GB2312" w:cs="仿宋_GB2312"/>
          <w:kern w:val="0"/>
          <w:sz w:val="32"/>
          <w:szCs w:val="32"/>
        </w:rPr>
        <w:t>三公</w:t>
      </w:r>
      <w:r>
        <w:rPr>
          <w:rFonts w:eastAsia="仿宋_GB2312"/>
          <w:kern w:val="0"/>
          <w:sz w:val="32"/>
          <w:szCs w:val="32"/>
        </w:rPr>
        <w:t>”</w:t>
      </w:r>
      <w:r>
        <w:rPr>
          <w:rFonts w:hint="eastAsia" w:eastAsia="仿宋_GB2312" w:cs="仿宋_GB2312"/>
          <w:kern w:val="0"/>
          <w:sz w:val="32"/>
          <w:szCs w:val="32"/>
        </w:rPr>
        <w:t>经费预算情况说明</w:t>
      </w:r>
    </w:p>
    <w:p>
      <w:pPr>
        <w:widowControl/>
        <w:spacing w:line="600" w:lineRule="exact"/>
        <w:ind w:firstLine="640" w:firstLineChars="200"/>
        <w:outlineLvl w:val="1"/>
        <w:rPr>
          <w:rFonts w:ascii="仿宋_GB2312" w:hAnsi="宋体" w:eastAsia="仿宋_GB2312"/>
          <w:kern w:val="0"/>
          <w:sz w:val="32"/>
          <w:szCs w:val="32"/>
        </w:rPr>
      </w:pPr>
      <w:r>
        <w:rPr>
          <w:rFonts w:hint="eastAsia" w:eastAsia="仿宋_GB2312" w:cs="仿宋_GB2312"/>
          <w:kern w:val="0"/>
          <w:sz w:val="32"/>
          <w:szCs w:val="32"/>
        </w:rPr>
        <w:t>九、</w:t>
      </w:r>
      <w:r>
        <w:rPr>
          <w:rFonts w:hint="eastAsia" w:hAnsi="仿宋_GB2312" w:eastAsia="仿宋_GB2312" w:cs="仿宋_GB2312"/>
          <w:kern w:val="0"/>
          <w:sz w:val="32"/>
          <w:szCs w:val="32"/>
        </w:rPr>
        <w:t>关于</w:t>
      </w:r>
      <w:r>
        <w:rPr>
          <w:rFonts w:hint="eastAsia" w:hAnsi="仿宋_GB2312" w:eastAsia="仿宋_GB2312" w:cs="仿宋_GB2312"/>
          <w:kern w:val="0"/>
          <w:sz w:val="32"/>
          <w:szCs w:val="32"/>
          <w:lang w:eastAsia="zh-CN"/>
        </w:rPr>
        <w:t>吉木萨尔县交通运输局</w:t>
      </w:r>
      <w:r>
        <w:rPr>
          <w:rFonts w:eastAsia="仿宋_GB2312"/>
          <w:kern w:val="0"/>
          <w:sz w:val="32"/>
          <w:szCs w:val="32"/>
        </w:rPr>
        <w:t>2020</w:t>
      </w:r>
      <w:r>
        <w:rPr>
          <w:rFonts w:hint="eastAsia" w:ascii="仿宋_GB2312" w:hAnsi="宋体" w:eastAsia="仿宋_GB2312" w:cs="仿宋_GB2312"/>
          <w:kern w:val="0"/>
          <w:sz w:val="32"/>
          <w:szCs w:val="32"/>
        </w:rPr>
        <w:t>年政府性基金预算拨款情况说明</w:t>
      </w:r>
    </w:p>
    <w:p>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十、其他重要事项的情况说明</w:t>
      </w:r>
    </w:p>
    <w:p>
      <w:pPr>
        <w:widowControl/>
        <w:spacing w:line="600" w:lineRule="exact"/>
        <w:ind w:firstLine="643" w:firstLineChars="200"/>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第四部分</w:t>
      </w:r>
      <w:r>
        <w:rPr>
          <w:rFonts w:ascii="仿宋_GB2312" w:hAnsi="宋体" w:eastAsia="仿宋_GB2312" w:cs="仿宋_GB2312"/>
          <w:b/>
          <w:bCs/>
          <w:kern w:val="0"/>
          <w:sz w:val="32"/>
          <w:szCs w:val="32"/>
        </w:rPr>
        <w:t xml:space="preserve">  </w:t>
      </w:r>
      <w:r>
        <w:rPr>
          <w:rFonts w:hint="eastAsia" w:ascii="仿宋_GB2312" w:hAnsi="宋体" w:eastAsia="仿宋_GB2312" w:cs="仿宋_GB2312"/>
          <w:b/>
          <w:bCs/>
          <w:kern w:val="0"/>
          <w:sz w:val="32"/>
          <w:szCs w:val="32"/>
        </w:rPr>
        <w:t>名词解释</w:t>
      </w:r>
    </w:p>
    <w:p>
      <w:pPr>
        <w:widowControl/>
        <w:spacing w:line="600" w:lineRule="exact"/>
        <w:jc w:val="center"/>
        <w:outlineLvl w:val="1"/>
        <w:rPr>
          <w:rFonts w:ascii="黑体" w:hAnsi="黑体" w:eastAsia="黑体"/>
          <w:kern w:val="0"/>
          <w:sz w:val="32"/>
          <w:szCs w:val="32"/>
        </w:rPr>
      </w:pPr>
    </w:p>
    <w:p>
      <w:pPr>
        <w:widowControl/>
        <w:spacing w:line="600" w:lineRule="exact"/>
        <w:jc w:val="center"/>
        <w:outlineLvl w:val="1"/>
        <w:rPr>
          <w:rFonts w:ascii="黑体" w:hAnsi="黑体" w:eastAsia="黑体"/>
          <w:kern w:val="0"/>
          <w:sz w:val="32"/>
          <w:szCs w:val="32"/>
        </w:rPr>
      </w:pPr>
    </w:p>
    <w:p>
      <w:pPr>
        <w:widowControl/>
        <w:spacing w:line="600" w:lineRule="exact"/>
        <w:jc w:val="center"/>
        <w:outlineLvl w:val="1"/>
        <w:rPr>
          <w:rFonts w:ascii="黑体" w:hAnsi="黑体" w:eastAsia="黑体"/>
          <w:kern w:val="0"/>
          <w:sz w:val="32"/>
          <w:szCs w:val="32"/>
        </w:rPr>
      </w:pPr>
    </w:p>
    <w:p>
      <w:pPr>
        <w:widowControl/>
        <w:spacing w:line="600" w:lineRule="exact"/>
        <w:jc w:val="center"/>
        <w:outlineLvl w:val="1"/>
        <w:rPr>
          <w:rFonts w:ascii="黑体" w:hAnsi="黑体" w:eastAsia="黑体"/>
          <w:kern w:val="0"/>
          <w:sz w:val="32"/>
          <w:szCs w:val="32"/>
        </w:rPr>
      </w:pPr>
    </w:p>
    <w:p>
      <w:pPr>
        <w:widowControl/>
        <w:spacing w:line="600" w:lineRule="exact"/>
        <w:jc w:val="center"/>
        <w:outlineLvl w:val="1"/>
        <w:rPr>
          <w:rFonts w:ascii="黑体" w:hAnsi="黑体" w:eastAsia="黑体"/>
          <w:kern w:val="0"/>
          <w:sz w:val="32"/>
          <w:szCs w:val="32"/>
        </w:rPr>
      </w:pPr>
    </w:p>
    <w:p>
      <w:pPr>
        <w:widowControl/>
        <w:spacing w:line="600" w:lineRule="exact"/>
        <w:jc w:val="center"/>
        <w:outlineLvl w:val="1"/>
        <w:rPr>
          <w:rFonts w:ascii="黑体" w:hAnsi="黑体" w:eastAsia="黑体"/>
          <w:kern w:val="0"/>
          <w:sz w:val="32"/>
          <w:szCs w:val="32"/>
        </w:rPr>
      </w:pPr>
    </w:p>
    <w:p>
      <w:pPr>
        <w:widowControl/>
        <w:spacing w:line="600" w:lineRule="exact"/>
        <w:jc w:val="center"/>
        <w:outlineLvl w:val="1"/>
        <w:rPr>
          <w:rFonts w:ascii="黑体" w:hAnsi="黑体" w:eastAsia="黑体"/>
          <w:kern w:val="0"/>
          <w:sz w:val="32"/>
          <w:szCs w:val="32"/>
        </w:rPr>
      </w:pPr>
    </w:p>
    <w:p>
      <w:pPr>
        <w:widowControl/>
        <w:spacing w:line="600" w:lineRule="exact"/>
        <w:jc w:val="center"/>
        <w:outlineLvl w:val="1"/>
        <w:rPr>
          <w:rFonts w:ascii="黑体" w:hAnsi="黑体" w:eastAsia="黑体"/>
          <w:kern w:val="0"/>
          <w:sz w:val="32"/>
          <w:szCs w:val="32"/>
        </w:rPr>
      </w:pPr>
    </w:p>
    <w:p>
      <w:pPr>
        <w:widowControl/>
        <w:spacing w:line="600" w:lineRule="exact"/>
        <w:jc w:val="center"/>
        <w:outlineLvl w:val="1"/>
        <w:rPr>
          <w:rFonts w:ascii="黑体" w:hAnsi="黑体" w:eastAsia="黑体"/>
          <w:kern w:val="0"/>
          <w:sz w:val="32"/>
          <w:szCs w:val="32"/>
        </w:rPr>
      </w:pPr>
      <w:r>
        <w:rPr>
          <w:rFonts w:hint="eastAsia" w:ascii="黑体" w:hAnsi="黑体" w:eastAsia="黑体" w:cs="黑体"/>
          <w:kern w:val="0"/>
          <w:sz w:val="32"/>
          <w:szCs w:val="32"/>
        </w:rPr>
        <w:t>第一部分</w:t>
      </w:r>
      <w:r>
        <w:rPr>
          <w:rFonts w:ascii="黑体" w:hAnsi="黑体" w:eastAsia="黑体" w:cs="黑体"/>
          <w:kern w:val="0"/>
          <w:sz w:val="32"/>
          <w:szCs w:val="32"/>
        </w:rPr>
        <w:t xml:space="preserve">  </w:t>
      </w:r>
      <w:r>
        <w:rPr>
          <w:rFonts w:hint="eastAsia" w:ascii="黑体" w:hAnsi="黑体" w:eastAsia="黑体" w:cs="黑体"/>
          <w:kern w:val="0"/>
          <w:sz w:val="32"/>
          <w:szCs w:val="32"/>
          <w:lang w:eastAsia="zh-CN"/>
        </w:rPr>
        <w:t>吉木萨尔县交通运输局</w:t>
      </w:r>
      <w:r>
        <w:rPr>
          <w:rFonts w:hint="eastAsia" w:ascii="黑体" w:hAnsi="黑体" w:eastAsia="黑体" w:cs="黑体"/>
          <w:kern w:val="0"/>
          <w:sz w:val="32"/>
          <w:szCs w:val="32"/>
        </w:rPr>
        <w:t>单位概况</w:t>
      </w:r>
    </w:p>
    <w:p>
      <w:pPr>
        <w:widowControl/>
        <w:spacing w:line="600" w:lineRule="exact"/>
        <w:jc w:val="center"/>
        <w:outlineLvl w:val="1"/>
        <w:rPr>
          <w:rFonts w:ascii="宋体"/>
          <w:b/>
          <w:bCs/>
          <w:kern w:val="0"/>
          <w:sz w:val="32"/>
          <w:szCs w:val="32"/>
        </w:rPr>
      </w:pPr>
    </w:p>
    <w:p>
      <w:pPr>
        <w:widowControl/>
        <w:spacing w:line="600" w:lineRule="exact"/>
        <w:jc w:val="left"/>
        <w:rPr>
          <w:rFonts w:hint="eastAsia" w:ascii="黑体" w:hAnsi="黑体" w:eastAsia="黑体"/>
          <w:kern w:val="0"/>
          <w:sz w:val="32"/>
          <w:szCs w:val="32"/>
        </w:rPr>
      </w:pPr>
      <w:r>
        <w:rPr>
          <w:rFonts w:hint="eastAsia" w:ascii="仿宋_GB2312" w:hAnsi="宋体" w:eastAsia="仿宋_GB2312" w:cs="仿宋_GB2312"/>
          <w:kern w:val="0"/>
          <w:sz w:val="32"/>
          <w:szCs w:val="32"/>
        </w:rPr>
        <w:t>　</w:t>
      </w:r>
      <w:r>
        <w:rPr>
          <w:rFonts w:ascii="仿宋_GB2312" w:hAnsi="宋体" w:eastAsia="仿宋_GB2312" w:cs="仿宋_GB2312"/>
          <w:kern w:val="0"/>
          <w:sz w:val="32"/>
          <w:szCs w:val="32"/>
        </w:rPr>
        <w:t xml:space="preserve">  </w:t>
      </w:r>
      <w:r>
        <w:rPr>
          <w:rFonts w:hint="eastAsia" w:ascii="黑体" w:hAnsi="黑体" w:eastAsia="黑体" w:cs="黑体"/>
          <w:kern w:val="0"/>
          <w:sz w:val="32"/>
          <w:szCs w:val="32"/>
        </w:rPr>
        <w:t>一、主要职能</w:t>
      </w:r>
    </w:p>
    <w:p>
      <w:pPr>
        <w:widowControl/>
        <w:spacing w:line="600" w:lineRule="exact"/>
        <w:ind w:firstLine="640" w:firstLineChars="200"/>
        <w:jc w:val="left"/>
        <w:rPr>
          <w:rFonts w:hint="eastAsia" w:hAnsi="仿宋_GB2312" w:eastAsia="仿宋_GB2312" w:cs="仿宋_GB2312"/>
          <w:kern w:val="0"/>
          <w:sz w:val="32"/>
          <w:szCs w:val="32"/>
        </w:rPr>
      </w:pPr>
      <w:r>
        <w:rPr>
          <w:rFonts w:hint="eastAsia" w:hAnsi="仿宋_GB2312" w:eastAsia="仿宋_GB2312" w:cs="仿宋_GB2312"/>
          <w:kern w:val="0"/>
          <w:sz w:val="32"/>
          <w:szCs w:val="32"/>
        </w:rPr>
        <w:t>根据中共昌吉州委办公室　昌吉州人民政府办公室《关于印发&lt;吉木萨尔县人民政府机构改革方案&gt;的通知》（昌州党办字〔2011〕42号）和吉木萨尔县委、县人民政府《关于吉木萨尔县人民政府机构设置的通知》（吉县党发〔2012〕3号）精神，设立吉木萨尔县交通运输局，是吉木萨尔县人民政府负责交通运输工作的工作部门。</w:t>
      </w:r>
    </w:p>
    <w:p>
      <w:pPr>
        <w:widowControl/>
        <w:spacing w:line="600" w:lineRule="exact"/>
        <w:ind w:firstLine="640" w:firstLineChars="200"/>
        <w:jc w:val="left"/>
        <w:rPr>
          <w:rFonts w:hint="eastAsia" w:hAnsi="仿宋_GB2312" w:eastAsia="仿宋_GB2312" w:cs="仿宋_GB2312"/>
          <w:kern w:val="0"/>
          <w:sz w:val="32"/>
          <w:szCs w:val="32"/>
        </w:rPr>
      </w:pPr>
      <w:r>
        <w:rPr>
          <w:rFonts w:hint="eastAsia" w:hAnsi="仿宋_GB2312" w:eastAsia="仿宋_GB2312" w:cs="仿宋_GB2312"/>
          <w:kern w:val="0"/>
          <w:sz w:val="32"/>
          <w:szCs w:val="32"/>
        </w:rPr>
        <w:t xml:space="preserve">（一）贯彻执行国家和自治区、自治州有关公路交通运输行业的法律、法规、方针、政策，并组织实施和监督检查；拟订本县农村公路网、交通运输业发展规划和中长期计划并监督实施。 </w:t>
      </w:r>
      <w:r>
        <w:rPr>
          <w:rFonts w:ascii="Calibri" w:hAnsi="Calibri" w:eastAsia="仿宋_GB2312" w:cs="Calibri"/>
          <w:kern w:val="0"/>
          <w:sz w:val="32"/>
          <w:szCs w:val="32"/>
        </w:rPr>
        <w:t>   </w:t>
      </w:r>
    </w:p>
    <w:p>
      <w:pPr>
        <w:widowControl/>
        <w:spacing w:line="600" w:lineRule="exact"/>
        <w:ind w:firstLine="640" w:firstLineChars="200"/>
        <w:jc w:val="left"/>
        <w:rPr>
          <w:rFonts w:hint="eastAsia" w:hAnsi="仿宋_GB2312" w:eastAsia="仿宋_GB2312" w:cs="仿宋_GB2312"/>
          <w:kern w:val="0"/>
          <w:sz w:val="32"/>
          <w:szCs w:val="32"/>
        </w:rPr>
      </w:pPr>
      <w:r>
        <w:rPr>
          <w:rFonts w:hint="eastAsia" w:hAnsi="仿宋_GB2312" w:eastAsia="仿宋_GB2312" w:cs="仿宋_GB2312"/>
          <w:kern w:val="0"/>
          <w:sz w:val="32"/>
          <w:szCs w:val="32"/>
        </w:rPr>
        <w:t>（二）组织领导吉木萨尔县道路运输管理工作，承担辖区内运输线路、营运车辆、运输站场等管理工作；做好本行业交通运输安全生产的监督管理工作；负责组织和监督城乡道路客运燃油消耗申报及油价补贴专项资金发放工作。负责城市公交、出租汽车管理工作；负责汽车维修市场、车辆技术检测、汽车驾驶学校、驾驶员培训工作的行业管理。指导吉木萨尔县交通运输行业体制改革；培育和管理交通运输市场，维护交通运输行业的平等竞争秩序。</w:t>
      </w:r>
    </w:p>
    <w:p>
      <w:pPr>
        <w:widowControl/>
        <w:spacing w:line="600" w:lineRule="exact"/>
        <w:ind w:firstLine="640" w:firstLineChars="200"/>
        <w:jc w:val="left"/>
        <w:rPr>
          <w:rFonts w:hint="eastAsia" w:hAnsi="仿宋_GB2312" w:eastAsia="仿宋_GB2312" w:cs="仿宋_GB2312"/>
          <w:kern w:val="0"/>
          <w:sz w:val="32"/>
          <w:szCs w:val="32"/>
        </w:rPr>
      </w:pPr>
      <w:r>
        <w:rPr>
          <w:rFonts w:hint="eastAsia" w:hAnsi="仿宋_GB2312" w:eastAsia="仿宋_GB2312" w:cs="仿宋_GB2312"/>
          <w:kern w:val="0"/>
          <w:sz w:val="32"/>
          <w:szCs w:val="32"/>
        </w:rPr>
        <w:t>（三）承担公路建设市场监管责任。监督实施公路工程建设相关政策、制度和技术标准，组织协调吉木萨尔县公路重点工程建设和工程质量、安全生产监督管理工作，维护交通基础设施建设秩序。负责辖区内公路交通基础设施的建设、管理和维护工作。配合做好重要专用公路的规划、建设、管理工作。负责吉木萨尔县农村公路的安全保护工作。负责超限运输车辆行驶公路、桥梁的审批；公路两侧建筑控制区内埋设管线、电缆的审批；跨越、穿越公路架设、埋设管线、电缆等设施的许可。指导吉木萨尔县农村公路路政管理工作，依法保护农村公路路产路权。</w:t>
      </w:r>
    </w:p>
    <w:p>
      <w:pPr>
        <w:widowControl/>
        <w:spacing w:line="600" w:lineRule="exact"/>
        <w:ind w:firstLine="640" w:firstLineChars="200"/>
        <w:jc w:val="left"/>
        <w:rPr>
          <w:rFonts w:hint="eastAsia" w:hAnsi="仿宋_GB2312" w:eastAsia="仿宋_GB2312" w:cs="仿宋_GB2312"/>
          <w:kern w:val="0"/>
          <w:sz w:val="32"/>
          <w:szCs w:val="32"/>
        </w:rPr>
      </w:pPr>
      <w:r>
        <w:rPr>
          <w:rFonts w:hint="eastAsia" w:hAnsi="仿宋_GB2312" w:eastAsia="仿宋_GB2312" w:cs="仿宋_GB2312"/>
          <w:kern w:val="0"/>
          <w:sz w:val="32"/>
          <w:szCs w:val="32"/>
        </w:rPr>
        <w:t>（四）承担吉木萨尔县农村公路养护管理责任。编制并上报农村公路养护建议计划，管理农村公路养护资金，组织培训养护管理人员，组织实施并指导监督农村公路管理养护工作；依法制定地震、泥石流、雨雪冰冻灾害等损毁公路的突发事件应急预案，并报县人民政府批准后实施。</w:t>
      </w:r>
    </w:p>
    <w:p>
      <w:pPr>
        <w:widowControl/>
        <w:spacing w:line="600" w:lineRule="exact"/>
        <w:ind w:firstLine="640" w:firstLineChars="200"/>
        <w:jc w:val="left"/>
        <w:rPr>
          <w:rFonts w:hint="eastAsia" w:hAnsi="仿宋_GB2312" w:eastAsia="仿宋_GB2312" w:cs="仿宋_GB2312"/>
          <w:kern w:val="0"/>
          <w:sz w:val="32"/>
          <w:szCs w:val="32"/>
        </w:rPr>
      </w:pPr>
      <w:r>
        <w:rPr>
          <w:rFonts w:hint="eastAsia" w:hAnsi="仿宋_GB2312" w:eastAsia="仿宋_GB2312" w:cs="仿宋_GB2312"/>
          <w:kern w:val="0"/>
          <w:sz w:val="32"/>
          <w:szCs w:val="32"/>
        </w:rPr>
        <w:t>（五）负责做好吉木萨尔县一般农村公路及客运站点建设的财务管理及统计工作，配合相关单位做好农村公路及客运站点建设的项目审计工作；会同有关部门监督执行交通行业价格、税收及相关政策。</w:t>
      </w:r>
    </w:p>
    <w:p>
      <w:pPr>
        <w:widowControl/>
        <w:spacing w:line="600" w:lineRule="exact"/>
        <w:ind w:firstLine="640" w:firstLineChars="200"/>
        <w:jc w:val="left"/>
        <w:rPr>
          <w:rFonts w:hint="eastAsia" w:hAnsi="仿宋_GB2312" w:eastAsia="仿宋_GB2312" w:cs="仿宋_GB2312"/>
          <w:kern w:val="0"/>
          <w:sz w:val="32"/>
          <w:szCs w:val="32"/>
        </w:rPr>
      </w:pPr>
      <w:r>
        <w:rPr>
          <w:rFonts w:hint="eastAsia" w:hAnsi="仿宋_GB2312" w:eastAsia="仿宋_GB2312" w:cs="仿宋_GB2312"/>
          <w:kern w:val="0"/>
          <w:sz w:val="32"/>
          <w:szCs w:val="32"/>
        </w:rPr>
        <w:t>（六）贯彻执行交通行业科技政策、技术标准和规范；做好县交通运输行业职工队伍建设和精神文明建设工作；做好交通运输行业环境保护和节能减排工作。</w:t>
      </w:r>
    </w:p>
    <w:p>
      <w:pPr>
        <w:widowControl/>
        <w:spacing w:line="600" w:lineRule="exact"/>
        <w:ind w:firstLine="640" w:firstLineChars="200"/>
        <w:jc w:val="left"/>
        <w:rPr>
          <w:rFonts w:hint="eastAsia" w:hAnsi="仿宋_GB2312" w:eastAsia="仿宋_GB2312" w:cs="仿宋_GB2312"/>
          <w:kern w:val="0"/>
          <w:sz w:val="32"/>
          <w:szCs w:val="32"/>
        </w:rPr>
      </w:pPr>
      <w:r>
        <w:rPr>
          <w:rFonts w:hint="eastAsia" w:hAnsi="仿宋_GB2312" w:eastAsia="仿宋_GB2312" w:cs="仿宋_GB2312"/>
          <w:kern w:val="0"/>
          <w:sz w:val="32"/>
          <w:szCs w:val="32"/>
        </w:rPr>
        <w:t>（七）负责做好交通运输行业的法制宣传、行政复议、行政应诉、行政执法和监督工作。</w:t>
      </w:r>
    </w:p>
    <w:p>
      <w:pPr>
        <w:widowControl/>
        <w:spacing w:line="600" w:lineRule="exact"/>
        <w:ind w:firstLine="640" w:firstLineChars="200"/>
        <w:jc w:val="left"/>
        <w:rPr>
          <w:rFonts w:hint="eastAsia" w:hAnsi="仿宋_GB2312" w:eastAsia="仿宋_GB2312" w:cs="仿宋_GB2312"/>
          <w:kern w:val="0"/>
          <w:sz w:val="32"/>
          <w:szCs w:val="32"/>
        </w:rPr>
      </w:pPr>
      <w:r>
        <w:rPr>
          <w:rFonts w:hint="eastAsia" w:hAnsi="仿宋_GB2312" w:eastAsia="仿宋_GB2312" w:cs="仿宋_GB2312"/>
          <w:kern w:val="0"/>
          <w:sz w:val="32"/>
          <w:szCs w:val="32"/>
        </w:rPr>
        <w:t>（八）负责县交通战备工作。</w:t>
      </w:r>
    </w:p>
    <w:p>
      <w:pPr>
        <w:widowControl/>
        <w:spacing w:line="600" w:lineRule="exact"/>
        <w:ind w:firstLine="640" w:firstLineChars="200"/>
        <w:jc w:val="left"/>
        <w:rPr>
          <w:rFonts w:hint="eastAsia" w:hAnsi="仿宋_GB2312" w:eastAsia="仿宋_GB2312" w:cs="仿宋_GB2312"/>
          <w:kern w:val="0"/>
          <w:sz w:val="32"/>
          <w:szCs w:val="32"/>
        </w:rPr>
      </w:pPr>
      <w:r>
        <w:rPr>
          <w:rFonts w:hint="eastAsia" w:hAnsi="仿宋_GB2312" w:eastAsia="仿宋_GB2312" w:cs="仿宋_GB2312"/>
          <w:kern w:val="0"/>
          <w:sz w:val="32"/>
          <w:szCs w:val="32"/>
        </w:rPr>
        <w:t>（九）承办县人民政府交办的其他事项。</w:t>
      </w:r>
    </w:p>
    <w:p>
      <w:pPr>
        <w:widowControl/>
        <w:spacing w:line="600" w:lineRule="exact"/>
        <w:jc w:val="left"/>
        <w:rPr>
          <w:rFonts w:ascii="黑体" w:hAnsi="黑体" w:eastAsia="黑体"/>
          <w:kern w:val="0"/>
          <w:sz w:val="32"/>
          <w:szCs w:val="32"/>
        </w:rPr>
      </w:pPr>
      <w:r>
        <w:rPr>
          <w:rFonts w:hint="eastAsia" w:ascii="仿宋_GB2312" w:hAnsi="宋体" w:eastAsia="仿宋_GB2312" w:cs="仿宋_GB2312"/>
          <w:kern w:val="0"/>
          <w:sz w:val="32"/>
          <w:szCs w:val="32"/>
        </w:rPr>
        <w:t>　</w:t>
      </w:r>
      <w:r>
        <w:rPr>
          <w:rFonts w:ascii="仿宋_GB2312" w:hAnsi="宋体" w:eastAsia="仿宋_GB2312" w:cs="仿宋_GB2312"/>
          <w:kern w:val="0"/>
          <w:sz w:val="32"/>
          <w:szCs w:val="32"/>
        </w:rPr>
        <w:t xml:space="preserve">  </w:t>
      </w:r>
      <w:r>
        <w:rPr>
          <w:rFonts w:hint="eastAsia" w:ascii="黑体" w:hAnsi="黑体" w:eastAsia="黑体" w:cs="黑体"/>
          <w:kern w:val="0"/>
          <w:sz w:val="32"/>
          <w:szCs w:val="32"/>
        </w:rPr>
        <w:t>二、机构设置及人员情况</w:t>
      </w:r>
    </w:p>
    <w:p>
      <w:pPr>
        <w:widowControl/>
        <w:spacing w:line="600" w:lineRule="exact"/>
        <w:ind w:firstLine="640" w:firstLineChars="200"/>
        <w:jc w:val="left"/>
        <w:rPr>
          <w:rFonts w:eastAsia="仿宋_GB2312"/>
          <w:kern w:val="0"/>
          <w:sz w:val="32"/>
          <w:szCs w:val="32"/>
          <w:highlight w:val="none"/>
        </w:rPr>
      </w:pPr>
      <w:r>
        <w:rPr>
          <w:rFonts w:hint="eastAsia" w:hAnsi="仿宋_GB2312" w:eastAsia="仿宋_GB2312" w:cs="仿宋_GB2312"/>
          <w:kern w:val="0"/>
          <w:sz w:val="32"/>
          <w:szCs w:val="32"/>
          <w:highlight w:val="none"/>
          <w:lang w:eastAsia="zh-CN"/>
        </w:rPr>
        <w:t>吉木萨尔县</w:t>
      </w:r>
      <w:r>
        <w:rPr>
          <w:rFonts w:hint="eastAsia" w:eastAsia="仿宋_GB2312"/>
          <w:kern w:val="0"/>
          <w:sz w:val="32"/>
          <w:szCs w:val="32"/>
          <w:highlight w:val="none"/>
        </w:rPr>
        <w:t>交通局无下属预算单位，下设5个处室，分别是农村公路养护管理站、路政稽查站、城市客运管理办公室、质量监督站、行政办公室。</w:t>
      </w:r>
    </w:p>
    <w:p>
      <w:pPr>
        <w:widowControl/>
        <w:spacing w:line="600" w:lineRule="exact"/>
        <w:ind w:firstLine="640" w:firstLineChars="200"/>
        <w:jc w:val="left"/>
        <w:rPr>
          <w:rFonts w:eastAsia="仿宋_GB2312"/>
          <w:kern w:val="0"/>
          <w:sz w:val="32"/>
          <w:szCs w:val="32"/>
          <w:highlight w:val="none"/>
        </w:rPr>
      </w:pPr>
      <w:r>
        <w:rPr>
          <w:rFonts w:hint="eastAsia" w:hAnsi="仿宋_GB2312" w:eastAsia="仿宋_GB2312" w:cs="仿宋_GB2312"/>
          <w:kern w:val="0"/>
          <w:sz w:val="32"/>
          <w:szCs w:val="32"/>
          <w:highlight w:val="none"/>
          <w:lang w:eastAsia="zh-CN"/>
        </w:rPr>
        <w:t>吉木萨尔县交通运输局</w:t>
      </w:r>
      <w:r>
        <w:rPr>
          <w:rFonts w:hint="eastAsia" w:hAnsi="仿宋_GB2312" w:eastAsia="仿宋_GB2312" w:cs="仿宋_GB2312"/>
          <w:kern w:val="0"/>
          <w:sz w:val="32"/>
          <w:szCs w:val="32"/>
          <w:highlight w:val="none"/>
        </w:rPr>
        <w:t>编制数</w:t>
      </w:r>
      <w:r>
        <w:rPr>
          <w:rFonts w:hint="eastAsia" w:eastAsia="仿宋_GB2312"/>
          <w:kern w:val="0"/>
          <w:sz w:val="32"/>
          <w:szCs w:val="32"/>
          <w:highlight w:val="none"/>
          <w:lang w:val="en-US" w:eastAsia="zh-CN"/>
        </w:rPr>
        <w:t>19</w:t>
      </w:r>
      <w:r>
        <w:rPr>
          <w:rFonts w:hint="eastAsia" w:hAnsi="仿宋_GB2312" w:eastAsia="仿宋_GB2312" w:cs="仿宋_GB2312"/>
          <w:kern w:val="0"/>
          <w:sz w:val="32"/>
          <w:szCs w:val="32"/>
          <w:highlight w:val="none"/>
        </w:rPr>
        <w:t>人，实有人数</w:t>
      </w:r>
      <w:r>
        <w:rPr>
          <w:rFonts w:eastAsia="仿宋_GB2312"/>
          <w:kern w:val="0"/>
          <w:sz w:val="32"/>
          <w:szCs w:val="32"/>
          <w:highlight w:val="none"/>
        </w:rPr>
        <w:t xml:space="preserve"> </w:t>
      </w:r>
      <w:r>
        <w:rPr>
          <w:rFonts w:hint="eastAsia" w:eastAsia="仿宋_GB2312"/>
          <w:kern w:val="0"/>
          <w:sz w:val="32"/>
          <w:szCs w:val="32"/>
          <w:highlight w:val="none"/>
          <w:lang w:val="en-US" w:eastAsia="zh-CN"/>
        </w:rPr>
        <w:t>18</w:t>
      </w:r>
      <w:r>
        <w:rPr>
          <w:rFonts w:eastAsia="仿宋_GB2312"/>
          <w:kern w:val="0"/>
          <w:sz w:val="32"/>
          <w:szCs w:val="32"/>
          <w:highlight w:val="none"/>
        </w:rPr>
        <w:t xml:space="preserve"> </w:t>
      </w:r>
      <w:r>
        <w:rPr>
          <w:rFonts w:hint="eastAsia" w:hAnsi="仿宋_GB2312" w:eastAsia="仿宋_GB2312" w:cs="仿宋_GB2312"/>
          <w:kern w:val="0"/>
          <w:sz w:val="32"/>
          <w:szCs w:val="32"/>
          <w:highlight w:val="none"/>
        </w:rPr>
        <w:t>人，其中：</w:t>
      </w:r>
      <w:r>
        <w:rPr>
          <w:rFonts w:eastAsia="仿宋_GB2312"/>
          <w:kern w:val="0"/>
          <w:sz w:val="32"/>
          <w:szCs w:val="32"/>
          <w:highlight w:val="none"/>
        </w:rPr>
        <w:t xml:space="preserve"> </w:t>
      </w:r>
      <w:r>
        <w:rPr>
          <w:rFonts w:hint="eastAsia" w:hAnsi="仿宋_GB2312" w:eastAsia="仿宋_GB2312" w:cs="仿宋_GB2312"/>
          <w:kern w:val="0"/>
          <w:sz w:val="32"/>
          <w:szCs w:val="32"/>
          <w:highlight w:val="none"/>
        </w:rPr>
        <w:t>在职</w:t>
      </w:r>
      <w:r>
        <w:rPr>
          <w:rFonts w:hint="eastAsia" w:eastAsia="仿宋_GB2312"/>
          <w:kern w:val="0"/>
          <w:sz w:val="32"/>
          <w:szCs w:val="32"/>
          <w:highlight w:val="none"/>
          <w:lang w:val="en-US" w:eastAsia="zh-CN"/>
        </w:rPr>
        <w:t>12</w:t>
      </w:r>
      <w:r>
        <w:rPr>
          <w:rFonts w:hint="eastAsia" w:hAnsi="仿宋_GB2312" w:eastAsia="仿宋_GB2312" w:cs="仿宋_GB2312"/>
          <w:kern w:val="0"/>
          <w:sz w:val="32"/>
          <w:szCs w:val="32"/>
          <w:highlight w:val="none"/>
        </w:rPr>
        <w:t>人，</w:t>
      </w:r>
      <w:r>
        <w:rPr>
          <w:rFonts w:hint="eastAsia" w:hAnsi="仿宋_GB2312" w:eastAsia="仿宋_GB2312" w:cs="仿宋_GB2312"/>
          <w:kern w:val="0"/>
          <w:sz w:val="32"/>
          <w:szCs w:val="32"/>
          <w:highlight w:val="none"/>
          <w:lang w:eastAsia="zh-CN"/>
        </w:rPr>
        <w:t>减少</w:t>
      </w:r>
      <w:r>
        <w:rPr>
          <w:rFonts w:hint="eastAsia" w:hAnsi="仿宋_GB2312" w:eastAsia="仿宋_GB2312" w:cs="仿宋_GB2312"/>
          <w:kern w:val="0"/>
          <w:sz w:val="32"/>
          <w:szCs w:val="32"/>
          <w:highlight w:val="none"/>
          <w:lang w:val="en-US" w:eastAsia="zh-CN"/>
        </w:rPr>
        <w:t>3</w:t>
      </w:r>
      <w:r>
        <w:rPr>
          <w:rFonts w:hint="eastAsia" w:hAnsi="仿宋_GB2312" w:eastAsia="仿宋_GB2312" w:cs="仿宋_GB2312"/>
          <w:kern w:val="0"/>
          <w:sz w:val="32"/>
          <w:szCs w:val="32"/>
          <w:highlight w:val="none"/>
        </w:rPr>
        <w:t>人；</w:t>
      </w:r>
      <w:r>
        <w:rPr>
          <w:rFonts w:eastAsia="仿宋_GB2312"/>
          <w:kern w:val="0"/>
          <w:sz w:val="32"/>
          <w:szCs w:val="32"/>
          <w:highlight w:val="none"/>
        </w:rPr>
        <w:t xml:space="preserve"> </w:t>
      </w:r>
      <w:r>
        <w:rPr>
          <w:rFonts w:hint="eastAsia" w:hAnsi="仿宋_GB2312" w:eastAsia="仿宋_GB2312" w:cs="仿宋_GB2312"/>
          <w:kern w:val="0"/>
          <w:sz w:val="32"/>
          <w:szCs w:val="32"/>
          <w:highlight w:val="none"/>
        </w:rPr>
        <w:t>退休</w:t>
      </w:r>
      <w:r>
        <w:rPr>
          <w:rFonts w:hint="eastAsia" w:eastAsia="仿宋_GB2312"/>
          <w:kern w:val="0"/>
          <w:sz w:val="32"/>
          <w:szCs w:val="32"/>
          <w:highlight w:val="none"/>
          <w:lang w:val="en-US" w:eastAsia="zh-CN"/>
        </w:rPr>
        <w:t>6</w:t>
      </w:r>
      <w:r>
        <w:rPr>
          <w:rFonts w:hint="eastAsia" w:hAnsi="仿宋_GB2312" w:eastAsia="仿宋_GB2312" w:cs="仿宋_GB2312"/>
          <w:kern w:val="0"/>
          <w:sz w:val="32"/>
          <w:szCs w:val="32"/>
          <w:highlight w:val="none"/>
        </w:rPr>
        <w:t>人，增加</w:t>
      </w:r>
      <w:r>
        <w:rPr>
          <w:rFonts w:hint="eastAsia" w:eastAsia="仿宋_GB2312"/>
          <w:kern w:val="0"/>
          <w:sz w:val="32"/>
          <w:szCs w:val="32"/>
          <w:highlight w:val="none"/>
          <w:lang w:val="en-US" w:eastAsia="zh-CN"/>
        </w:rPr>
        <w:t>0</w:t>
      </w:r>
      <w:r>
        <w:rPr>
          <w:rFonts w:hint="eastAsia" w:hAnsi="仿宋_GB2312" w:eastAsia="仿宋_GB2312" w:cs="仿宋_GB2312"/>
          <w:kern w:val="0"/>
          <w:sz w:val="32"/>
          <w:szCs w:val="32"/>
          <w:highlight w:val="none"/>
        </w:rPr>
        <w:t>人；离休</w:t>
      </w:r>
      <w:r>
        <w:rPr>
          <w:rFonts w:eastAsia="仿宋_GB2312"/>
          <w:kern w:val="0"/>
          <w:sz w:val="32"/>
          <w:szCs w:val="32"/>
          <w:highlight w:val="none"/>
        </w:rPr>
        <w:t xml:space="preserve"> 0 </w:t>
      </w:r>
      <w:r>
        <w:rPr>
          <w:rFonts w:hint="eastAsia" w:hAnsi="仿宋_GB2312" w:eastAsia="仿宋_GB2312" w:cs="仿宋_GB2312"/>
          <w:kern w:val="0"/>
          <w:sz w:val="32"/>
          <w:szCs w:val="32"/>
          <w:highlight w:val="none"/>
        </w:rPr>
        <w:t>人，</w:t>
      </w:r>
      <w:r>
        <w:rPr>
          <w:rFonts w:eastAsia="仿宋_GB2312"/>
          <w:kern w:val="0"/>
          <w:sz w:val="32"/>
          <w:szCs w:val="32"/>
          <w:highlight w:val="none"/>
        </w:rPr>
        <w:t xml:space="preserve"> </w:t>
      </w:r>
      <w:r>
        <w:rPr>
          <w:rFonts w:hint="eastAsia" w:hAnsi="仿宋_GB2312" w:eastAsia="仿宋_GB2312" w:cs="仿宋_GB2312"/>
          <w:kern w:val="0"/>
          <w:sz w:val="32"/>
          <w:szCs w:val="32"/>
          <w:highlight w:val="none"/>
        </w:rPr>
        <w:t>增加</w:t>
      </w:r>
      <w:r>
        <w:rPr>
          <w:rFonts w:eastAsia="仿宋_GB2312"/>
          <w:kern w:val="0"/>
          <w:sz w:val="32"/>
          <w:szCs w:val="32"/>
          <w:highlight w:val="none"/>
        </w:rPr>
        <w:t xml:space="preserve"> 0 </w:t>
      </w:r>
      <w:r>
        <w:rPr>
          <w:rFonts w:hint="eastAsia" w:hAnsi="仿宋_GB2312" w:eastAsia="仿宋_GB2312" w:cs="仿宋_GB2312"/>
          <w:kern w:val="0"/>
          <w:sz w:val="32"/>
          <w:szCs w:val="32"/>
          <w:highlight w:val="none"/>
        </w:rPr>
        <w:t>人。</w:t>
      </w:r>
    </w:p>
    <w:p>
      <w:pPr>
        <w:widowControl/>
        <w:spacing w:before="120" w:beforeLines="50"/>
        <w:jc w:val="center"/>
        <w:outlineLvl w:val="1"/>
        <w:rPr>
          <w:rFonts w:hint="eastAsia" w:ascii="黑体" w:hAnsi="黑体" w:eastAsia="黑体" w:cs="黑体"/>
          <w:kern w:val="0"/>
          <w:sz w:val="32"/>
          <w:szCs w:val="32"/>
        </w:rPr>
      </w:pPr>
    </w:p>
    <w:p>
      <w:pPr>
        <w:widowControl/>
        <w:spacing w:before="120" w:beforeLines="50"/>
        <w:jc w:val="center"/>
        <w:outlineLvl w:val="1"/>
        <w:rPr>
          <w:rFonts w:hint="eastAsia" w:ascii="黑体" w:hAnsi="黑体" w:eastAsia="黑体" w:cs="黑体"/>
          <w:kern w:val="0"/>
          <w:sz w:val="32"/>
          <w:szCs w:val="32"/>
        </w:rPr>
      </w:pPr>
    </w:p>
    <w:p>
      <w:pPr>
        <w:widowControl/>
        <w:spacing w:before="120" w:beforeLines="50"/>
        <w:jc w:val="center"/>
        <w:outlineLvl w:val="1"/>
        <w:rPr>
          <w:rFonts w:hint="eastAsia" w:ascii="黑体" w:hAnsi="黑体" w:eastAsia="黑体" w:cs="黑体"/>
          <w:kern w:val="0"/>
          <w:sz w:val="32"/>
          <w:szCs w:val="32"/>
        </w:rPr>
      </w:pPr>
    </w:p>
    <w:p>
      <w:pPr>
        <w:widowControl/>
        <w:spacing w:before="120" w:beforeLines="50"/>
        <w:jc w:val="center"/>
        <w:outlineLvl w:val="1"/>
        <w:rPr>
          <w:rFonts w:hint="eastAsia" w:ascii="黑体" w:hAnsi="黑体" w:eastAsia="黑体" w:cs="黑体"/>
          <w:kern w:val="0"/>
          <w:sz w:val="32"/>
          <w:szCs w:val="32"/>
        </w:rPr>
      </w:pPr>
    </w:p>
    <w:p>
      <w:pPr>
        <w:widowControl/>
        <w:spacing w:before="120" w:beforeLines="50"/>
        <w:jc w:val="center"/>
        <w:outlineLvl w:val="1"/>
        <w:rPr>
          <w:rFonts w:hint="eastAsia" w:ascii="黑体" w:hAnsi="黑体" w:eastAsia="黑体" w:cs="黑体"/>
          <w:kern w:val="0"/>
          <w:sz w:val="32"/>
          <w:szCs w:val="32"/>
        </w:rPr>
      </w:pPr>
    </w:p>
    <w:p>
      <w:pPr>
        <w:widowControl/>
        <w:spacing w:before="120" w:beforeLines="50"/>
        <w:jc w:val="center"/>
        <w:outlineLvl w:val="1"/>
        <w:rPr>
          <w:rFonts w:hint="eastAsia" w:ascii="黑体" w:hAnsi="黑体" w:eastAsia="黑体" w:cs="黑体"/>
          <w:kern w:val="0"/>
          <w:sz w:val="32"/>
          <w:szCs w:val="32"/>
        </w:rPr>
      </w:pPr>
    </w:p>
    <w:p>
      <w:pPr>
        <w:widowControl/>
        <w:spacing w:before="120" w:beforeLines="50"/>
        <w:jc w:val="center"/>
        <w:outlineLvl w:val="1"/>
        <w:rPr>
          <w:rFonts w:hint="eastAsia" w:ascii="黑体" w:hAnsi="黑体" w:eastAsia="黑体" w:cs="黑体"/>
          <w:kern w:val="0"/>
          <w:sz w:val="32"/>
          <w:szCs w:val="32"/>
        </w:rPr>
      </w:pPr>
    </w:p>
    <w:p>
      <w:pPr>
        <w:widowControl/>
        <w:spacing w:before="120" w:beforeLines="50"/>
        <w:jc w:val="center"/>
        <w:outlineLvl w:val="1"/>
        <w:rPr>
          <w:rFonts w:hint="eastAsia" w:ascii="黑体" w:hAnsi="黑体" w:eastAsia="黑体" w:cs="黑体"/>
          <w:kern w:val="0"/>
          <w:sz w:val="32"/>
          <w:szCs w:val="32"/>
        </w:rPr>
      </w:pPr>
    </w:p>
    <w:p>
      <w:pPr>
        <w:widowControl/>
        <w:spacing w:before="120" w:beforeLines="50"/>
        <w:jc w:val="center"/>
        <w:outlineLvl w:val="1"/>
        <w:rPr>
          <w:rFonts w:hint="eastAsia" w:ascii="黑体" w:hAnsi="黑体" w:eastAsia="黑体" w:cs="黑体"/>
          <w:kern w:val="0"/>
          <w:sz w:val="32"/>
          <w:szCs w:val="32"/>
        </w:rPr>
      </w:pPr>
    </w:p>
    <w:p>
      <w:pPr>
        <w:widowControl/>
        <w:spacing w:before="120" w:beforeLines="50"/>
        <w:jc w:val="center"/>
        <w:outlineLvl w:val="1"/>
        <w:rPr>
          <w:rFonts w:hint="eastAsia" w:ascii="黑体" w:hAnsi="黑体" w:eastAsia="黑体" w:cs="黑体"/>
          <w:kern w:val="0"/>
          <w:sz w:val="32"/>
          <w:szCs w:val="32"/>
        </w:rPr>
      </w:pPr>
    </w:p>
    <w:p>
      <w:pPr>
        <w:widowControl/>
        <w:spacing w:before="120" w:beforeLines="50"/>
        <w:jc w:val="center"/>
        <w:outlineLvl w:val="1"/>
        <w:rPr>
          <w:rFonts w:hint="eastAsia" w:ascii="黑体" w:hAnsi="黑体" w:eastAsia="黑体" w:cs="黑体"/>
          <w:kern w:val="0"/>
          <w:sz w:val="32"/>
          <w:szCs w:val="32"/>
        </w:rPr>
      </w:pPr>
    </w:p>
    <w:p>
      <w:pPr>
        <w:widowControl/>
        <w:spacing w:before="120" w:beforeLines="50"/>
        <w:jc w:val="center"/>
        <w:outlineLvl w:val="1"/>
        <w:rPr>
          <w:rFonts w:ascii="黑体" w:hAnsi="黑体" w:eastAsia="黑体"/>
          <w:kern w:val="0"/>
          <w:sz w:val="32"/>
          <w:szCs w:val="32"/>
        </w:rPr>
      </w:pPr>
      <w:r>
        <w:rPr>
          <w:rFonts w:hint="eastAsia" w:ascii="黑体" w:hAnsi="黑体" w:eastAsia="黑体" w:cs="黑体"/>
          <w:kern w:val="0"/>
          <w:sz w:val="32"/>
          <w:szCs w:val="32"/>
        </w:rPr>
        <w:t>第二部分</w:t>
      </w:r>
      <w:r>
        <w:rPr>
          <w:rFonts w:ascii="黑体" w:hAnsi="黑体" w:eastAsia="黑体" w:cs="黑体"/>
          <w:kern w:val="0"/>
          <w:sz w:val="32"/>
          <w:szCs w:val="32"/>
        </w:rPr>
        <w:t xml:space="preserve"> 2020</w:t>
      </w:r>
      <w:r>
        <w:rPr>
          <w:rFonts w:hint="eastAsia" w:ascii="黑体" w:hAnsi="黑体" w:eastAsia="黑体" w:cs="黑体"/>
          <w:kern w:val="0"/>
          <w:sz w:val="32"/>
          <w:szCs w:val="32"/>
        </w:rPr>
        <w:t>年部门预算公开表</w:t>
      </w:r>
    </w:p>
    <w:p>
      <w:pPr>
        <w:widowControl/>
        <w:spacing w:before="120" w:beforeLines="50"/>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表一：</w:t>
      </w:r>
    </w:p>
    <w:p>
      <w:pPr>
        <w:widowControl/>
        <w:jc w:val="center"/>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部门收支总体情况表</w:t>
      </w:r>
    </w:p>
    <w:p>
      <w:pPr>
        <w:widowControl/>
        <w:outlineLvl w:val="1"/>
        <w:rPr>
          <w:rFonts w:ascii="仿宋_GB2312" w:hAnsi="宋体" w:eastAsia="仿宋_GB2312"/>
          <w:kern w:val="0"/>
          <w:sz w:val="24"/>
          <w:szCs w:val="24"/>
        </w:rPr>
      </w:pPr>
      <w:r>
        <w:rPr>
          <w:rFonts w:hint="eastAsia" w:ascii="仿宋_GB2312" w:hAnsi="宋体" w:eastAsia="仿宋_GB2312" w:cs="仿宋_GB2312"/>
          <w:kern w:val="0"/>
          <w:sz w:val="24"/>
          <w:szCs w:val="24"/>
        </w:rPr>
        <w:t>编制部门：</w:t>
      </w:r>
      <w:r>
        <w:rPr>
          <w:rFonts w:hint="eastAsia" w:ascii="仿宋_GB2312" w:hAnsi="宋体" w:eastAsia="仿宋_GB2312" w:cs="仿宋_GB2312"/>
          <w:kern w:val="0"/>
          <w:sz w:val="24"/>
          <w:szCs w:val="24"/>
          <w:lang w:eastAsia="zh-CN"/>
        </w:rPr>
        <w:t>吉木萨尔县交通运输局</w:t>
      </w:r>
      <w:r>
        <w:rPr>
          <w:rFonts w:ascii="仿宋_GB2312" w:hAnsi="宋体" w:eastAsia="仿宋_GB2312" w:cs="仿宋_GB2312"/>
          <w:kern w:val="0"/>
          <w:sz w:val="24"/>
          <w:szCs w:val="24"/>
        </w:rPr>
        <w:t xml:space="preserve">                                 </w:t>
      </w:r>
      <w:r>
        <w:rPr>
          <w:rFonts w:hint="eastAsia" w:ascii="仿宋_GB2312" w:hAnsi="宋体" w:eastAsia="仿宋_GB2312" w:cs="仿宋_GB2312"/>
          <w:kern w:val="0"/>
          <w:sz w:val="24"/>
          <w:szCs w:val="24"/>
        </w:rPr>
        <w:t>单位：万元</w:t>
      </w:r>
    </w:p>
    <w:tbl>
      <w:tblPr>
        <w:tblStyle w:val="8"/>
        <w:tblW w:w="9288" w:type="dxa"/>
        <w:tblInd w:w="0" w:type="dxa"/>
        <w:tblLayout w:type="fixed"/>
        <w:tblCellMar>
          <w:top w:w="0" w:type="dxa"/>
          <w:left w:w="108" w:type="dxa"/>
          <w:bottom w:w="0" w:type="dxa"/>
          <w:right w:w="108" w:type="dxa"/>
        </w:tblCellMar>
      </w:tblPr>
      <w:tblGrid>
        <w:gridCol w:w="2398"/>
        <w:gridCol w:w="2093"/>
        <w:gridCol w:w="2833"/>
        <w:gridCol w:w="1964"/>
      </w:tblGrid>
      <w:tr>
        <w:tblPrEx>
          <w:tblLayout w:type="fixed"/>
          <w:tblCellMar>
            <w:top w:w="0" w:type="dxa"/>
            <w:left w:w="108" w:type="dxa"/>
            <w:bottom w:w="0" w:type="dxa"/>
            <w:right w:w="108" w:type="dxa"/>
          </w:tblCellMar>
        </w:tblPrEx>
        <w:trPr>
          <w:trHeight w:val="294" w:hRule="atLeast"/>
        </w:trPr>
        <w:tc>
          <w:tcPr>
            <w:tcW w:w="4491" w:type="dxa"/>
            <w:gridSpan w:val="2"/>
            <w:tcBorders>
              <w:top w:val="single" w:color="auto" w:sz="4" w:space="0"/>
              <w:left w:val="single" w:color="auto" w:sz="4" w:space="0"/>
              <w:bottom w:val="single" w:color="auto" w:sz="4" w:space="0"/>
              <w:right w:val="single" w:color="000000" w:sz="4" w:space="0"/>
            </w:tcBorders>
            <w:vAlign w:val="bottom"/>
          </w:tcPr>
          <w:p>
            <w:pPr>
              <w:widowControl/>
              <w:jc w:val="center"/>
              <w:rPr>
                <w:rFonts w:ascii="仿宋_GB2312" w:hAnsi="宋体" w:eastAsia="仿宋_GB2312"/>
                <w:b/>
                <w:bCs/>
                <w:kern w:val="0"/>
                <w:sz w:val="24"/>
                <w:szCs w:val="24"/>
              </w:rPr>
            </w:pPr>
            <w:r>
              <w:rPr>
                <w:rFonts w:hint="eastAsia" w:ascii="仿宋_GB2312" w:hAnsi="宋体" w:eastAsia="仿宋_GB2312" w:cs="仿宋_GB2312"/>
                <w:b/>
                <w:bCs/>
                <w:kern w:val="0"/>
                <w:sz w:val="24"/>
                <w:szCs w:val="24"/>
              </w:rPr>
              <w:t>收</w:t>
            </w:r>
            <w:r>
              <w:rPr>
                <w:rFonts w:ascii="仿宋_GB2312" w:hAnsi="宋体" w:eastAsia="仿宋_GB2312" w:cs="仿宋_GB2312"/>
                <w:b/>
                <w:bCs/>
                <w:kern w:val="0"/>
                <w:sz w:val="24"/>
                <w:szCs w:val="24"/>
              </w:rPr>
              <w:t xml:space="preserve">     </w:t>
            </w:r>
            <w:r>
              <w:rPr>
                <w:rFonts w:hint="eastAsia" w:ascii="仿宋_GB2312" w:hAnsi="宋体" w:eastAsia="仿宋_GB2312" w:cs="仿宋_GB2312"/>
                <w:b/>
                <w:bCs/>
                <w:kern w:val="0"/>
                <w:sz w:val="24"/>
                <w:szCs w:val="24"/>
              </w:rPr>
              <w:t>入</w:t>
            </w:r>
          </w:p>
        </w:tc>
        <w:tc>
          <w:tcPr>
            <w:tcW w:w="4797" w:type="dxa"/>
            <w:gridSpan w:val="2"/>
            <w:tcBorders>
              <w:top w:val="single" w:color="auto" w:sz="4" w:space="0"/>
              <w:left w:val="nil"/>
              <w:bottom w:val="single" w:color="auto" w:sz="4" w:space="0"/>
              <w:right w:val="single" w:color="auto" w:sz="4" w:space="0"/>
            </w:tcBorders>
            <w:vAlign w:val="bottom"/>
          </w:tcPr>
          <w:p>
            <w:pPr>
              <w:widowControl/>
              <w:jc w:val="center"/>
              <w:rPr>
                <w:rFonts w:ascii="仿宋_GB2312" w:hAnsi="宋体" w:eastAsia="仿宋_GB2312"/>
                <w:b/>
                <w:bCs/>
                <w:kern w:val="0"/>
                <w:sz w:val="24"/>
                <w:szCs w:val="24"/>
              </w:rPr>
            </w:pPr>
            <w:r>
              <w:rPr>
                <w:rFonts w:hint="eastAsia" w:ascii="仿宋_GB2312" w:hAnsi="宋体" w:eastAsia="仿宋_GB2312" w:cs="仿宋_GB2312"/>
                <w:b/>
                <w:bCs/>
                <w:kern w:val="0"/>
                <w:sz w:val="24"/>
                <w:szCs w:val="24"/>
              </w:rPr>
              <w:t>支</w:t>
            </w:r>
            <w:r>
              <w:rPr>
                <w:rFonts w:ascii="仿宋_GB2312" w:hAnsi="宋体" w:eastAsia="仿宋_GB2312" w:cs="仿宋_GB2312"/>
                <w:b/>
                <w:bCs/>
                <w:kern w:val="0"/>
                <w:sz w:val="24"/>
                <w:szCs w:val="24"/>
              </w:rPr>
              <w:t xml:space="preserve">     </w:t>
            </w:r>
            <w:r>
              <w:rPr>
                <w:rFonts w:hint="eastAsia" w:ascii="仿宋_GB2312" w:hAnsi="宋体" w:eastAsia="仿宋_GB2312" w:cs="仿宋_GB2312"/>
                <w:b/>
                <w:bCs/>
                <w:kern w:val="0"/>
                <w:sz w:val="24"/>
                <w:szCs w:val="24"/>
              </w:rPr>
              <w:t>出</w:t>
            </w: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项</w:t>
            </w:r>
            <w:r>
              <w:rPr>
                <w:rFonts w:ascii="仿宋_GB2312" w:hAnsi="宋体" w:eastAsia="仿宋_GB2312" w:cs="仿宋_GB2312"/>
                <w:b/>
                <w:bCs/>
                <w:kern w:val="0"/>
                <w:sz w:val="20"/>
                <w:szCs w:val="20"/>
              </w:rPr>
              <w:t xml:space="preserve">     </w:t>
            </w:r>
            <w:r>
              <w:rPr>
                <w:rFonts w:hint="eastAsia" w:ascii="仿宋_GB2312" w:hAnsi="宋体" w:eastAsia="仿宋_GB2312" w:cs="仿宋_GB2312"/>
                <w:b/>
                <w:bCs/>
                <w:kern w:val="0"/>
                <w:sz w:val="20"/>
                <w:szCs w:val="20"/>
              </w:rPr>
              <w:t>目</w:t>
            </w:r>
          </w:p>
        </w:tc>
        <w:tc>
          <w:tcPr>
            <w:tcW w:w="2093"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预算数</w:t>
            </w:r>
          </w:p>
        </w:tc>
        <w:tc>
          <w:tcPr>
            <w:tcW w:w="2833"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功能分类</w:t>
            </w:r>
          </w:p>
        </w:tc>
        <w:tc>
          <w:tcPr>
            <w:tcW w:w="1964"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预算数</w:t>
            </w:r>
          </w:p>
        </w:tc>
      </w:tr>
      <w:tr>
        <w:tblPrEx>
          <w:tblLayout w:type="fixed"/>
          <w:tblCellMar>
            <w:top w:w="0" w:type="dxa"/>
            <w:left w:w="108" w:type="dxa"/>
            <w:bottom w:w="0" w:type="dxa"/>
            <w:right w:w="108" w:type="dxa"/>
          </w:tblCellMar>
        </w:tblPrEx>
        <w:trPr>
          <w:trHeight w:val="422" w:hRule="exact"/>
        </w:trPr>
        <w:tc>
          <w:tcPr>
            <w:tcW w:w="2398"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财政拨款（补助）</w:t>
            </w:r>
          </w:p>
        </w:tc>
        <w:tc>
          <w:tcPr>
            <w:tcW w:w="2093"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宋体" w:eastAsia="仿宋_GB2312"/>
                <w:kern w:val="0"/>
                <w:sz w:val="21"/>
                <w:szCs w:val="21"/>
                <w:lang w:val="en-US" w:eastAsia="zh-CN"/>
              </w:rPr>
            </w:pPr>
            <w:r>
              <w:rPr>
                <w:rFonts w:ascii="仿宋_GB2312" w:hAnsi="宋体" w:eastAsia="仿宋_GB2312"/>
                <w:kern w:val="0"/>
                <w:sz w:val="21"/>
                <w:szCs w:val="21"/>
              </w:rPr>
              <w:t>218.2</w:t>
            </w:r>
            <w:r>
              <w:rPr>
                <w:rFonts w:hint="eastAsia" w:ascii="仿宋_GB2312" w:hAnsi="宋体" w:eastAsia="仿宋_GB2312"/>
                <w:kern w:val="0"/>
                <w:sz w:val="21"/>
                <w:szCs w:val="21"/>
                <w:lang w:val="en-US" w:eastAsia="zh-CN"/>
              </w:rPr>
              <w:t>7</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201 </w:t>
            </w:r>
            <w:r>
              <w:rPr>
                <w:rFonts w:hint="eastAsia" w:ascii="仿宋_GB2312" w:hAnsi="宋体" w:eastAsia="仿宋_GB2312" w:cs="仿宋_GB2312"/>
                <w:kern w:val="0"/>
                <w:sz w:val="21"/>
                <w:szCs w:val="21"/>
              </w:rPr>
              <w:t>一般公共服务支出</w:t>
            </w:r>
          </w:p>
        </w:tc>
        <w:tc>
          <w:tcPr>
            <w:tcW w:w="1964"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    </w:t>
            </w:r>
            <w:r>
              <w:rPr>
                <w:rFonts w:hint="eastAsia" w:ascii="仿宋_GB2312" w:hAnsi="宋体" w:eastAsia="仿宋_GB2312" w:cs="仿宋_GB2312"/>
                <w:kern w:val="0"/>
                <w:sz w:val="21"/>
                <w:szCs w:val="21"/>
              </w:rPr>
              <w:t>一般公共预算</w:t>
            </w:r>
          </w:p>
        </w:tc>
        <w:tc>
          <w:tcPr>
            <w:tcW w:w="2093"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宋体" w:eastAsia="仿宋_GB2312"/>
                <w:kern w:val="0"/>
                <w:sz w:val="21"/>
                <w:szCs w:val="21"/>
                <w:lang w:val="en-US" w:eastAsia="zh-CN"/>
              </w:rPr>
            </w:pPr>
            <w:r>
              <w:rPr>
                <w:rFonts w:ascii="仿宋_GB2312" w:hAnsi="宋体" w:eastAsia="仿宋_GB2312"/>
                <w:kern w:val="0"/>
                <w:sz w:val="21"/>
                <w:szCs w:val="21"/>
              </w:rPr>
              <w:t>218.2</w:t>
            </w:r>
            <w:r>
              <w:rPr>
                <w:rFonts w:hint="eastAsia" w:ascii="仿宋_GB2312" w:hAnsi="宋体" w:eastAsia="仿宋_GB2312"/>
                <w:kern w:val="0"/>
                <w:sz w:val="21"/>
                <w:szCs w:val="21"/>
                <w:lang w:val="en-US" w:eastAsia="zh-CN"/>
              </w:rPr>
              <w:t>7</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202 </w:t>
            </w:r>
            <w:r>
              <w:rPr>
                <w:rFonts w:hint="eastAsia" w:ascii="仿宋_GB2312" w:hAnsi="宋体" w:eastAsia="仿宋_GB2312" w:cs="仿宋_GB2312"/>
                <w:kern w:val="0"/>
                <w:sz w:val="21"/>
                <w:szCs w:val="21"/>
              </w:rPr>
              <w:t>外交支出</w:t>
            </w:r>
          </w:p>
        </w:tc>
        <w:tc>
          <w:tcPr>
            <w:tcW w:w="1964"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kern w:val="0"/>
                <w:sz w:val="21"/>
                <w:szCs w:val="21"/>
              </w:rPr>
            </w:pPr>
            <w:r>
              <w:rPr>
                <w:rFonts w:hint="eastAsia" w:ascii="仿宋_GB2312" w:hAnsi="宋体"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    </w:t>
            </w:r>
            <w:r>
              <w:rPr>
                <w:rFonts w:hint="eastAsia" w:ascii="仿宋_GB2312" w:hAnsi="宋体" w:eastAsia="仿宋_GB2312" w:cs="仿宋_GB2312"/>
                <w:kern w:val="0"/>
                <w:sz w:val="21"/>
                <w:szCs w:val="21"/>
              </w:rPr>
              <w:t>政府性基金预算</w:t>
            </w:r>
          </w:p>
        </w:tc>
        <w:tc>
          <w:tcPr>
            <w:tcW w:w="2093" w:type="dxa"/>
            <w:tcBorders>
              <w:top w:val="nil"/>
              <w:left w:val="nil"/>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c>
          <w:tcPr>
            <w:tcW w:w="2833" w:type="dxa"/>
            <w:tcBorders>
              <w:top w:val="nil"/>
              <w:left w:val="nil"/>
              <w:bottom w:val="single" w:color="auto" w:sz="4" w:space="0"/>
              <w:right w:val="nil"/>
            </w:tcBorders>
            <w:vAlign w:val="center"/>
          </w:tcPr>
          <w:p>
            <w:pPr>
              <w:widowControl/>
              <w:spacing w:line="300" w:lineRule="exact"/>
              <w:jc w:val="left"/>
              <w:rPr>
                <w:rFonts w:hint="eastAsia" w:ascii="仿宋_GB2312" w:hAnsi="宋体" w:eastAsia="仿宋_GB2312" w:cs="仿宋_GB2312"/>
                <w:kern w:val="0"/>
                <w:sz w:val="21"/>
                <w:szCs w:val="21"/>
                <w:lang w:val="en-US" w:eastAsia="zh-CN"/>
              </w:rPr>
            </w:pPr>
            <w:r>
              <w:rPr>
                <w:rFonts w:hint="eastAsia" w:ascii="仿宋_GB2312" w:hAnsi="宋体" w:eastAsia="仿宋_GB2312" w:cs="仿宋_GB2312"/>
                <w:kern w:val="0"/>
                <w:sz w:val="21"/>
                <w:szCs w:val="21"/>
              </w:rPr>
              <w:t xml:space="preserve">203 </w:t>
            </w:r>
            <w:r>
              <w:rPr>
                <w:rFonts w:hint="eastAsia" w:ascii="仿宋_GB2312" w:hAnsi="宋体" w:eastAsia="仿宋_GB2312" w:cs="仿宋_GB2312"/>
                <w:kern w:val="0"/>
                <w:sz w:val="21"/>
                <w:szCs w:val="21"/>
                <w:lang w:val="en-US" w:eastAsia="zh-CN"/>
              </w:rPr>
              <w:t xml:space="preserve"> 国防支出</w:t>
            </w:r>
          </w:p>
          <w:p>
            <w:pPr>
              <w:widowControl/>
              <w:spacing w:line="300" w:lineRule="exact"/>
              <w:jc w:val="left"/>
              <w:rPr>
                <w:rFonts w:hint="eastAsia" w:ascii="仿宋_GB2312" w:hAnsi="宋体" w:eastAsia="仿宋_GB2312" w:cs="仿宋_GB2312"/>
                <w:kern w:val="0"/>
                <w:sz w:val="21"/>
                <w:szCs w:val="21"/>
              </w:rPr>
            </w:pPr>
          </w:p>
        </w:tc>
        <w:tc>
          <w:tcPr>
            <w:tcW w:w="1964"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kern w:val="0"/>
                <w:sz w:val="21"/>
                <w:szCs w:val="21"/>
              </w:rPr>
            </w:pPr>
            <w:r>
              <w:rPr>
                <w:rFonts w:hint="eastAsia" w:ascii="仿宋_GB2312" w:hAnsi="宋体"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教育收费（财政专户）</w:t>
            </w:r>
          </w:p>
        </w:tc>
        <w:tc>
          <w:tcPr>
            <w:tcW w:w="2093" w:type="dxa"/>
            <w:tcBorders>
              <w:top w:val="nil"/>
              <w:left w:val="nil"/>
              <w:bottom w:val="single" w:color="auto" w:sz="4" w:space="0"/>
              <w:right w:val="single" w:color="auto" w:sz="4" w:space="0"/>
            </w:tcBorders>
            <w:vAlign w:val="center"/>
          </w:tcPr>
          <w:p>
            <w:pPr>
              <w:jc w:val="right"/>
              <w:rPr>
                <w:rFonts w:ascii="仿宋_GB2312" w:hAnsi="宋体" w:eastAsia="仿宋_GB2312"/>
                <w:kern w:val="0"/>
                <w:sz w:val="21"/>
                <w:szCs w:val="21"/>
              </w:rPr>
            </w:pPr>
          </w:p>
        </w:tc>
        <w:tc>
          <w:tcPr>
            <w:tcW w:w="2833" w:type="dxa"/>
            <w:tcBorders>
              <w:top w:val="nil"/>
              <w:left w:val="nil"/>
              <w:bottom w:val="single" w:color="auto" w:sz="4" w:space="0"/>
              <w:right w:val="nil"/>
            </w:tcBorders>
            <w:vAlign w:val="center"/>
          </w:tcPr>
          <w:p>
            <w:pPr>
              <w:widowControl/>
              <w:spacing w:line="300" w:lineRule="exact"/>
              <w:jc w:val="left"/>
              <w:rPr>
                <w:rFonts w:hint="eastAsia" w:ascii="仿宋_GB2312" w:hAnsi="宋体" w:eastAsia="仿宋_GB2312" w:cs="仿宋_GB2312"/>
                <w:kern w:val="0"/>
                <w:sz w:val="21"/>
                <w:szCs w:val="21"/>
                <w:lang w:val="en-US" w:eastAsia="zh-CN"/>
              </w:rPr>
            </w:pPr>
            <w:r>
              <w:rPr>
                <w:rFonts w:hint="eastAsia" w:ascii="仿宋_GB2312" w:hAnsi="宋体" w:eastAsia="仿宋_GB2312" w:cs="仿宋_GB2312"/>
                <w:kern w:val="0"/>
                <w:sz w:val="21"/>
                <w:szCs w:val="21"/>
              </w:rPr>
              <w:t xml:space="preserve">204  </w:t>
            </w:r>
            <w:r>
              <w:rPr>
                <w:rFonts w:hint="eastAsia" w:ascii="仿宋_GB2312" w:hAnsi="宋体" w:eastAsia="仿宋_GB2312" w:cs="仿宋_GB2312"/>
                <w:kern w:val="0"/>
                <w:sz w:val="21"/>
                <w:szCs w:val="21"/>
                <w:lang w:val="en-US" w:eastAsia="zh-CN"/>
              </w:rPr>
              <w:t>公共安全支出</w:t>
            </w:r>
          </w:p>
          <w:p>
            <w:pPr>
              <w:widowControl/>
              <w:spacing w:line="300" w:lineRule="exact"/>
              <w:jc w:val="left"/>
              <w:rPr>
                <w:rFonts w:hint="eastAsia" w:ascii="仿宋_GB2312" w:hAnsi="宋体" w:eastAsia="仿宋_GB2312" w:cs="仿宋_GB2312"/>
                <w:kern w:val="0"/>
                <w:sz w:val="21"/>
                <w:szCs w:val="21"/>
              </w:rPr>
            </w:pPr>
          </w:p>
        </w:tc>
        <w:tc>
          <w:tcPr>
            <w:tcW w:w="1964"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kern w:val="0"/>
                <w:sz w:val="21"/>
                <w:szCs w:val="21"/>
              </w:rPr>
            </w:pPr>
            <w:r>
              <w:rPr>
                <w:rFonts w:hint="eastAsia" w:ascii="仿宋_GB2312" w:hAnsi="宋体"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事业收入</w:t>
            </w:r>
          </w:p>
        </w:tc>
        <w:tc>
          <w:tcPr>
            <w:tcW w:w="2093" w:type="dxa"/>
            <w:tcBorders>
              <w:top w:val="nil"/>
              <w:left w:val="nil"/>
              <w:bottom w:val="single" w:color="auto" w:sz="4" w:space="0"/>
              <w:right w:val="single" w:color="auto" w:sz="4" w:space="0"/>
            </w:tcBorders>
            <w:vAlign w:val="center"/>
          </w:tcPr>
          <w:p>
            <w:pPr>
              <w:jc w:val="right"/>
              <w:rPr>
                <w:rFonts w:ascii="仿宋_GB2312" w:hAnsi="宋体" w:eastAsia="仿宋_GB2312"/>
                <w:kern w:val="0"/>
                <w:sz w:val="21"/>
                <w:szCs w:val="21"/>
              </w:rPr>
            </w:pP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205 </w:t>
            </w:r>
            <w:r>
              <w:rPr>
                <w:rFonts w:hint="eastAsia" w:ascii="仿宋_GB2312" w:hAnsi="宋体" w:eastAsia="仿宋_GB2312" w:cs="仿宋_GB2312"/>
                <w:kern w:val="0"/>
                <w:sz w:val="21"/>
                <w:szCs w:val="21"/>
              </w:rPr>
              <w:t>教育支出</w:t>
            </w:r>
          </w:p>
        </w:tc>
        <w:tc>
          <w:tcPr>
            <w:tcW w:w="1964"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kern w:val="0"/>
                <w:sz w:val="21"/>
                <w:szCs w:val="21"/>
              </w:rPr>
            </w:pPr>
            <w:r>
              <w:rPr>
                <w:rFonts w:hint="eastAsia" w:ascii="仿宋_GB2312" w:hAnsi="宋体"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事业单位经营收入</w:t>
            </w:r>
          </w:p>
        </w:tc>
        <w:tc>
          <w:tcPr>
            <w:tcW w:w="2093" w:type="dxa"/>
            <w:tcBorders>
              <w:top w:val="nil"/>
              <w:left w:val="nil"/>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206 </w:t>
            </w:r>
            <w:r>
              <w:rPr>
                <w:rFonts w:hint="eastAsia" w:ascii="仿宋_GB2312" w:hAnsi="宋体" w:eastAsia="仿宋_GB2312" w:cs="仿宋_GB2312"/>
                <w:kern w:val="0"/>
                <w:sz w:val="21"/>
                <w:szCs w:val="21"/>
              </w:rPr>
              <w:t>科学技术支出</w:t>
            </w:r>
          </w:p>
        </w:tc>
        <w:tc>
          <w:tcPr>
            <w:tcW w:w="1964"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kern w:val="0"/>
                <w:sz w:val="21"/>
                <w:szCs w:val="21"/>
              </w:rPr>
            </w:pPr>
            <w:r>
              <w:rPr>
                <w:rFonts w:hint="eastAsia" w:ascii="仿宋_GB2312" w:hAnsi="宋体" w:eastAsia="仿宋_GB2312" w:cs="仿宋_GB2312"/>
                <w:kern w:val="0"/>
                <w:sz w:val="21"/>
                <w:szCs w:val="21"/>
              </w:rPr>
              <w:t>　</w:t>
            </w:r>
          </w:p>
        </w:tc>
      </w:tr>
      <w:tr>
        <w:tblPrEx>
          <w:tblLayout w:type="fixed"/>
          <w:tblCellMar>
            <w:top w:w="0" w:type="dxa"/>
            <w:left w:w="108" w:type="dxa"/>
            <w:bottom w:w="0" w:type="dxa"/>
            <w:right w:w="108" w:type="dxa"/>
          </w:tblCellMar>
        </w:tblPrEx>
        <w:trPr>
          <w:trHeight w:val="332" w:hRule="exact"/>
        </w:trPr>
        <w:tc>
          <w:tcPr>
            <w:tcW w:w="2398"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其他收入</w:t>
            </w:r>
          </w:p>
        </w:tc>
        <w:tc>
          <w:tcPr>
            <w:tcW w:w="2093"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kern w:val="0"/>
                <w:sz w:val="21"/>
                <w:szCs w:val="21"/>
              </w:rPr>
            </w:pP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207 </w:t>
            </w:r>
            <w:r>
              <w:rPr>
                <w:rFonts w:hint="eastAsia" w:ascii="仿宋_GB2312" w:hAnsi="宋体" w:eastAsia="仿宋_GB2312" w:cs="仿宋_GB2312"/>
                <w:kern w:val="0"/>
                <w:sz w:val="21"/>
                <w:szCs w:val="21"/>
              </w:rPr>
              <w:t>文化旅游体育与传媒支出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r>
              <w:rPr>
                <w:rFonts w:hint="eastAsia" w:ascii="仿宋_GB2312" w:hAnsi="宋体"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用事业基金弥补收支差额</w:t>
            </w:r>
          </w:p>
        </w:tc>
        <w:tc>
          <w:tcPr>
            <w:tcW w:w="2093"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kern w:val="0"/>
                <w:sz w:val="21"/>
                <w:szCs w:val="21"/>
              </w:rPr>
            </w:pP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208 </w:t>
            </w:r>
            <w:r>
              <w:rPr>
                <w:rFonts w:hint="eastAsia" w:ascii="仿宋_GB2312" w:hAnsi="宋体" w:eastAsia="仿宋_GB2312" w:cs="仿宋_GB2312"/>
                <w:kern w:val="0"/>
                <w:sz w:val="21"/>
                <w:szCs w:val="21"/>
              </w:rPr>
              <w:t>社会保障和就业支出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cs="仿宋_GB2312"/>
                <w:kern w:val="0"/>
                <w:sz w:val="21"/>
                <w:szCs w:val="21"/>
              </w:rPr>
            </w:pPr>
            <w:r>
              <w:rPr>
                <w:rFonts w:ascii="仿宋_GB2312" w:hAnsi="宋体" w:eastAsia="仿宋_GB2312" w:cs="仿宋_GB2312"/>
                <w:kern w:val="0"/>
                <w:sz w:val="21"/>
                <w:szCs w:val="21"/>
              </w:rPr>
              <w:t>23.49</w:t>
            </w:r>
          </w:p>
        </w:tc>
      </w:tr>
      <w:tr>
        <w:tblPrEx>
          <w:tblLayout w:type="fixed"/>
          <w:tblCellMar>
            <w:top w:w="0" w:type="dxa"/>
            <w:left w:w="108" w:type="dxa"/>
            <w:bottom w:w="0" w:type="dxa"/>
            <w:right w:w="108" w:type="dxa"/>
          </w:tblCellMar>
        </w:tblPrEx>
        <w:trPr>
          <w:trHeight w:val="33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210</w:t>
            </w:r>
            <w:r>
              <w:rPr>
                <w:rFonts w:hint="eastAsia" w:ascii="仿宋_GB2312" w:hAnsi="宋体" w:eastAsia="仿宋_GB2312" w:cs="仿宋_GB2312"/>
                <w:kern w:val="0"/>
                <w:sz w:val="21"/>
                <w:szCs w:val="21"/>
              </w:rPr>
              <w:t>卫生健康支出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r>
              <w:rPr>
                <w:rFonts w:ascii="仿宋_GB2312" w:hAnsi="宋体" w:eastAsia="仿宋_GB2312"/>
                <w:kern w:val="0"/>
                <w:sz w:val="21"/>
                <w:szCs w:val="21"/>
              </w:rPr>
              <w:t>21.76</w:t>
            </w: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211 </w:t>
            </w:r>
            <w:r>
              <w:rPr>
                <w:rFonts w:hint="eastAsia" w:ascii="仿宋_GB2312" w:hAnsi="宋体" w:eastAsia="仿宋_GB2312" w:cs="仿宋_GB2312"/>
                <w:kern w:val="0"/>
                <w:sz w:val="21"/>
                <w:szCs w:val="21"/>
              </w:rPr>
              <w:t>节能环保支出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212 </w:t>
            </w:r>
            <w:r>
              <w:rPr>
                <w:rFonts w:hint="eastAsia" w:ascii="仿宋_GB2312" w:hAnsi="宋体" w:eastAsia="仿宋_GB2312" w:cs="仿宋_GB2312"/>
                <w:kern w:val="0"/>
                <w:sz w:val="21"/>
                <w:szCs w:val="21"/>
              </w:rPr>
              <w:t>城乡社区支出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213 </w:t>
            </w:r>
            <w:r>
              <w:rPr>
                <w:rFonts w:hint="eastAsia" w:ascii="仿宋_GB2312" w:hAnsi="宋体" w:eastAsia="仿宋_GB2312" w:cs="仿宋_GB2312"/>
                <w:kern w:val="0"/>
                <w:sz w:val="21"/>
                <w:szCs w:val="21"/>
              </w:rPr>
              <w:t>农林水支出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214 </w:t>
            </w:r>
            <w:r>
              <w:rPr>
                <w:rFonts w:hint="eastAsia" w:ascii="仿宋_GB2312" w:hAnsi="宋体" w:eastAsia="仿宋_GB2312" w:cs="仿宋_GB2312"/>
                <w:kern w:val="0"/>
                <w:sz w:val="21"/>
                <w:szCs w:val="21"/>
              </w:rPr>
              <w:t>交通运输支出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r>
              <w:rPr>
                <w:rFonts w:ascii="仿宋_GB2312" w:hAnsi="宋体" w:eastAsia="仿宋_GB2312"/>
                <w:kern w:val="0"/>
                <w:sz w:val="21"/>
                <w:szCs w:val="21"/>
              </w:rPr>
              <w:t>173.02</w:t>
            </w: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215 </w:t>
            </w:r>
            <w:r>
              <w:rPr>
                <w:rFonts w:hint="eastAsia" w:ascii="仿宋_GB2312" w:hAnsi="宋体" w:eastAsia="仿宋_GB2312" w:cs="仿宋_GB2312"/>
                <w:kern w:val="0"/>
                <w:sz w:val="21"/>
                <w:szCs w:val="21"/>
              </w:rPr>
              <w:t>资源勘探工业信息等支出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216 </w:t>
            </w:r>
            <w:r>
              <w:rPr>
                <w:rFonts w:hint="eastAsia" w:ascii="仿宋_GB2312" w:hAnsi="宋体" w:eastAsia="仿宋_GB2312" w:cs="仿宋_GB2312"/>
                <w:kern w:val="0"/>
                <w:sz w:val="21"/>
                <w:szCs w:val="21"/>
              </w:rPr>
              <w:t>商业服务业等支出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217 </w:t>
            </w:r>
            <w:r>
              <w:rPr>
                <w:rFonts w:hint="eastAsia" w:ascii="仿宋_GB2312" w:hAnsi="宋体" w:eastAsia="仿宋_GB2312" w:cs="仿宋_GB2312"/>
                <w:kern w:val="0"/>
                <w:sz w:val="21"/>
                <w:szCs w:val="21"/>
              </w:rPr>
              <w:t>金融支出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219 </w:t>
            </w:r>
            <w:r>
              <w:rPr>
                <w:rFonts w:hint="eastAsia" w:ascii="仿宋_GB2312" w:hAnsi="宋体" w:eastAsia="仿宋_GB2312" w:cs="仿宋_GB2312"/>
                <w:kern w:val="0"/>
                <w:sz w:val="21"/>
                <w:szCs w:val="21"/>
              </w:rPr>
              <w:t>援助其他地区支出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220 </w:t>
            </w:r>
            <w:r>
              <w:rPr>
                <w:rFonts w:hint="eastAsia" w:ascii="仿宋_GB2312" w:hAnsi="宋体" w:eastAsia="仿宋_GB2312" w:cs="仿宋_GB2312"/>
                <w:kern w:val="0"/>
                <w:sz w:val="21"/>
                <w:szCs w:val="21"/>
              </w:rPr>
              <w:t>自然资源海洋气象等支出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221 </w:t>
            </w:r>
            <w:r>
              <w:rPr>
                <w:rFonts w:hint="eastAsia" w:ascii="仿宋_GB2312" w:hAnsi="宋体" w:eastAsia="仿宋_GB2312" w:cs="仿宋_GB2312"/>
                <w:kern w:val="0"/>
                <w:sz w:val="21"/>
                <w:szCs w:val="21"/>
              </w:rPr>
              <w:t>住房保障支出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222 </w:t>
            </w:r>
            <w:r>
              <w:rPr>
                <w:rFonts w:hint="eastAsia" w:ascii="仿宋_GB2312" w:hAnsi="宋体" w:eastAsia="仿宋_GB2312" w:cs="仿宋_GB2312"/>
                <w:kern w:val="0"/>
                <w:sz w:val="21"/>
                <w:szCs w:val="21"/>
              </w:rPr>
              <w:t>粮油物资储备支出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224</w:t>
            </w:r>
            <w:r>
              <w:rPr>
                <w:rFonts w:hint="eastAsia" w:ascii="仿宋_GB2312" w:hAnsi="宋体" w:eastAsia="仿宋_GB2312" w:cs="仿宋_GB2312"/>
                <w:kern w:val="0"/>
                <w:sz w:val="21"/>
                <w:szCs w:val="21"/>
              </w:rPr>
              <w:t>灾害防治及应急管理支出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227 </w:t>
            </w:r>
            <w:r>
              <w:rPr>
                <w:rFonts w:hint="eastAsia" w:ascii="仿宋_GB2312" w:hAnsi="宋体" w:eastAsia="仿宋_GB2312" w:cs="仿宋_GB2312"/>
                <w:kern w:val="0"/>
                <w:sz w:val="21"/>
                <w:szCs w:val="21"/>
              </w:rPr>
              <w:t>预备费</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229 </w:t>
            </w:r>
            <w:r>
              <w:rPr>
                <w:rFonts w:hint="eastAsia" w:ascii="仿宋_GB2312" w:hAnsi="宋体" w:eastAsia="仿宋_GB2312" w:cs="仿宋_GB2312"/>
                <w:kern w:val="0"/>
                <w:sz w:val="21"/>
                <w:szCs w:val="21"/>
              </w:rPr>
              <w:t>其他支出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r>
      <w:tr>
        <w:tblPrEx>
          <w:tblLayout w:type="fixed"/>
          <w:tblCellMar>
            <w:top w:w="0" w:type="dxa"/>
            <w:left w:w="108" w:type="dxa"/>
            <w:bottom w:w="0" w:type="dxa"/>
            <w:right w:w="108" w:type="dxa"/>
          </w:tblCellMar>
        </w:tblPrEx>
        <w:trPr>
          <w:trHeight w:val="296"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p>
        </w:tc>
        <w:tc>
          <w:tcPr>
            <w:tcW w:w="2093"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230</w:t>
            </w:r>
            <w:r>
              <w:rPr>
                <w:rFonts w:hint="eastAsia" w:ascii="仿宋_GB2312" w:hAnsi="宋体" w:eastAsia="仿宋_GB2312" w:cs="仿宋_GB2312"/>
                <w:kern w:val="0"/>
                <w:sz w:val="21"/>
                <w:szCs w:val="21"/>
              </w:rPr>
              <w:t>转移性支出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jc w:val="right"/>
              <w:textAlignment w:val="center"/>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231 </w:t>
            </w:r>
            <w:r>
              <w:rPr>
                <w:rFonts w:hint="eastAsia" w:ascii="仿宋_GB2312" w:hAnsi="宋体" w:eastAsia="仿宋_GB2312" w:cs="仿宋_GB2312"/>
                <w:kern w:val="0"/>
                <w:sz w:val="21"/>
                <w:szCs w:val="21"/>
              </w:rPr>
              <w:t>债务还本支出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r>
              <w:rPr>
                <w:rFonts w:hint="eastAsia" w:ascii="仿宋_GB2312" w:hAnsi="宋体" w:eastAsia="仿宋_GB2312" w:cs="仿宋_GB2312"/>
                <w:kern w:val="0"/>
                <w:sz w:val="21"/>
                <w:szCs w:val="21"/>
              </w:rPr>
              <w:t>　</w:t>
            </w:r>
          </w:p>
        </w:tc>
      </w:tr>
      <w:tr>
        <w:tblPrEx>
          <w:tblLayout w:type="fixed"/>
          <w:tblCellMar>
            <w:top w:w="0" w:type="dxa"/>
            <w:left w:w="108" w:type="dxa"/>
            <w:bottom w:w="0" w:type="dxa"/>
            <w:right w:w="108" w:type="dxa"/>
          </w:tblCellMar>
        </w:tblPrEx>
        <w:trPr>
          <w:trHeight w:val="257"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jc w:val="right"/>
              <w:textAlignment w:val="center"/>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232 </w:t>
            </w:r>
            <w:r>
              <w:rPr>
                <w:rFonts w:hint="eastAsia" w:ascii="仿宋_GB2312" w:hAnsi="宋体" w:eastAsia="仿宋_GB2312" w:cs="仿宋_GB2312"/>
                <w:kern w:val="0"/>
                <w:sz w:val="21"/>
                <w:szCs w:val="21"/>
              </w:rPr>
              <w:t>债务付息支出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r>
              <w:rPr>
                <w:rFonts w:hint="eastAsia" w:ascii="仿宋_GB2312" w:hAnsi="宋体" w:eastAsia="仿宋_GB2312" w:cs="仿宋_GB2312"/>
                <w:kern w:val="0"/>
                <w:sz w:val="21"/>
                <w:szCs w:val="21"/>
              </w:rPr>
              <w:t>　</w:t>
            </w:r>
          </w:p>
        </w:tc>
      </w:tr>
      <w:tr>
        <w:tblPrEx>
          <w:tblLayout w:type="fixed"/>
          <w:tblCellMar>
            <w:top w:w="0" w:type="dxa"/>
            <w:left w:w="108" w:type="dxa"/>
            <w:bottom w:w="0" w:type="dxa"/>
            <w:right w:w="108" w:type="dxa"/>
          </w:tblCellMar>
        </w:tblPrEx>
        <w:trPr>
          <w:trHeight w:val="342" w:hRule="exact"/>
        </w:trPr>
        <w:tc>
          <w:tcPr>
            <w:tcW w:w="2398"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093" w:type="dxa"/>
            <w:tcBorders>
              <w:top w:val="nil"/>
              <w:left w:val="nil"/>
              <w:bottom w:val="single" w:color="auto" w:sz="4" w:space="0"/>
              <w:right w:val="single" w:color="auto" w:sz="4" w:space="0"/>
            </w:tcBorders>
            <w:vAlign w:val="bottom"/>
          </w:tcPr>
          <w:p>
            <w:pPr>
              <w:widowControl/>
              <w:jc w:val="right"/>
              <w:textAlignment w:val="center"/>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kern w:val="0"/>
                <w:sz w:val="21"/>
                <w:szCs w:val="21"/>
              </w:rPr>
            </w:pPr>
            <w:r>
              <w:rPr>
                <w:rFonts w:ascii="仿宋_GB2312" w:hAnsi="宋体" w:eastAsia="仿宋_GB2312" w:cs="仿宋_GB2312"/>
                <w:kern w:val="0"/>
                <w:sz w:val="21"/>
                <w:szCs w:val="21"/>
              </w:rPr>
              <w:t xml:space="preserve">233 </w:t>
            </w:r>
            <w:r>
              <w:rPr>
                <w:rFonts w:hint="eastAsia" w:ascii="仿宋_GB2312" w:hAnsi="宋体" w:eastAsia="仿宋_GB2312" w:cs="仿宋_GB2312"/>
                <w:kern w:val="0"/>
                <w:sz w:val="21"/>
                <w:szCs w:val="21"/>
              </w:rPr>
              <w:t>债务发行费用支出</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r>
              <w:rPr>
                <w:rFonts w:hint="eastAsia" w:ascii="仿宋_GB2312" w:hAnsi="宋体"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2398" w:type="dxa"/>
            <w:tcBorders>
              <w:top w:val="nil"/>
              <w:left w:val="single" w:color="auto" w:sz="4" w:space="0"/>
              <w:bottom w:val="single" w:color="auto" w:sz="4" w:space="0"/>
              <w:right w:val="nil"/>
            </w:tcBorders>
            <w:vAlign w:val="center"/>
          </w:tcPr>
          <w:p>
            <w:pPr>
              <w:widowControl/>
              <w:spacing w:line="300" w:lineRule="exact"/>
              <w:jc w:val="center"/>
              <w:rPr>
                <w:rFonts w:ascii="仿宋_GB2312" w:hAnsi="宋体" w:eastAsia="仿宋_GB2312"/>
                <w:kern w:val="0"/>
                <w:sz w:val="21"/>
                <w:szCs w:val="21"/>
              </w:rPr>
            </w:pPr>
            <w:r>
              <w:rPr>
                <w:rFonts w:hint="eastAsia" w:ascii="仿宋_GB2312" w:hAnsi="宋体" w:eastAsia="仿宋_GB2312" w:cs="仿宋_GB2312"/>
                <w:kern w:val="0"/>
                <w:sz w:val="21"/>
                <w:szCs w:val="21"/>
              </w:rPr>
              <w:t>小</w:t>
            </w:r>
            <w:r>
              <w:rPr>
                <w:rFonts w:ascii="仿宋_GB2312" w:hAnsi="宋体" w:eastAsia="仿宋_GB2312" w:cs="仿宋_GB2312"/>
                <w:kern w:val="0"/>
                <w:sz w:val="21"/>
                <w:szCs w:val="21"/>
              </w:rPr>
              <w:t xml:space="preserve"> </w:t>
            </w:r>
            <w:r>
              <w:rPr>
                <w:rFonts w:hint="eastAsia" w:ascii="仿宋_GB2312" w:hAnsi="宋体" w:eastAsia="仿宋_GB2312" w:cs="仿宋_GB2312"/>
                <w:kern w:val="0"/>
                <w:sz w:val="21"/>
                <w:szCs w:val="21"/>
              </w:rPr>
              <w:t>计</w:t>
            </w:r>
          </w:p>
        </w:tc>
        <w:tc>
          <w:tcPr>
            <w:tcW w:w="2093" w:type="dxa"/>
            <w:tcBorders>
              <w:top w:val="nil"/>
              <w:left w:val="single" w:color="auto" w:sz="4" w:space="0"/>
              <w:bottom w:val="single" w:color="auto" w:sz="4" w:space="0"/>
              <w:right w:val="single" w:color="auto" w:sz="4" w:space="0"/>
            </w:tcBorders>
            <w:vAlign w:val="center"/>
          </w:tcPr>
          <w:p>
            <w:pPr>
              <w:widowControl/>
              <w:jc w:val="right"/>
              <w:textAlignment w:val="center"/>
              <w:rPr>
                <w:rFonts w:hint="eastAsia" w:ascii="仿宋_GB2312" w:hAnsi="宋体" w:eastAsia="仿宋_GB2312"/>
                <w:kern w:val="0"/>
                <w:sz w:val="21"/>
                <w:szCs w:val="21"/>
                <w:lang w:eastAsia="zh-CN"/>
              </w:rPr>
            </w:pPr>
            <w:r>
              <w:rPr>
                <w:rFonts w:ascii="仿宋_GB2312" w:hAnsi="仿宋_GB2312" w:eastAsia="仿宋_GB2312" w:cs="仿宋_GB2312"/>
                <w:sz w:val="21"/>
                <w:szCs w:val="21"/>
              </w:rPr>
              <w:t>218.2</w:t>
            </w:r>
            <w:r>
              <w:rPr>
                <w:rFonts w:hint="eastAsia" w:ascii="仿宋_GB2312" w:hAnsi="仿宋_GB2312" w:eastAsia="仿宋_GB2312" w:cs="仿宋_GB2312"/>
                <w:sz w:val="21"/>
                <w:szCs w:val="21"/>
                <w:lang w:val="en-US" w:eastAsia="zh-CN"/>
              </w:rPr>
              <w:t>7</w:t>
            </w:r>
          </w:p>
        </w:tc>
        <w:tc>
          <w:tcPr>
            <w:tcW w:w="2833"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kern w:val="0"/>
                <w:sz w:val="21"/>
                <w:szCs w:val="21"/>
              </w:rPr>
            </w:pPr>
            <w:r>
              <w:rPr>
                <w:rFonts w:hint="eastAsia" w:ascii="仿宋_GB2312" w:hAnsi="宋体" w:eastAsia="仿宋_GB2312" w:cs="仿宋_GB2312"/>
                <w:kern w:val="0"/>
                <w:sz w:val="21"/>
                <w:szCs w:val="21"/>
              </w:rPr>
              <w:t>小</w:t>
            </w:r>
            <w:r>
              <w:rPr>
                <w:rFonts w:ascii="仿宋_GB2312" w:hAnsi="宋体" w:eastAsia="仿宋_GB2312" w:cs="仿宋_GB2312"/>
                <w:kern w:val="0"/>
                <w:sz w:val="21"/>
                <w:szCs w:val="21"/>
              </w:rPr>
              <w:t xml:space="preserve"> </w:t>
            </w:r>
            <w:r>
              <w:rPr>
                <w:rFonts w:hint="eastAsia" w:ascii="仿宋_GB2312" w:hAnsi="宋体" w:eastAsia="仿宋_GB2312" w:cs="仿宋_GB2312"/>
                <w:kern w:val="0"/>
                <w:sz w:val="21"/>
                <w:szCs w:val="21"/>
              </w:rPr>
              <w:t>计</w:t>
            </w:r>
          </w:p>
        </w:tc>
        <w:tc>
          <w:tcPr>
            <w:tcW w:w="1964"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宋体" w:eastAsia="仿宋_GB2312"/>
                <w:kern w:val="0"/>
                <w:sz w:val="21"/>
                <w:szCs w:val="21"/>
                <w:lang w:eastAsia="zh-CN"/>
              </w:rPr>
            </w:pPr>
            <w:r>
              <w:rPr>
                <w:rFonts w:ascii="仿宋_GB2312" w:hAnsi="仿宋_GB2312" w:eastAsia="仿宋_GB2312" w:cs="仿宋_GB2312"/>
                <w:sz w:val="21"/>
                <w:szCs w:val="21"/>
              </w:rPr>
              <w:t>218.2</w:t>
            </w:r>
            <w:r>
              <w:rPr>
                <w:rFonts w:hint="eastAsia" w:ascii="仿宋_GB2312" w:hAnsi="仿宋_GB2312" w:eastAsia="仿宋_GB2312" w:cs="仿宋_GB2312"/>
                <w:sz w:val="21"/>
                <w:szCs w:val="21"/>
                <w:lang w:val="en-US" w:eastAsia="zh-CN"/>
              </w:rPr>
              <w:t>7</w:t>
            </w:r>
          </w:p>
        </w:tc>
      </w:tr>
      <w:tr>
        <w:tblPrEx>
          <w:tblLayout w:type="fixed"/>
          <w:tblCellMar>
            <w:top w:w="0" w:type="dxa"/>
            <w:left w:w="108" w:type="dxa"/>
            <w:bottom w:w="0" w:type="dxa"/>
            <w:right w:w="108" w:type="dxa"/>
          </w:tblCellMar>
        </w:tblPrEx>
        <w:trPr>
          <w:trHeight w:val="469" w:hRule="atLeast"/>
        </w:trPr>
        <w:tc>
          <w:tcPr>
            <w:tcW w:w="2398" w:type="dxa"/>
            <w:tcBorders>
              <w:top w:val="nil"/>
              <w:left w:val="single" w:color="auto" w:sz="4" w:space="0"/>
              <w:bottom w:val="single" w:color="auto" w:sz="4" w:space="0"/>
              <w:right w:val="nil"/>
            </w:tcBorders>
            <w:vAlign w:val="center"/>
          </w:tcPr>
          <w:p>
            <w:pPr>
              <w:widowControl/>
              <w:spacing w:line="300" w:lineRule="exact"/>
              <w:jc w:val="center"/>
              <w:rPr>
                <w:rFonts w:ascii="仿宋_GB2312" w:hAnsi="宋体" w:eastAsia="仿宋_GB2312"/>
                <w:kern w:val="0"/>
                <w:sz w:val="21"/>
                <w:szCs w:val="21"/>
              </w:rPr>
            </w:pPr>
            <w:r>
              <w:rPr>
                <w:rFonts w:hint="eastAsia" w:ascii="仿宋_GB2312" w:hAnsi="宋体" w:eastAsia="仿宋_GB2312" w:cs="仿宋_GB2312"/>
                <w:kern w:val="0"/>
                <w:sz w:val="21"/>
                <w:szCs w:val="21"/>
              </w:rPr>
              <w:t>单位上年结余（不包括国库集中支付额度结余）</w:t>
            </w:r>
          </w:p>
        </w:tc>
        <w:tc>
          <w:tcPr>
            <w:tcW w:w="2093"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r>
              <w:rPr>
                <w:rFonts w:hint="eastAsia" w:ascii="仿宋_GB2312" w:hAnsi="宋体" w:eastAsia="仿宋_GB2312" w:cs="仿宋_GB2312"/>
                <w:kern w:val="0"/>
                <w:sz w:val="21"/>
                <w:szCs w:val="21"/>
              </w:rPr>
              <w:t>　</w:t>
            </w:r>
          </w:p>
        </w:tc>
        <w:tc>
          <w:tcPr>
            <w:tcW w:w="2833" w:type="dxa"/>
            <w:tcBorders>
              <w:top w:val="nil"/>
              <w:left w:val="nil"/>
              <w:bottom w:val="single" w:color="auto" w:sz="4" w:space="0"/>
              <w:right w:val="nil"/>
            </w:tcBorders>
            <w:vAlign w:val="center"/>
          </w:tcPr>
          <w:p>
            <w:pPr>
              <w:widowControl/>
              <w:spacing w:line="300" w:lineRule="exact"/>
              <w:jc w:val="center"/>
              <w:rPr>
                <w:rFonts w:ascii="仿宋_GB2312" w:hAnsi="宋体" w:eastAsia="仿宋_GB2312"/>
                <w:kern w:val="0"/>
                <w:sz w:val="21"/>
                <w:szCs w:val="21"/>
              </w:rPr>
            </w:pP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ascii="仿宋_GB2312" w:hAnsi="宋体" w:eastAsia="仿宋_GB2312"/>
                <w:kern w:val="0"/>
                <w:sz w:val="21"/>
                <w:szCs w:val="21"/>
              </w:rPr>
            </w:pPr>
            <w:r>
              <w:rPr>
                <w:rFonts w:hint="eastAsia" w:ascii="仿宋_GB2312" w:hAnsi="宋体" w:eastAsia="仿宋_GB2312" w:cs="仿宋_GB2312"/>
                <w:kern w:val="0"/>
                <w:sz w:val="21"/>
                <w:szCs w:val="21"/>
              </w:rPr>
              <w:t>　</w:t>
            </w:r>
          </w:p>
        </w:tc>
      </w:tr>
      <w:tr>
        <w:tblPrEx>
          <w:tblLayout w:type="fixed"/>
          <w:tblCellMar>
            <w:top w:w="0" w:type="dxa"/>
            <w:left w:w="108" w:type="dxa"/>
            <w:bottom w:w="0" w:type="dxa"/>
            <w:right w:w="108" w:type="dxa"/>
          </w:tblCellMar>
        </w:tblPrEx>
        <w:trPr>
          <w:trHeight w:val="365" w:hRule="atLeast"/>
        </w:trPr>
        <w:tc>
          <w:tcPr>
            <w:tcW w:w="2398" w:type="dxa"/>
            <w:tcBorders>
              <w:top w:val="nil"/>
              <w:left w:val="single" w:color="auto" w:sz="4" w:space="0"/>
              <w:bottom w:val="single" w:color="auto" w:sz="4" w:space="0"/>
              <w:right w:val="nil"/>
            </w:tcBorders>
            <w:vAlign w:val="center"/>
          </w:tcPr>
          <w:p>
            <w:pPr>
              <w:widowControl/>
              <w:spacing w:line="300" w:lineRule="exact"/>
              <w:jc w:val="center"/>
              <w:rPr>
                <w:rFonts w:ascii="仿宋_GB2312" w:hAnsi="宋体" w:eastAsia="仿宋_GB2312"/>
                <w:kern w:val="0"/>
                <w:sz w:val="21"/>
                <w:szCs w:val="21"/>
              </w:rPr>
            </w:pPr>
            <w:r>
              <w:rPr>
                <w:rFonts w:hint="eastAsia" w:ascii="仿宋_GB2312" w:hAnsi="宋体" w:eastAsia="仿宋_GB2312" w:cs="仿宋_GB2312"/>
                <w:kern w:val="0"/>
                <w:sz w:val="21"/>
                <w:szCs w:val="21"/>
              </w:rPr>
              <w:t>收</w:t>
            </w:r>
            <w:r>
              <w:rPr>
                <w:rFonts w:ascii="仿宋_GB2312" w:hAnsi="宋体" w:eastAsia="仿宋_GB2312" w:cs="仿宋_GB2312"/>
                <w:kern w:val="0"/>
                <w:sz w:val="21"/>
                <w:szCs w:val="21"/>
              </w:rPr>
              <w:t xml:space="preserve">  </w:t>
            </w:r>
            <w:r>
              <w:rPr>
                <w:rFonts w:hint="eastAsia" w:ascii="仿宋_GB2312" w:hAnsi="宋体" w:eastAsia="仿宋_GB2312" w:cs="仿宋_GB2312"/>
                <w:kern w:val="0"/>
                <w:sz w:val="21"/>
                <w:szCs w:val="21"/>
              </w:rPr>
              <w:t>入</w:t>
            </w:r>
            <w:r>
              <w:rPr>
                <w:rFonts w:ascii="仿宋_GB2312" w:hAnsi="宋体" w:eastAsia="仿宋_GB2312" w:cs="仿宋_GB2312"/>
                <w:kern w:val="0"/>
                <w:sz w:val="21"/>
                <w:szCs w:val="21"/>
              </w:rPr>
              <w:t xml:space="preserve">  </w:t>
            </w:r>
            <w:r>
              <w:rPr>
                <w:rFonts w:hint="eastAsia" w:ascii="仿宋_GB2312" w:hAnsi="宋体" w:eastAsia="仿宋_GB2312" w:cs="仿宋_GB2312"/>
                <w:kern w:val="0"/>
                <w:sz w:val="21"/>
                <w:szCs w:val="21"/>
              </w:rPr>
              <w:t>总</w:t>
            </w:r>
            <w:r>
              <w:rPr>
                <w:rFonts w:ascii="仿宋_GB2312" w:hAnsi="宋体" w:eastAsia="仿宋_GB2312" w:cs="仿宋_GB2312"/>
                <w:kern w:val="0"/>
                <w:sz w:val="21"/>
                <w:szCs w:val="21"/>
              </w:rPr>
              <w:t xml:space="preserve">  </w:t>
            </w:r>
            <w:r>
              <w:rPr>
                <w:rFonts w:hint="eastAsia" w:ascii="仿宋_GB2312" w:hAnsi="宋体" w:eastAsia="仿宋_GB2312" w:cs="仿宋_GB2312"/>
                <w:kern w:val="0"/>
                <w:sz w:val="21"/>
                <w:szCs w:val="21"/>
              </w:rPr>
              <w:t>计</w:t>
            </w:r>
          </w:p>
        </w:tc>
        <w:tc>
          <w:tcPr>
            <w:tcW w:w="2093" w:type="dxa"/>
            <w:tcBorders>
              <w:top w:val="nil"/>
              <w:left w:val="single" w:color="auto" w:sz="4" w:space="0"/>
              <w:bottom w:val="single" w:color="auto" w:sz="4" w:space="0"/>
              <w:right w:val="single" w:color="auto" w:sz="4" w:space="0"/>
            </w:tcBorders>
            <w:vAlign w:val="center"/>
          </w:tcPr>
          <w:p>
            <w:pPr>
              <w:widowControl/>
              <w:jc w:val="right"/>
              <w:textAlignment w:val="center"/>
              <w:rPr>
                <w:rFonts w:hint="eastAsia" w:ascii="仿宋_GB2312" w:hAnsi="宋体" w:eastAsia="仿宋_GB2312"/>
                <w:kern w:val="0"/>
                <w:sz w:val="21"/>
                <w:szCs w:val="21"/>
                <w:lang w:val="en-US" w:eastAsia="zh-CN"/>
              </w:rPr>
            </w:pPr>
            <w:r>
              <w:rPr>
                <w:rFonts w:ascii="仿宋_GB2312" w:hAnsi="仿宋_GB2312" w:eastAsia="仿宋_GB2312" w:cs="仿宋_GB2312"/>
                <w:sz w:val="21"/>
                <w:szCs w:val="21"/>
              </w:rPr>
              <w:t>218.2</w:t>
            </w:r>
            <w:r>
              <w:rPr>
                <w:rFonts w:hint="eastAsia" w:ascii="仿宋_GB2312" w:hAnsi="仿宋_GB2312" w:eastAsia="仿宋_GB2312" w:cs="仿宋_GB2312"/>
                <w:sz w:val="21"/>
                <w:szCs w:val="21"/>
                <w:lang w:val="en-US" w:eastAsia="zh-CN"/>
              </w:rPr>
              <w:t>7</w:t>
            </w:r>
          </w:p>
        </w:tc>
        <w:tc>
          <w:tcPr>
            <w:tcW w:w="2833" w:type="dxa"/>
            <w:tcBorders>
              <w:top w:val="nil"/>
              <w:left w:val="nil"/>
              <w:bottom w:val="single" w:color="auto" w:sz="4" w:space="0"/>
              <w:right w:val="nil"/>
            </w:tcBorders>
            <w:vAlign w:val="center"/>
          </w:tcPr>
          <w:p>
            <w:pPr>
              <w:widowControl/>
              <w:spacing w:line="300" w:lineRule="exact"/>
              <w:jc w:val="center"/>
              <w:rPr>
                <w:rFonts w:ascii="仿宋_GB2312" w:hAnsi="宋体" w:eastAsia="仿宋_GB2312"/>
                <w:kern w:val="0"/>
                <w:sz w:val="21"/>
                <w:szCs w:val="21"/>
              </w:rPr>
            </w:pPr>
            <w:r>
              <w:rPr>
                <w:rFonts w:hint="eastAsia" w:ascii="仿宋_GB2312" w:hAnsi="宋体" w:eastAsia="仿宋_GB2312" w:cs="仿宋_GB2312"/>
                <w:kern w:val="0"/>
                <w:sz w:val="21"/>
                <w:szCs w:val="21"/>
              </w:rPr>
              <w:t>支</w:t>
            </w:r>
            <w:r>
              <w:rPr>
                <w:rFonts w:ascii="仿宋_GB2312" w:hAnsi="宋体" w:eastAsia="仿宋_GB2312" w:cs="仿宋_GB2312"/>
                <w:kern w:val="0"/>
                <w:sz w:val="21"/>
                <w:szCs w:val="21"/>
              </w:rPr>
              <w:t xml:space="preserve">  </w:t>
            </w:r>
            <w:r>
              <w:rPr>
                <w:rFonts w:hint="eastAsia" w:ascii="仿宋_GB2312" w:hAnsi="宋体" w:eastAsia="仿宋_GB2312" w:cs="仿宋_GB2312"/>
                <w:kern w:val="0"/>
                <w:sz w:val="21"/>
                <w:szCs w:val="21"/>
              </w:rPr>
              <w:t>出</w:t>
            </w:r>
            <w:r>
              <w:rPr>
                <w:rFonts w:ascii="仿宋_GB2312" w:hAnsi="宋体" w:eastAsia="仿宋_GB2312" w:cs="仿宋_GB2312"/>
                <w:kern w:val="0"/>
                <w:sz w:val="21"/>
                <w:szCs w:val="21"/>
              </w:rPr>
              <w:t xml:space="preserve">  </w:t>
            </w:r>
            <w:r>
              <w:rPr>
                <w:rFonts w:hint="eastAsia" w:ascii="仿宋_GB2312" w:hAnsi="宋体" w:eastAsia="仿宋_GB2312" w:cs="仿宋_GB2312"/>
                <w:kern w:val="0"/>
                <w:sz w:val="21"/>
                <w:szCs w:val="21"/>
              </w:rPr>
              <w:t>合</w:t>
            </w:r>
            <w:r>
              <w:rPr>
                <w:rFonts w:ascii="仿宋_GB2312" w:hAnsi="宋体" w:eastAsia="仿宋_GB2312" w:cs="仿宋_GB2312"/>
                <w:kern w:val="0"/>
                <w:sz w:val="21"/>
                <w:szCs w:val="21"/>
              </w:rPr>
              <w:t xml:space="preserve">  </w:t>
            </w:r>
            <w:r>
              <w:rPr>
                <w:rFonts w:hint="eastAsia" w:ascii="仿宋_GB2312" w:hAnsi="宋体" w:eastAsia="仿宋_GB2312" w:cs="仿宋_GB2312"/>
                <w:kern w:val="0"/>
                <w:sz w:val="21"/>
                <w:szCs w:val="21"/>
              </w:rPr>
              <w:t>计</w:t>
            </w:r>
          </w:p>
        </w:tc>
        <w:tc>
          <w:tcPr>
            <w:tcW w:w="1964" w:type="dxa"/>
            <w:tcBorders>
              <w:top w:val="nil"/>
              <w:left w:val="single" w:color="auto" w:sz="4" w:space="0"/>
              <w:bottom w:val="single" w:color="auto" w:sz="4" w:space="0"/>
              <w:right w:val="single" w:color="auto" w:sz="4" w:space="0"/>
            </w:tcBorders>
            <w:vAlign w:val="center"/>
          </w:tcPr>
          <w:p>
            <w:pPr>
              <w:widowControl/>
              <w:jc w:val="right"/>
              <w:textAlignment w:val="center"/>
              <w:rPr>
                <w:rFonts w:hint="eastAsia" w:ascii="宋体" w:eastAsia="仿宋_GB2312"/>
                <w:color w:val="000000"/>
                <w:sz w:val="21"/>
                <w:szCs w:val="21"/>
                <w:lang w:val="en-US" w:eastAsia="zh-CN"/>
              </w:rPr>
            </w:pPr>
            <w:r>
              <w:rPr>
                <w:rFonts w:ascii="仿宋_GB2312" w:hAnsi="仿宋_GB2312" w:eastAsia="仿宋_GB2312" w:cs="仿宋_GB2312"/>
                <w:sz w:val="21"/>
                <w:szCs w:val="21"/>
              </w:rPr>
              <w:t>218.2</w:t>
            </w:r>
            <w:r>
              <w:rPr>
                <w:rFonts w:hint="eastAsia" w:ascii="仿宋_GB2312" w:hAnsi="仿宋_GB2312" w:eastAsia="仿宋_GB2312" w:cs="仿宋_GB2312"/>
                <w:sz w:val="21"/>
                <w:szCs w:val="21"/>
                <w:lang w:val="en-US" w:eastAsia="zh-CN"/>
              </w:rPr>
              <w:t>7</w:t>
            </w:r>
          </w:p>
        </w:tc>
      </w:tr>
    </w:tbl>
    <w:p>
      <w:pPr>
        <w:widowControl/>
        <w:jc w:val="left"/>
        <w:outlineLvl w:val="1"/>
        <w:rPr>
          <w:rFonts w:ascii="仿宋_GB2312" w:hAnsi="宋体" w:eastAsia="仿宋_GB2312"/>
          <w:b/>
          <w:bCs/>
          <w:kern w:val="0"/>
          <w:sz w:val="32"/>
          <w:szCs w:val="32"/>
        </w:rPr>
      </w:pPr>
      <w:r>
        <w:rPr>
          <w:rFonts w:hint="eastAsia" w:ascii="仿宋_GB2312" w:hAnsi="宋体" w:eastAsia="仿宋_GB2312" w:cs="仿宋_GB2312"/>
          <w:b/>
          <w:bCs/>
          <w:kern w:val="0"/>
          <w:sz w:val="28"/>
          <w:szCs w:val="28"/>
        </w:rPr>
        <w:br w:type="page"/>
      </w:r>
      <w:r>
        <w:rPr>
          <w:rFonts w:hint="eastAsia" w:ascii="仿宋_GB2312" w:hAnsi="宋体" w:eastAsia="仿宋_GB2312" w:cs="仿宋_GB2312"/>
          <w:b/>
          <w:bCs/>
          <w:kern w:val="0"/>
          <w:sz w:val="32"/>
          <w:szCs w:val="32"/>
        </w:rPr>
        <w:t>表二：</w:t>
      </w:r>
    </w:p>
    <w:p>
      <w:pPr>
        <w:widowControl/>
        <w:jc w:val="center"/>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部门收入总体情况表</w:t>
      </w:r>
    </w:p>
    <w:p>
      <w:pPr>
        <w:widowControl/>
        <w:jc w:val="left"/>
        <w:outlineLvl w:val="1"/>
        <w:rPr>
          <w:rFonts w:ascii="仿宋_GB2312" w:hAnsi="宋体" w:eastAsia="仿宋_GB2312"/>
          <w:kern w:val="0"/>
          <w:sz w:val="24"/>
          <w:szCs w:val="24"/>
        </w:rPr>
      </w:pPr>
      <w:r>
        <w:rPr>
          <w:rFonts w:hint="eastAsia" w:ascii="仿宋_GB2312" w:hAnsi="宋体" w:eastAsia="仿宋_GB2312" w:cs="仿宋_GB2312"/>
          <w:kern w:val="0"/>
          <w:sz w:val="24"/>
          <w:szCs w:val="24"/>
          <w:lang w:eastAsia="zh-CN"/>
        </w:rPr>
        <w:t>编制</w:t>
      </w:r>
      <w:r>
        <w:rPr>
          <w:rFonts w:hint="eastAsia" w:ascii="仿宋_GB2312" w:hAnsi="宋体" w:eastAsia="仿宋_GB2312" w:cs="仿宋_GB2312"/>
          <w:kern w:val="0"/>
          <w:sz w:val="24"/>
          <w:szCs w:val="24"/>
        </w:rPr>
        <w:t>部门：</w:t>
      </w:r>
      <w:r>
        <w:rPr>
          <w:rFonts w:hint="eastAsia" w:ascii="仿宋_GB2312" w:hAnsi="宋体" w:eastAsia="仿宋_GB2312" w:cs="仿宋_GB2312"/>
          <w:kern w:val="0"/>
          <w:sz w:val="24"/>
          <w:szCs w:val="24"/>
          <w:lang w:eastAsia="zh-CN"/>
        </w:rPr>
        <w:t>吉木萨尔县交通运输局</w:t>
      </w:r>
      <w:r>
        <w:rPr>
          <w:rFonts w:ascii="仿宋_GB2312" w:hAnsi="宋体" w:eastAsia="仿宋_GB2312" w:cs="仿宋_GB2312"/>
          <w:kern w:val="0"/>
          <w:sz w:val="24"/>
          <w:szCs w:val="24"/>
        </w:rPr>
        <w:t xml:space="preserve">        </w:t>
      </w:r>
      <w:r>
        <w:rPr>
          <w:rFonts w:hint="eastAsia" w:ascii="仿宋_GB2312" w:hAnsi="宋体" w:eastAsia="仿宋_GB2312" w:cs="仿宋_GB2312"/>
          <w:kern w:val="0"/>
          <w:sz w:val="24"/>
          <w:szCs w:val="24"/>
        </w:rPr>
        <w:t xml:space="preserve">   </w:t>
      </w:r>
      <w:r>
        <w:rPr>
          <w:rFonts w:ascii="仿宋_GB2312" w:hAnsi="宋体" w:eastAsia="仿宋_GB2312" w:cs="仿宋_GB2312"/>
          <w:kern w:val="0"/>
          <w:sz w:val="24"/>
          <w:szCs w:val="24"/>
        </w:rPr>
        <w:t xml:space="preserve">                        </w:t>
      </w:r>
      <w:r>
        <w:rPr>
          <w:rFonts w:hint="eastAsia" w:ascii="仿宋_GB2312" w:hAnsi="宋体" w:eastAsia="仿宋_GB2312" w:cs="仿宋_GB2312"/>
          <w:kern w:val="0"/>
          <w:sz w:val="24"/>
          <w:szCs w:val="24"/>
        </w:rPr>
        <w:t>单位：万元</w:t>
      </w:r>
    </w:p>
    <w:tbl>
      <w:tblPr>
        <w:tblStyle w:val="8"/>
        <w:tblW w:w="9111" w:type="dxa"/>
        <w:tblInd w:w="0" w:type="dxa"/>
        <w:tblLayout w:type="fixed"/>
        <w:tblCellMar>
          <w:top w:w="0" w:type="dxa"/>
          <w:left w:w="108" w:type="dxa"/>
          <w:bottom w:w="0" w:type="dxa"/>
          <w:right w:w="108" w:type="dxa"/>
        </w:tblCellMar>
      </w:tblPr>
      <w:tblGrid>
        <w:gridCol w:w="550"/>
        <w:gridCol w:w="439"/>
        <w:gridCol w:w="441"/>
        <w:gridCol w:w="1621"/>
        <w:gridCol w:w="972"/>
        <w:gridCol w:w="850"/>
        <w:gridCol w:w="603"/>
        <w:gridCol w:w="605"/>
        <w:gridCol w:w="605"/>
        <w:gridCol w:w="605"/>
        <w:gridCol w:w="605"/>
        <w:gridCol w:w="605"/>
        <w:gridCol w:w="610"/>
      </w:tblGrid>
      <w:tr>
        <w:tblPrEx>
          <w:tblLayout w:type="fixed"/>
          <w:tblCellMar>
            <w:top w:w="0" w:type="dxa"/>
            <w:left w:w="108" w:type="dxa"/>
            <w:bottom w:w="0" w:type="dxa"/>
            <w:right w:w="108" w:type="dxa"/>
          </w:tblCellMar>
        </w:tblPrEx>
        <w:trPr>
          <w:trHeight w:val="510" w:hRule="atLeast"/>
        </w:trPr>
        <w:tc>
          <w:tcPr>
            <w:tcW w:w="143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b/>
                <w:bCs/>
                <w:color w:val="000000"/>
                <w:sz w:val="20"/>
                <w:szCs w:val="20"/>
              </w:rPr>
            </w:pPr>
            <w:r>
              <w:rPr>
                <w:rFonts w:hint="eastAsia" w:ascii="仿宋_GB2312" w:eastAsia="仿宋_GB2312" w:cs="仿宋_GB2312"/>
                <w:b/>
                <w:bCs/>
                <w:color w:val="000000"/>
                <w:sz w:val="20"/>
                <w:szCs w:val="20"/>
              </w:rPr>
              <w:t>功能分类科目编码</w:t>
            </w:r>
          </w:p>
        </w:tc>
        <w:tc>
          <w:tcPr>
            <w:tcW w:w="162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b/>
                <w:bCs/>
                <w:color w:val="000000"/>
                <w:sz w:val="20"/>
                <w:szCs w:val="20"/>
              </w:rPr>
            </w:pPr>
            <w:r>
              <w:rPr>
                <w:rFonts w:hint="eastAsia" w:ascii="仿宋_GB2312" w:eastAsia="仿宋_GB2312" w:cs="仿宋_GB2312"/>
                <w:b/>
                <w:bCs/>
                <w:color w:val="000000"/>
                <w:sz w:val="20"/>
                <w:szCs w:val="20"/>
              </w:rPr>
              <w:t>功能分类科目名称</w:t>
            </w:r>
          </w:p>
        </w:tc>
        <w:tc>
          <w:tcPr>
            <w:tcW w:w="97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b/>
                <w:bCs/>
                <w:color w:val="000000"/>
                <w:sz w:val="20"/>
                <w:szCs w:val="20"/>
              </w:rPr>
            </w:pPr>
            <w:r>
              <w:rPr>
                <w:rFonts w:hint="eastAsia" w:ascii="仿宋_GB2312" w:eastAsia="仿宋_GB2312" w:cs="仿宋_GB2312"/>
                <w:b/>
                <w:bCs/>
                <w:color w:val="000000"/>
                <w:sz w:val="20"/>
                <w:szCs w:val="20"/>
              </w:rPr>
              <w:t>总</w:t>
            </w:r>
            <w:r>
              <w:rPr>
                <w:rFonts w:ascii="仿宋_GB2312" w:eastAsia="仿宋_GB2312" w:cs="仿宋_GB2312"/>
                <w:b/>
                <w:bCs/>
                <w:color w:val="000000"/>
                <w:sz w:val="20"/>
                <w:szCs w:val="20"/>
              </w:rPr>
              <w:t xml:space="preserve">  </w:t>
            </w:r>
            <w:r>
              <w:rPr>
                <w:rFonts w:hint="eastAsia" w:ascii="仿宋_GB2312" w:eastAsia="仿宋_GB2312" w:cs="仿宋_GB2312"/>
                <w:b/>
                <w:bCs/>
                <w:color w:val="000000"/>
                <w:sz w:val="20"/>
                <w:szCs w:val="20"/>
              </w:rPr>
              <w:t>计</w:t>
            </w:r>
          </w:p>
        </w:tc>
        <w:tc>
          <w:tcPr>
            <w:tcW w:w="85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b/>
                <w:bCs/>
                <w:color w:val="000000"/>
                <w:sz w:val="20"/>
                <w:szCs w:val="20"/>
              </w:rPr>
            </w:pPr>
            <w:r>
              <w:rPr>
                <w:rFonts w:hint="eastAsia" w:ascii="仿宋_GB2312" w:eastAsia="仿宋_GB2312" w:cs="仿宋_GB2312"/>
                <w:b/>
                <w:bCs/>
                <w:color w:val="000000"/>
                <w:sz w:val="20"/>
                <w:szCs w:val="20"/>
              </w:rPr>
              <w:t>一般公共预算拨款</w:t>
            </w:r>
          </w:p>
        </w:tc>
        <w:tc>
          <w:tcPr>
            <w:tcW w:w="60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b/>
                <w:bCs/>
                <w:color w:val="000000"/>
                <w:sz w:val="20"/>
                <w:szCs w:val="20"/>
              </w:rPr>
            </w:pPr>
            <w:r>
              <w:rPr>
                <w:rFonts w:hint="eastAsia" w:ascii="仿宋_GB2312" w:eastAsia="仿宋_GB2312" w:cs="仿宋_GB2312"/>
                <w:b/>
                <w:bCs/>
                <w:color w:val="000000"/>
                <w:sz w:val="20"/>
                <w:szCs w:val="20"/>
              </w:rPr>
              <w:t>政府性基金预算拨款</w:t>
            </w:r>
          </w:p>
        </w:tc>
        <w:tc>
          <w:tcPr>
            <w:tcW w:w="60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b/>
                <w:bCs/>
                <w:color w:val="000000"/>
                <w:sz w:val="20"/>
                <w:szCs w:val="20"/>
              </w:rPr>
            </w:pPr>
            <w:r>
              <w:rPr>
                <w:rFonts w:hint="eastAsia" w:ascii="仿宋_GB2312" w:eastAsia="仿宋_GB2312" w:cs="仿宋_GB2312"/>
                <w:b/>
                <w:bCs/>
                <w:color w:val="000000"/>
                <w:sz w:val="20"/>
                <w:szCs w:val="20"/>
              </w:rPr>
              <w:t>财政专户管理资金</w:t>
            </w:r>
          </w:p>
        </w:tc>
        <w:tc>
          <w:tcPr>
            <w:tcW w:w="60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b/>
                <w:bCs/>
                <w:color w:val="000000"/>
                <w:sz w:val="20"/>
                <w:szCs w:val="20"/>
              </w:rPr>
            </w:pPr>
            <w:r>
              <w:rPr>
                <w:rFonts w:hint="eastAsia" w:ascii="仿宋_GB2312" w:eastAsia="仿宋_GB2312" w:cs="仿宋_GB2312"/>
                <w:b/>
                <w:bCs/>
                <w:color w:val="000000"/>
                <w:sz w:val="20"/>
                <w:szCs w:val="20"/>
              </w:rPr>
              <w:t>事业收入</w:t>
            </w:r>
          </w:p>
        </w:tc>
        <w:tc>
          <w:tcPr>
            <w:tcW w:w="60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b/>
                <w:bCs/>
                <w:color w:val="000000"/>
                <w:sz w:val="20"/>
                <w:szCs w:val="20"/>
              </w:rPr>
            </w:pPr>
            <w:r>
              <w:rPr>
                <w:rFonts w:hint="eastAsia" w:ascii="仿宋_GB2312" w:eastAsia="仿宋_GB2312" w:cs="仿宋_GB2312"/>
                <w:b/>
                <w:bCs/>
                <w:color w:val="000000"/>
                <w:sz w:val="20"/>
                <w:szCs w:val="20"/>
              </w:rPr>
              <w:t>事业单位经营收入</w:t>
            </w:r>
          </w:p>
        </w:tc>
        <w:tc>
          <w:tcPr>
            <w:tcW w:w="60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b/>
                <w:bCs/>
                <w:color w:val="000000"/>
                <w:sz w:val="20"/>
                <w:szCs w:val="20"/>
              </w:rPr>
            </w:pPr>
            <w:r>
              <w:rPr>
                <w:rFonts w:hint="eastAsia" w:ascii="仿宋_GB2312" w:eastAsia="仿宋_GB2312" w:cs="仿宋_GB2312"/>
                <w:b/>
                <w:bCs/>
                <w:color w:val="000000"/>
                <w:sz w:val="20"/>
                <w:szCs w:val="20"/>
              </w:rPr>
              <w:t>其他收入</w:t>
            </w:r>
          </w:p>
        </w:tc>
        <w:tc>
          <w:tcPr>
            <w:tcW w:w="60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b/>
                <w:bCs/>
                <w:color w:val="000000"/>
                <w:sz w:val="20"/>
                <w:szCs w:val="20"/>
              </w:rPr>
            </w:pPr>
            <w:r>
              <w:rPr>
                <w:rFonts w:hint="eastAsia" w:ascii="仿宋_GB2312" w:eastAsia="仿宋_GB2312" w:cs="仿宋_GB2312"/>
                <w:b/>
                <w:bCs/>
                <w:color w:val="000000"/>
                <w:sz w:val="20"/>
                <w:szCs w:val="20"/>
              </w:rPr>
              <w:t>用事业基金弥补收支差额</w:t>
            </w:r>
          </w:p>
        </w:tc>
        <w:tc>
          <w:tcPr>
            <w:tcW w:w="61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b/>
                <w:bCs/>
                <w:color w:val="000000"/>
                <w:sz w:val="18"/>
                <w:szCs w:val="18"/>
              </w:rPr>
            </w:pPr>
            <w:r>
              <w:rPr>
                <w:rFonts w:hint="eastAsia" w:ascii="仿宋_GB2312" w:eastAsia="仿宋_GB2312" w:cs="仿宋_GB2312"/>
                <w:b/>
                <w:bCs/>
                <w:color w:val="000000"/>
                <w:sz w:val="18"/>
                <w:szCs w:val="18"/>
              </w:rPr>
              <w:t>单位上年结余（不包括国库集中支付额度结余）</w:t>
            </w:r>
          </w:p>
        </w:tc>
      </w:tr>
      <w:tr>
        <w:tblPrEx>
          <w:tblLayout w:type="fixed"/>
          <w:tblCellMar>
            <w:top w:w="0" w:type="dxa"/>
            <w:left w:w="108" w:type="dxa"/>
            <w:bottom w:w="0" w:type="dxa"/>
            <w:right w:w="108" w:type="dxa"/>
          </w:tblCellMar>
        </w:tblPrEx>
        <w:trPr>
          <w:trHeight w:val="1870"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b/>
                <w:bCs/>
                <w:color w:val="000000"/>
                <w:sz w:val="20"/>
                <w:szCs w:val="20"/>
              </w:rPr>
            </w:pPr>
            <w:r>
              <w:rPr>
                <w:rFonts w:hint="eastAsia" w:ascii="仿宋_GB2312" w:eastAsia="仿宋_GB2312" w:cs="仿宋_GB2312"/>
                <w:b/>
                <w:bCs/>
                <w:color w:val="000000"/>
                <w:sz w:val="20"/>
                <w:szCs w:val="20"/>
              </w:rPr>
              <w:t>类</w:t>
            </w: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b/>
                <w:bCs/>
                <w:color w:val="000000"/>
                <w:sz w:val="20"/>
                <w:szCs w:val="20"/>
              </w:rPr>
            </w:pPr>
            <w:r>
              <w:rPr>
                <w:rFonts w:hint="eastAsia" w:ascii="仿宋_GB2312" w:eastAsia="仿宋_GB2312" w:cs="仿宋_GB2312"/>
                <w:b/>
                <w:bCs/>
                <w:color w:val="000000"/>
                <w:sz w:val="20"/>
                <w:szCs w:val="20"/>
              </w:rPr>
              <w:t>款</w:t>
            </w:r>
          </w:p>
        </w:tc>
        <w:tc>
          <w:tcPr>
            <w:tcW w:w="441" w:type="dxa"/>
            <w:tcBorders>
              <w:top w:val="nil"/>
              <w:left w:val="nil"/>
              <w:bottom w:val="single" w:color="auto" w:sz="4" w:space="0"/>
              <w:right w:val="single" w:color="auto" w:sz="4" w:space="0"/>
            </w:tcBorders>
            <w:vAlign w:val="center"/>
          </w:tcPr>
          <w:p>
            <w:pPr>
              <w:jc w:val="right"/>
              <w:rPr>
                <w:rFonts w:ascii="仿宋_GB2312" w:hAnsi="宋体" w:eastAsia="仿宋_GB2312"/>
                <w:b/>
                <w:bCs/>
                <w:color w:val="000000"/>
                <w:sz w:val="20"/>
                <w:szCs w:val="20"/>
              </w:rPr>
            </w:pPr>
            <w:r>
              <w:rPr>
                <w:rFonts w:hint="eastAsia" w:ascii="仿宋_GB2312" w:eastAsia="仿宋_GB2312" w:cs="仿宋_GB2312"/>
                <w:b/>
                <w:bCs/>
                <w:color w:val="000000"/>
                <w:sz w:val="20"/>
                <w:szCs w:val="20"/>
              </w:rPr>
              <w:t>项</w:t>
            </w:r>
          </w:p>
        </w:tc>
        <w:tc>
          <w:tcPr>
            <w:tcW w:w="1621"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olor w:val="000000"/>
                <w:sz w:val="20"/>
                <w:szCs w:val="20"/>
              </w:rPr>
            </w:pPr>
          </w:p>
        </w:tc>
        <w:tc>
          <w:tcPr>
            <w:tcW w:w="972"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olor w:val="000000"/>
                <w:sz w:val="20"/>
                <w:szCs w:val="20"/>
              </w:rPr>
            </w:pPr>
          </w:p>
        </w:tc>
        <w:tc>
          <w:tcPr>
            <w:tcW w:w="85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olor w:val="000000"/>
                <w:sz w:val="20"/>
                <w:szCs w:val="20"/>
              </w:rPr>
            </w:pPr>
          </w:p>
        </w:tc>
        <w:tc>
          <w:tcPr>
            <w:tcW w:w="603"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olor w:val="000000"/>
                <w:sz w:val="20"/>
                <w:szCs w:val="20"/>
              </w:rPr>
            </w:pPr>
          </w:p>
        </w:tc>
        <w:tc>
          <w:tcPr>
            <w:tcW w:w="60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olor w:val="000000"/>
                <w:sz w:val="20"/>
                <w:szCs w:val="20"/>
              </w:rPr>
            </w:pPr>
          </w:p>
        </w:tc>
        <w:tc>
          <w:tcPr>
            <w:tcW w:w="60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olor w:val="000000"/>
                <w:sz w:val="20"/>
                <w:szCs w:val="20"/>
              </w:rPr>
            </w:pPr>
          </w:p>
        </w:tc>
        <w:tc>
          <w:tcPr>
            <w:tcW w:w="60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olor w:val="000000"/>
                <w:sz w:val="20"/>
                <w:szCs w:val="20"/>
              </w:rPr>
            </w:pPr>
          </w:p>
        </w:tc>
        <w:tc>
          <w:tcPr>
            <w:tcW w:w="60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olor w:val="000000"/>
                <w:sz w:val="20"/>
                <w:szCs w:val="20"/>
              </w:rPr>
            </w:pPr>
          </w:p>
        </w:tc>
        <w:tc>
          <w:tcPr>
            <w:tcW w:w="60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olor w:val="000000"/>
                <w:sz w:val="20"/>
                <w:szCs w:val="20"/>
              </w:rPr>
            </w:pPr>
          </w:p>
        </w:tc>
        <w:tc>
          <w:tcPr>
            <w:tcW w:w="61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olor w:val="000000"/>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208</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p>
        </w:tc>
        <w:tc>
          <w:tcPr>
            <w:tcW w:w="44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p>
        </w:tc>
        <w:tc>
          <w:tcPr>
            <w:tcW w:w="162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社会保障和就业支出</w:t>
            </w:r>
          </w:p>
        </w:tc>
        <w:tc>
          <w:tcPr>
            <w:tcW w:w="972"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23.49</w:t>
            </w:r>
          </w:p>
        </w:tc>
        <w:tc>
          <w:tcPr>
            <w:tcW w:w="850"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23.49</w:t>
            </w:r>
          </w:p>
        </w:tc>
        <w:tc>
          <w:tcPr>
            <w:tcW w:w="6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1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208</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05</w:t>
            </w:r>
          </w:p>
        </w:tc>
        <w:tc>
          <w:tcPr>
            <w:tcW w:w="44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p>
        </w:tc>
        <w:tc>
          <w:tcPr>
            <w:tcW w:w="162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行政事业单位养老支出</w:t>
            </w:r>
          </w:p>
        </w:tc>
        <w:tc>
          <w:tcPr>
            <w:tcW w:w="972"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23.49</w:t>
            </w:r>
          </w:p>
        </w:tc>
        <w:tc>
          <w:tcPr>
            <w:tcW w:w="850"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23.49</w:t>
            </w:r>
          </w:p>
        </w:tc>
        <w:tc>
          <w:tcPr>
            <w:tcW w:w="6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1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r>
      <w:tr>
        <w:tblPrEx>
          <w:tblLayout w:type="fixed"/>
          <w:tblCellMar>
            <w:top w:w="0" w:type="dxa"/>
            <w:left w:w="108" w:type="dxa"/>
            <w:bottom w:w="0" w:type="dxa"/>
            <w:right w:w="108" w:type="dxa"/>
          </w:tblCellMar>
        </w:tblPrEx>
        <w:trPr>
          <w:trHeight w:val="619" w:hRule="atLeast"/>
        </w:trPr>
        <w:tc>
          <w:tcPr>
            <w:tcW w:w="550" w:type="dxa"/>
            <w:tcBorders>
              <w:top w:val="nil"/>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208</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05</w:t>
            </w:r>
          </w:p>
        </w:tc>
        <w:tc>
          <w:tcPr>
            <w:tcW w:w="44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01</w:t>
            </w:r>
          </w:p>
        </w:tc>
        <w:tc>
          <w:tcPr>
            <w:tcW w:w="162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归口管理的行政单位离退休</w:t>
            </w:r>
          </w:p>
        </w:tc>
        <w:tc>
          <w:tcPr>
            <w:tcW w:w="972"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1.02</w:t>
            </w:r>
          </w:p>
        </w:tc>
        <w:tc>
          <w:tcPr>
            <w:tcW w:w="850"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1.02</w:t>
            </w:r>
          </w:p>
        </w:tc>
        <w:tc>
          <w:tcPr>
            <w:tcW w:w="6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1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r>
      <w:tr>
        <w:tblPrEx>
          <w:tblLayout w:type="fixed"/>
          <w:tblCellMar>
            <w:top w:w="0" w:type="dxa"/>
            <w:left w:w="108" w:type="dxa"/>
            <w:bottom w:w="0" w:type="dxa"/>
            <w:right w:w="108" w:type="dxa"/>
          </w:tblCellMar>
        </w:tblPrEx>
        <w:trPr>
          <w:trHeight w:val="598" w:hRule="atLeast"/>
        </w:trPr>
        <w:tc>
          <w:tcPr>
            <w:tcW w:w="550" w:type="dxa"/>
            <w:tcBorders>
              <w:top w:val="nil"/>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208</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05</w:t>
            </w:r>
          </w:p>
        </w:tc>
        <w:tc>
          <w:tcPr>
            <w:tcW w:w="44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05</w:t>
            </w:r>
          </w:p>
        </w:tc>
        <w:tc>
          <w:tcPr>
            <w:tcW w:w="162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机关事业单位基本养老保险缴费支出</w:t>
            </w:r>
          </w:p>
        </w:tc>
        <w:tc>
          <w:tcPr>
            <w:tcW w:w="972"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15.60</w:t>
            </w:r>
          </w:p>
        </w:tc>
        <w:tc>
          <w:tcPr>
            <w:tcW w:w="850"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15.60</w:t>
            </w:r>
          </w:p>
        </w:tc>
        <w:tc>
          <w:tcPr>
            <w:tcW w:w="6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1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208</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05</w:t>
            </w:r>
          </w:p>
        </w:tc>
        <w:tc>
          <w:tcPr>
            <w:tcW w:w="44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06</w:t>
            </w:r>
          </w:p>
        </w:tc>
        <w:tc>
          <w:tcPr>
            <w:tcW w:w="162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机关事业单位职业年金缴费支出</w:t>
            </w:r>
          </w:p>
        </w:tc>
        <w:tc>
          <w:tcPr>
            <w:tcW w:w="972"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6.87</w:t>
            </w:r>
          </w:p>
        </w:tc>
        <w:tc>
          <w:tcPr>
            <w:tcW w:w="850"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6.87</w:t>
            </w:r>
          </w:p>
        </w:tc>
        <w:tc>
          <w:tcPr>
            <w:tcW w:w="6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1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210</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w:t>
            </w:r>
          </w:p>
        </w:tc>
        <w:tc>
          <w:tcPr>
            <w:tcW w:w="44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w:t>
            </w:r>
          </w:p>
        </w:tc>
        <w:tc>
          <w:tcPr>
            <w:tcW w:w="162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卫生健康</w:t>
            </w:r>
            <w:r>
              <w:rPr>
                <w:rFonts w:hint="eastAsia" w:ascii="仿宋_GB2312" w:hAnsi="仿宋_GB2312" w:eastAsia="仿宋_GB2312" w:cs="仿宋_GB2312"/>
                <w:sz w:val="21"/>
                <w:szCs w:val="21"/>
              </w:rPr>
              <w:t>支出</w:t>
            </w:r>
          </w:p>
        </w:tc>
        <w:tc>
          <w:tcPr>
            <w:tcW w:w="972"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21.76</w:t>
            </w:r>
          </w:p>
        </w:tc>
        <w:tc>
          <w:tcPr>
            <w:tcW w:w="850"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21.76</w:t>
            </w:r>
          </w:p>
        </w:tc>
        <w:tc>
          <w:tcPr>
            <w:tcW w:w="6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1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210</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44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w:t>
            </w:r>
          </w:p>
        </w:tc>
        <w:tc>
          <w:tcPr>
            <w:tcW w:w="162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行政事业单位医疗</w:t>
            </w:r>
          </w:p>
        </w:tc>
        <w:tc>
          <w:tcPr>
            <w:tcW w:w="972"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21.76</w:t>
            </w:r>
          </w:p>
        </w:tc>
        <w:tc>
          <w:tcPr>
            <w:tcW w:w="850"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21.76</w:t>
            </w:r>
          </w:p>
        </w:tc>
        <w:tc>
          <w:tcPr>
            <w:tcW w:w="6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1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r>
      <w:tr>
        <w:tblPrEx>
          <w:tblLayout w:type="fixed"/>
          <w:tblCellMar>
            <w:top w:w="0" w:type="dxa"/>
            <w:left w:w="108" w:type="dxa"/>
            <w:bottom w:w="0" w:type="dxa"/>
            <w:right w:w="108" w:type="dxa"/>
          </w:tblCellMar>
        </w:tblPrEx>
        <w:trPr>
          <w:trHeight w:val="561" w:hRule="atLeast"/>
        </w:trPr>
        <w:tc>
          <w:tcPr>
            <w:tcW w:w="550" w:type="dxa"/>
            <w:tcBorders>
              <w:top w:val="nil"/>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210</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44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01</w:t>
            </w:r>
          </w:p>
        </w:tc>
        <w:tc>
          <w:tcPr>
            <w:tcW w:w="162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行政单位医疗</w:t>
            </w:r>
          </w:p>
        </w:tc>
        <w:tc>
          <w:tcPr>
            <w:tcW w:w="972"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11.2</w:t>
            </w:r>
          </w:p>
        </w:tc>
        <w:tc>
          <w:tcPr>
            <w:tcW w:w="850"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11.2</w:t>
            </w:r>
          </w:p>
        </w:tc>
        <w:tc>
          <w:tcPr>
            <w:tcW w:w="6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1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r>
      <w:tr>
        <w:tblPrEx>
          <w:tblLayout w:type="fixed"/>
          <w:tblCellMar>
            <w:top w:w="0" w:type="dxa"/>
            <w:left w:w="108" w:type="dxa"/>
            <w:bottom w:w="0" w:type="dxa"/>
            <w:right w:w="108" w:type="dxa"/>
          </w:tblCellMar>
        </w:tblPrEx>
        <w:trPr>
          <w:trHeight w:val="525" w:hRule="atLeast"/>
        </w:trPr>
        <w:tc>
          <w:tcPr>
            <w:tcW w:w="550" w:type="dxa"/>
            <w:tcBorders>
              <w:top w:val="nil"/>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210</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44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02</w:t>
            </w:r>
          </w:p>
        </w:tc>
        <w:tc>
          <w:tcPr>
            <w:tcW w:w="162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事业单位医疗</w:t>
            </w:r>
          </w:p>
        </w:tc>
        <w:tc>
          <w:tcPr>
            <w:tcW w:w="972"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1.84</w:t>
            </w:r>
          </w:p>
        </w:tc>
        <w:tc>
          <w:tcPr>
            <w:tcW w:w="850"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1.84</w:t>
            </w:r>
          </w:p>
        </w:tc>
        <w:tc>
          <w:tcPr>
            <w:tcW w:w="6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1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r>
      <w:tr>
        <w:tblPrEx>
          <w:tblLayout w:type="fixed"/>
          <w:tblCellMar>
            <w:top w:w="0" w:type="dxa"/>
            <w:left w:w="108" w:type="dxa"/>
            <w:bottom w:w="0" w:type="dxa"/>
            <w:right w:w="108" w:type="dxa"/>
          </w:tblCellMar>
        </w:tblPrEx>
        <w:trPr>
          <w:trHeight w:val="573" w:hRule="atLeast"/>
        </w:trPr>
        <w:tc>
          <w:tcPr>
            <w:tcW w:w="550" w:type="dxa"/>
            <w:tcBorders>
              <w:top w:val="nil"/>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210</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44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03</w:t>
            </w:r>
          </w:p>
        </w:tc>
        <w:tc>
          <w:tcPr>
            <w:tcW w:w="162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公务员医疗补助</w:t>
            </w:r>
          </w:p>
        </w:tc>
        <w:tc>
          <w:tcPr>
            <w:tcW w:w="972"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8.72</w:t>
            </w:r>
          </w:p>
        </w:tc>
        <w:tc>
          <w:tcPr>
            <w:tcW w:w="850"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8.72</w:t>
            </w:r>
          </w:p>
        </w:tc>
        <w:tc>
          <w:tcPr>
            <w:tcW w:w="6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1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214</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p>
        </w:tc>
        <w:tc>
          <w:tcPr>
            <w:tcW w:w="44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p>
        </w:tc>
        <w:tc>
          <w:tcPr>
            <w:tcW w:w="162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交通运输支出</w:t>
            </w:r>
          </w:p>
        </w:tc>
        <w:tc>
          <w:tcPr>
            <w:tcW w:w="972"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850"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6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1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r>
      <w:tr>
        <w:tblPrEx>
          <w:tblLayout w:type="fixed"/>
          <w:tblCellMar>
            <w:top w:w="0" w:type="dxa"/>
            <w:left w:w="108" w:type="dxa"/>
            <w:bottom w:w="0" w:type="dxa"/>
            <w:right w:w="108" w:type="dxa"/>
          </w:tblCellMar>
        </w:tblPrEx>
        <w:trPr>
          <w:trHeight w:val="585" w:hRule="atLeast"/>
        </w:trPr>
        <w:tc>
          <w:tcPr>
            <w:tcW w:w="550" w:type="dxa"/>
            <w:tcBorders>
              <w:top w:val="nil"/>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214</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01</w:t>
            </w:r>
          </w:p>
        </w:tc>
        <w:tc>
          <w:tcPr>
            <w:tcW w:w="44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p>
        </w:tc>
        <w:tc>
          <w:tcPr>
            <w:tcW w:w="162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公路水路运输</w:t>
            </w:r>
          </w:p>
        </w:tc>
        <w:tc>
          <w:tcPr>
            <w:tcW w:w="972"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850"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6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1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214</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01</w:t>
            </w:r>
          </w:p>
        </w:tc>
        <w:tc>
          <w:tcPr>
            <w:tcW w:w="44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01</w:t>
            </w:r>
          </w:p>
        </w:tc>
        <w:tc>
          <w:tcPr>
            <w:tcW w:w="1621"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行政运行</w:t>
            </w:r>
          </w:p>
        </w:tc>
        <w:tc>
          <w:tcPr>
            <w:tcW w:w="972"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850"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6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1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w:t>
            </w:r>
          </w:p>
        </w:tc>
        <w:tc>
          <w:tcPr>
            <w:tcW w:w="43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w:t>
            </w:r>
          </w:p>
        </w:tc>
        <w:tc>
          <w:tcPr>
            <w:tcW w:w="44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w:t>
            </w:r>
          </w:p>
        </w:tc>
        <w:tc>
          <w:tcPr>
            <w:tcW w:w="162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合计</w:t>
            </w:r>
          </w:p>
        </w:tc>
        <w:tc>
          <w:tcPr>
            <w:tcW w:w="97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218.2</w:t>
            </w:r>
            <w:r>
              <w:rPr>
                <w:rFonts w:hint="eastAsia" w:ascii="仿宋_GB2312" w:hAnsi="仿宋_GB2312" w:eastAsia="仿宋_GB2312" w:cs="仿宋_GB2312"/>
                <w:sz w:val="21"/>
                <w:szCs w:val="21"/>
                <w:lang w:val="en-US" w:eastAsia="zh-CN"/>
              </w:rPr>
              <w:t>7</w:t>
            </w:r>
          </w:p>
        </w:tc>
        <w:tc>
          <w:tcPr>
            <w:tcW w:w="85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218.2</w:t>
            </w:r>
            <w:r>
              <w:rPr>
                <w:rFonts w:hint="eastAsia" w:ascii="仿宋_GB2312" w:hAnsi="仿宋_GB2312" w:eastAsia="仿宋_GB2312" w:cs="仿宋_GB2312"/>
                <w:sz w:val="21"/>
                <w:szCs w:val="21"/>
                <w:lang w:val="en-US" w:eastAsia="zh-CN"/>
              </w:rPr>
              <w:t>7</w:t>
            </w:r>
          </w:p>
        </w:tc>
        <w:tc>
          <w:tcPr>
            <w:tcW w:w="6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p>
        </w:tc>
        <w:tc>
          <w:tcPr>
            <w:tcW w:w="61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r>
    </w:tbl>
    <w:p>
      <w:pPr>
        <w:widowControl/>
        <w:outlineLvl w:val="1"/>
        <w:rPr>
          <w:rFonts w:ascii="仿宋_GB2312" w:hAnsi="宋体" w:eastAsia="仿宋_GB2312"/>
          <w:b/>
          <w:bCs/>
          <w:kern w:val="0"/>
          <w:sz w:val="28"/>
          <w:szCs w:val="28"/>
        </w:rPr>
      </w:pPr>
    </w:p>
    <w:p>
      <w:pPr>
        <w:widowControl/>
        <w:jc w:val="left"/>
        <w:outlineLvl w:val="1"/>
        <w:rPr>
          <w:rFonts w:ascii="仿宋_GB2312" w:hAnsi="宋体" w:eastAsia="仿宋_GB2312"/>
          <w:b/>
          <w:bCs/>
          <w:kern w:val="0"/>
          <w:sz w:val="32"/>
          <w:szCs w:val="32"/>
        </w:rPr>
      </w:pPr>
      <w:r>
        <w:rPr>
          <w:rFonts w:ascii="仿宋_GB2312" w:hAnsi="宋体" w:eastAsia="仿宋_GB2312"/>
          <w:b/>
          <w:bCs/>
          <w:kern w:val="0"/>
          <w:sz w:val="32"/>
          <w:szCs w:val="32"/>
        </w:rPr>
        <w:br w:type="page"/>
      </w:r>
      <w:r>
        <w:rPr>
          <w:rFonts w:hint="eastAsia" w:ascii="仿宋_GB2312" w:hAnsi="宋体" w:eastAsia="仿宋_GB2312" w:cs="仿宋_GB2312"/>
          <w:b/>
          <w:bCs/>
          <w:kern w:val="0"/>
          <w:sz w:val="32"/>
          <w:szCs w:val="32"/>
        </w:rPr>
        <w:t>表三：</w:t>
      </w:r>
    </w:p>
    <w:p>
      <w:pPr>
        <w:widowControl/>
        <w:jc w:val="center"/>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部门支出总体情况表</w:t>
      </w:r>
    </w:p>
    <w:p>
      <w:pPr>
        <w:widowControl/>
        <w:jc w:val="left"/>
        <w:outlineLvl w:val="1"/>
        <w:rPr>
          <w:rFonts w:ascii="仿宋_GB2312" w:hAnsi="宋体" w:eastAsia="仿宋_GB2312"/>
          <w:kern w:val="0"/>
          <w:sz w:val="24"/>
          <w:szCs w:val="24"/>
        </w:rPr>
      </w:pPr>
      <w:r>
        <w:rPr>
          <w:rFonts w:hint="eastAsia" w:ascii="仿宋_GB2312" w:hAnsi="宋体" w:eastAsia="仿宋_GB2312" w:cs="仿宋_GB2312"/>
          <w:kern w:val="0"/>
          <w:sz w:val="24"/>
          <w:szCs w:val="24"/>
        </w:rPr>
        <w:t>编制部门：</w:t>
      </w:r>
      <w:r>
        <w:rPr>
          <w:rFonts w:hint="eastAsia" w:ascii="仿宋_GB2312" w:hAnsi="宋体" w:eastAsia="仿宋_GB2312" w:cs="仿宋_GB2312"/>
          <w:kern w:val="0"/>
          <w:sz w:val="24"/>
          <w:szCs w:val="24"/>
          <w:lang w:eastAsia="zh-CN"/>
        </w:rPr>
        <w:t>吉木萨尔县交通运输局</w:t>
      </w:r>
      <w:r>
        <w:rPr>
          <w:rFonts w:ascii="仿宋_GB2312" w:hAnsi="宋体" w:eastAsia="仿宋_GB2312" w:cs="仿宋_GB2312"/>
          <w:kern w:val="0"/>
          <w:sz w:val="24"/>
          <w:szCs w:val="24"/>
        </w:rPr>
        <w:t xml:space="preserve">                                   </w:t>
      </w:r>
      <w:r>
        <w:rPr>
          <w:rFonts w:hint="eastAsia" w:ascii="仿宋_GB2312" w:hAnsi="宋体" w:eastAsia="仿宋_GB2312" w:cs="仿宋_GB2312"/>
          <w:kern w:val="0"/>
          <w:sz w:val="24"/>
          <w:szCs w:val="24"/>
        </w:rPr>
        <w:t>单位：万元</w:t>
      </w:r>
    </w:p>
    <w:tbl>
      <w:tblPr>
        <w:tblStyle w:val="8"/>
        <w:tblW w:w="9114" w:type="dxa"/>
        <w:tblInd w:w="0" w:type="dxa"/>
        <w:tblLayout w:type="fixed"/>
        <w:tblCellMar>
          <w:top w:w="0" w:type="dxa"/>
          <w:left w:w="108" w:type="dxa"/>
          <w:bottom w:w="0" w:type="dxa"/>
          <w:right w:w="108" w:type="dxa"/>
        </w:tblCellMar>
      </w:tblPr>
      <w:tblGrid>
        <w:gridCol w:w="550"/>
        <w:gridCol w:w="439"/>
        <w:gridCol w:w="439"/>
        <w:gridCol w:w="2428"/>
        <w:gridCol w:w="1737"/>
        <w:gridCol w:w="1737"/>
        <w:gridCol w:w="1784"/>
      </w:tblGrid>
      <w:tr>
        <w:tblPrEx>
          <w:tblLayout w:type="fixed"/>
          <w:tblCellMar>
            <w:top w:w="0" w:type="dxa"/>
            <w:left w:w="108" w:type="dxa"/>
            <w:bottom w:w="0" w:type="dxa"/>
            <w:right w:w="108" w:type="dxa"/>
          </w:tblCellMar>
        </w:tblPrEx>
        <w:trPr>
          <w:trHeight w:val="345" w:hRule="atLeast"/>
        </w:trPr>
        <w:tc>
          <w:tcPr>
            <w:tcW w:w="385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项目</w:t>
            </w:r>
          </w:p>
        </w:tc>
        <w:tc>
          <w:tcPr>
            <w:tcW w:w="5258" w:type="dxa"/>
            <w:gridSpan w:val="3"/>
            <w:tcBorders>
              <w:top w:val="single" w:color="auto" w:sz="4" w:space="0"/>
              <w:left w:val="nil"/>
              <w:bottom w:val="single" w:color="auto" w:sz="4" w:space="0"/>
              <w:right w:val="single" w:color="000000"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支出预算</w:t>
            </w:r>
          </w:p>
        </w:tc>
      </w:tr>
      <w:tr>
        <w:tblPrEx>
          <w:tblLayout w:type="fixed"/>
          <w:tblCellMar>
            <w:top w:w="0" w:type="dxa"/>
            <w:left w:w="108" w:type="dxa"/>
            <w:bottom w:w="0" w:type="dxa"/>
            <w:right w:w="108" w:type="dxa"/>
          </w:tblCellMar>
        </w:tblPrEx>
        <w:trPr>
          <w:trHeight w:val="480" w:hRule="atLeast"/>
        </w:trPr>
        <w:tc>
          <w:tcPr>
            <w:tcW w:w="142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功能分类科目编码</w:t>
            </w:r>
          </w:p>
        </w:tc>
        <w:tc>
          <w:tcPr>
            <w:tcW w:w="2428"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功能分类科目名称</w:t>
            </w:r>
          </w:p>
        </w:tc>
        <w:tc>
          <w:tcPr>
            <w:tcW w:w="1737"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合计</w:t>
            </w:r>
          </w:p>
        </w:tc>
        <w:tc>
          <w:tcPr>
            <w:tcW w:w="1737"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基本支出</w:t>
            </w:r>
          </w:p>
        </w:tc>
        <w:tc>
          <w:tcPr>
            <w:tcW w:w="178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550" w:type="dxa"/>
            <w:tcBorders>
              <w:top w:val="nil"/>
              <w:left w:val="single" w:color="auto" w:sz="4" w:space="0"/>
              <w:bottom w:val="single" w:color="auto" w:sz="4" w:space="0"/>
              <w:right w:val="single" w:color="auto" w:sz="4" w:space="0"/>
            </w:tcBorders>
            <w:vAlign w:val="center"/>
          </w:tcPr>
          <w:p>
            <w:pPr>
              <w:widowControl/>
              <w:jc w:val="center"/>
              <w:rPr>
                <w:rFonts w:ascii="宋体"/>
                <w:b/>
                <w:bCs/>
                <w:color w:val="000000"/>
                <w:kern w:val="0"/>
                <w:sz w:val="16"/>
                <w:szCs w:val="16"/>
              </w:rPr>
            </w:pPr>
            <w:r>
              <w:rPr>
                <w:rFonts w:hint="eastAsia" w:ascii="宋体" w:hAnsi="宋体" w:cs="宋体"/>
                <w:b/>
                <w:bCs/>
                <w:color w:val="000000"/>
                <w:kern w:val="0"/>
                <w:sz w:val="16"/>
                <w:szCs w:val="16"/>
              </w:rPr>
              <w:t>类</w:t>
            </w:r>
          </w:p>
        </w:tc>
        <w:tc>
          <w:tcPr>
            <w:tcW w:w="439" w:type="dxa"/>
            <w:tcBorders>
              <w:top w:val="nil"/>
              <w:left w:val="nil"/>
              <w:bottom w:val="single" w:color="auto" w:sz="4" w:space="0"/>
              <w:right w:val="single" w:color="auto" w:sz="4" w:space="0"/>
            </w:tcBorders>
            <w:vAlign w:val="center"/>
          </w:tcPr>
          <w:p>
            <w:pPr>
              <w:widowControl/>
              <w:jc w:val="center"/>
              <w:rPr>
                <w:rFonts w:ascii="宋体"/>
                <w:b/>
                <w:bCs/>
                <w:color w:val="000000"/>
                <w:kern w:val="0"/>
                <w:sz w:val="16"/>
                <w:szCs w:val="16"/>
              </w:rPr>
            </w:pPr>
            <w:r>
              <w:rPr>
                <w:rFonts w:hint="eastAsia" w:ascii="宋体" w:hAnsi="宋体" w:cs="宋体"/>
                <w:b/>
                <w:bCs/>
                <w:color w:val="000000"/>
                <w:kern w:val="0"/>
                <w:sz w:val="16"/>
                <w:szCs w:val="16"/>
              </w:rPr>
              <w:t>款</w:t>
            </w:r>
          </w:p>
        </w:tc>
        <w:tc>
          <w:tcPr>
            <w:tcW w:w="439" w:type="dxa"/>
            <w:tcBorders>
              <w:top w:val="nil"/>
              <w:left w:val="nil"/>
              <w:bottom w:val="single" w:color="auto" w:sz="4" w:space="0"/>
              <w:right w:val="single" w:color="auto" w:sz="4" w:space="0"/>
            </w:tcBorders>
            <w:vAlign w:val="center"/>
          </w:tcPr>
          <w:p>
            <w:pPr>
              <w:widowControl/>
              <w:jc w:val="center"/>
              <w:rPr>
                <w:rFonts w:ascii="宋体"/>
                <w:b/>
                <w:bCs/>
                <w:color w:val="000000"/>
                <w:kern w:val="0"/>
                <w:sz w:val="16"/>
                <w:szCs w:val="16"/>
              </w:rPr>
            </w:pPr>
            <w:r>
              <w:rPr>
                <w:rFonts w:hint="eastAsia" w:ascii="宋体" w:hAnsi="宋体" w:cs="宋体"/>
                <w:b/>
                <w:bCs/>
                <w:color w:val="000000"/>
                <w:kern w:val="0"/>
                <w:sz w:val="16"/>
                <w:szCs w:val="16"/>
              </w:rPr>
              <w:t>项</w:t>
            </w:r>
          </w:p>
        </w:tc>
        <w:tc>
          <w:tcPr>
            <w:tcW w:w="242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b/>
                <w:bCs/>
                <w:color w:val="000000"/>
                <w:kern w:val="0"/>
                <w:sz w:val="20"/>
                <w:szCs w:val="20"/>
              </w:rPr>
            </w:pPr>
          </w:p>
        </w:tc>
        <w:tc>
          <w:tcPr>
            <w:tcW w:w="173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b/>
                <w:bCs/>
                <w:color w:val="000000"/>
                <w:kern w:val="0"/>
                <w:sz w:val="20"/>
                <w:szCs w:val="20"/>
              </w:rPr>
            </w:pPr>
          </w:p>
        </w:tc>
        <w:tc>
          <w:tcPr>
            <w:tcW w:w="173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b/>
                <w:bCs/>
                <w:color w:val="000000"/>
                <w:kern w:val="0"/>
                <w:sz w:val="20"/>
                <w:szCs w:val="20"/>
              </w:rPr>
            </w:pPr>
          </w:p>
        </w:tc>
        <w:tc>
          <w:tcPr>
            <w:tcW w:w="17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b/>
                <w:bCs/>
                <w:color w:val="000000"/>
                <w:kern w:val="0"/>
                <w:sz w:val="20"/>
                <w:szCs w:val="20"/>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208</w:t>
            </w:r>
          </w:p>
        </w:tc>
        <w:tc>
          <w:tcPr>
            <w:tcW w:w="439" w:type="dxa"/>
            <w:tcBorders>
              <w:top w:val="nil"/>
              <w:left w:val="nil"/>
              <w:bottom w:val="single" w:color="auto" w:sz="4" w:space="0"/>
              <w:right w:val="single" w:color="auto" w:sz="4" w:space="0"/>
            </w:tcBorders>
          </w:tcPr>
          <w:p>
            <w:pPr>
              <w:jc w:val="center"/>
              <w:rPr>
                <w:rFonts w:hint="eastAsia" w:ascii="仿宋_GB2312" w:hAnsi="仿宋_GB2312" w:eastAsia="仿宋_GB2312" w:cs="仿宋_GB2312"/>
                <w:sz w:val="21"/>
                <w:szCs w:val="21"/>
              </w:rPr>
            </w:pP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p>
        </w:tc>
        <w:tc>
          <w:tcPr>
            <w:tcW w:w="2428"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社会保障和就业支出</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23.49</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23.49</w:t>
            </w:r>
          </w:p>
        </w:tc>
        <w:tc>
          <w:tcPr>
            <w:tcW w:w="178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208</w:t>
            </w:r>
          </w:p>
        </w:tc>
        <w:tc>
          <w:tcPr>
            <w:tcW w:w="439" w:type="dxa"/>
            <w:tcBorders>
              <w:top w:val="nil"/>
              <w:left w:val="nil"/>
              <w:bottom w:val="single" w:color="auto" w:sz="4" w:space="0"/>
              <w:right w:val="single" w:color="auto" w:sz="4" w:space="0"/>
            </w:tcBorders>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05</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p>
        </w:tc>
        <w:tc>
          <w:tcPr>
            <w:tcW w:w="2428" w:type="dxa"/>
            <w:tcBorders>
              <w:top w:val="nil"/>
              <w:left w:val="nil"/>
              <w:bottom w:val="single" w:color="auto" w:sz="4" w:space="0"/>
              <w:right w:val="single" w:color="auto" w:sz="4" w:space="0"/>
            </w:tcBorders>
          </w:tcPr>
          <w:p>
            <w:pPr>
              <w:jc w:val="lef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行政事业单位养老支出</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23.49</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23.49</w:t>
            </w:r>
          </w:p>
        </w:tc>
        <w:tc>
          <w:tcPr>
            <w:tcW w:w="178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208</w:t>
            </w:r>
          </w:p>
        </w:tc>
        <w:tc>
          <w:tcPr>
            <w:tcW w:w="439" w:type="dxa"/>
            <w:tcBorders>
              <w:top w:val="nil"/>
              <w:left w:val="nil"/>
              <w:bottom w:val="single" w:color="auto" w:sz="4" w:space="0"/>
              <w:right w:val="single" w:color="auto" w:sz="4" w:space="0"/>
            </w:tcBorders>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05</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01</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归口管理的行政单位离退休</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1.02</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1.02</w:t>
            </w:r>
          </w:p>
        </w:tc>
        <w:tc>
          <w:tcPr>
            <w:tcW w:w="178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208</w:t>
            </w:r>
          </w:p>
        </w:tc>
        <w:tc>
          <w:tcPr>
            <w:tcW w:w="439" w:type="dxa"/>
            <w:tcBorders>
              <w:top w:val="nil"/>
              <w:left w:val="nil"/>
              <w:bottom w:val="single" w:color="auto" w:sz="4" w:space="0"/>
              <w:right w:val="single" w:color="auto" w:sz="4" w:space="0"/>
            </w:tcBorders>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05</w:t>
            </w:r>
          </w:p>
        </w:tc>
        <w:tc>
          <w:tcPr>
            <w:tcW w:w="439" w:type="dxa"/>
            <w:tcBorders>
              <w:top w:val="nil"/>
              <w:left w:val="nil"/>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05</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机关事业单位基本养老保险缴费支出</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15.60</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15.60</w:t>
            </w:r>
          </w:p>
        </w:tc>
        <w:tc>
          <w:tcPr>
            <w:tcW w:w="178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208</w:t>
            </w:r>
          </w:p>
        </w:tc>
        <w:tc>
          <w:tcPr>
            <w:tcW w:w="439" w:type="dxa"/>
            <w:tcBorders>
              <w:top w:val="nil"/>
              <w:left w:val="nil"/>
              <w:bottom w:val="single" w:color="auto" w:sz="4" w:space="0"/>
              <w:right w:val="single" w:color="auto" w:sz="4" w:space="0"/>
            </w:tcBorders>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05</w:t>
            </w:r>
          </w:p>
        </w:tc>
        <w:tc>
          <w:tcPr>
            <w:tcW w:w="439" w:type="dxa"/>
            <w:tcBorders>
              <w:top w:val="nil"/>
              <w:left w:val="nil"/>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06</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机关事业单位职业年金缴费支出</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6.87</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6.87</w:t>
            </w:r>
          </w:p>
        </w:tc>
        <w:tc>
          <w:tcPr>
            <w:tcW w:w="178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210</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卫生健康</w:t>
            </w:r>
            <w:r>
              <w:rPr>
                <w:rFonts w:hint="eastAsia" w:ascii="仿宋_GB2312" w:hAnsi="仿宋_GB2312" w:eastAsia="仿宋_GB2312" w:cs="仿宋_GB2312"/>
                <w:sz w:val="21"/>
                <w:szCs w:val="21"/>
              </w:rPr>
              <w:t>支出</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21.76</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21.76</w:t>
            </w:r>
          </w:p>
        </w:tc>
        <w:tc>
          <w:tcPr>
            <w:tcW w:w="178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210</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行政事业单位医疗</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21.76</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21.76</w:t>
            </w:r>
          </w:p>
        </w:tc>
        <w:tc>
          <w:tcPr>
            <w:tcW w:w="178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210</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01</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行政单位医疗</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11.2</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11.2</w:t>
            </w:r>
          </w:p>
        </w:tc>
        <w:tc>
          <w:tcPr>
            <w:tcW w:w="1784"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210</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02</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事业单位医疗</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1.84</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1.84</w:t>
            </w:r>
          </w:p>
        </w:tc>
        <w:tc>
          <w:tcPr>
            <w:tcW w:w="1784"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210</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03</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公务员医疗补助</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8.72</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8.72</w:t>
            </w:r>
          </w:p>
        </w:tc>
        <w:tc>
          <w:tcPr>
            <w:tcW w:w="1784"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214</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p>
        </w:tc>
        <w:tc>
          <w:tcPr>
            <w:tcW w:w="2428"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交通运输支出</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1784"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214</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01</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p>
        </w:tc>
        <w:tc>
          <w:tcPr>
            <w:tcW w:w="2428" w:type="dxa"/>
            <w:tcBorders>
              <w:top w:val="nil"/>
              <w:left w:val="nil"/>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公路水路运输</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1737"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1784"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single" w:color="auto" w:sz="4" w:space="0"/>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214</w:t>
            </w:r>
          </w:p>
        </w:tc>
        <w:tc>
          <w:tcPr>
            <w:tcW w:w="439" w:type="dxa"/>
            <w:tcBorders>
              <w:top w:val="single" w:color="auto" w:sz="4" w:space="0"/>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01</w:t>
            </w:r>
          </w:p>
        </w:tc>
        <w:tc>
          <w:tcPr>
            <w:tcW w:w="439" w:type="dxa"/>
            <w:tcBorders>
              <w:top w:val="single" w:color="auto" w:sz="4" w:space="0"/>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01</w:t>
            </w:r>
          </w:p>
        </w:tc>
        <w:tc>
          <w:tcPr>
            <w:tcW w:w="2428" w:type="dxa"/>
            <w:tcBorders>
              <w:top w:val="single" w:color="auto" w:sz="4" w:space="0"/>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行政运行</w:t>
            </w:r>
          </w:p>
        </w:tc>
        <w:tc>
          <w:tcPr>
            <w:tcW w:w="1737" w:type="dxa"/>
            <w:tcBorders>
              <w:top w:val="single" w:color="auto" w:sz="4" w:space="0"/>
              <w:left w:val="single" w:color="auto" w:sz="4" w:space="0"/>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1737" w:type="dxa"/>
            <w:tcBorders>
              <w:top w:val="single" w:color="auto" w:sz="4" w:space="0"/>
              <w:left w:val="single" w:color="auto" w:sz="4" w:space="0"/>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178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single" w:color="auto" w:sz="4" w:space="0"/>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p>
        </w:tc>
        <w:tc>
          <w:tcPr>
            <w:tcW w:w="439" w:type="dxa"/>
            <w:tcBorders>
              <w:top w:val="single" w:color="auto" w:sz="4" w:space="0"/>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p>
        </w:tc>
        <w:tc>
          <w:tcPr>
            <w:tcW w:w="439" w:type="dxa"/>
            <w:tcBorders>
              <w:top w:val="single" w:color="auto" w:sz="4" w:space="0"/>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kern w:val="0"/>
                <w:sz w:val="21"/>
                <w:szCs w:val="21"/>
              </w:rPr>
            </w:pPr>
          </w:p>
        </w:tc>
        <w:tc>
          <w:tcPr>
            <w:tcW w:w="2428" w:type="dxa"/>
            <w:tcBorders>
              <w:top w:val="single" w:color="auto" w:sz="4" w:space="0"/>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p>
        </w:tc>
        <w:tc>
          <w:tcPr>
            <w:tcW w:w="1737" w:type="dxa"/>
            <w:tcBorders>
              <w:top w:val="single" w:color="auto" w:sz="4" w:space="0"/>
              <w:left w:val="single" w:color="auto" w:sz="4" w:space="0"/>
              <w:bottom w:val="single" w:color="auto" w:sz="4" w:space="0"/>
              <w:right w:val="single" w:color="auto" w:sz="4" w:space="0"/>
            </w:tcBorders>
          </w:tcPr>
          <w:p>
            <w:pPr>
              <w:jc w:val="right"/>
              <w:rPr>
                <w:rFonts w:hint="eastAsia" w:ascii="仿宋_GB2312" w:hAnsi="仿宋_GB2312" w:eastAsia="仿宋_GB2312" w:cs="仿宋_GB2312"/>
                <w:sz w:val="21"/>
                <w:szCs w:val="21"/>
              </w:rPr>
            </w:pPr>
          </w:p>
        </w:tc>
        <w:tc>
          <w:tcPr>
            <w:tcW w:w="173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c>
          <w:tcPr>
            <w:tcW w:w="178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single" w:color="auto" w:sz="4" w:space="0"/>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p>
        </w:tc>
        <w:tc>
          <w:tcPr>
            <w:tcW w:w="439" w:type="dxa"/>
            <w:tcBorders>
              <w:top w:val="single" w:color="auto" w:sz="4" w:space="0"/>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p>
        </w:tc>
        <w:tc>
          <w:tcPr>
            <w:tcW w:w="439" w:type="dxa"/>
            <w:tcBorders>
              <w:top w:val="single" w:color="auto" w:sz="4" w:space="0"/>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p>
        </w:tc>
        <w:tc>
          <w:tcPr>
            <w:tcW w:w="2428" w:type="dxa"/>
            <w:tcBorders>
              <w:top w:val="single" w:color="auto" w:sz="4" w:space="0"/>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p>
        </w:tc>
        <w:tc>
          <w:tcPr>
            <w:tcW w:w="1737" w:type="dxa"/>
            <w:tcBorders>
              <w:top w:val="single" w:color="auto" w:sz="4" w:space="0"/>
              <w:left w:val="single" w:color="auto" w:sz="4" w:space="0"/>
              <w:bottom w:val="single" w:color="auto" w:sz="4" w:space="0"/>
              <w:right w:val="single" w:color="auto" w:sz="4" w:space="0"/>
            </w:tcBorders>
          </w:tcPr>
          <w:p>
            <w:pPr>
              <w:jc w:val="right"/>
              <w:rPr>
                <w:rFonts w:hint="eastAsia" w:ascii="仿宋_GB2312" w:hAnsi="仿宋_GB2312" w:eastAsia="仿宋_GB2312" w:cs="仿宋_GB2312"/>
                <w:sz w:val="21"/>
                <w:szCs w:val="21"/>
              </w:rPr>
            </w:pPr>
          </w:p>
        </w:tc>
        <w:tc>
          <w:tcPr>
            <w:tcW w:w="173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c>
          <w:tcPr>
            <w:tcW w:w="178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000000"/>
                <w:kern w:val="0"/>
                <w:sz w:val="21"/>
                <w:szCs w:val="21"/>
              </w:rPr>
            </w:pPr>
          </w:p>
        </w:tc>
        <w:tc>
          <w:tcPr>
            <w:tcW w:w="242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合计</w:t>
            </w:r>
          </w:p>
        </w:tc>
        <w:tc>
          <w:tcPr>
            <w:tcW w:w="173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rPr>
              <w:t>218.2</w:t>
            </w:r>
            <w:r>
              <w:rPr>
                <w:rFonts w:hint="eastAsia" w:ascii="仿宋_GB2312" w:hAnsi="仿宋_GB2312" w:eastAsia="仿宋_GB2312" w:cs="仿宋_GB2312"/>
                <w:color w:val="000000"/>
                <w:sz w:val="21"/>
                <w:szCs w:val="21"/>
                <w:lang w:val="en-US" w:eastAsia="zh-CN"/>
              </w:rPr>
              <w:t>7</w:t>
            </w:r>
          </w:p>
        </w:tc>
        <w:tc>
          <w:tcPr>
            <w:tcW w:w="173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rPr>
              <w:t>218.2</w:t>
            </w:r>
            <w:r>
              <w:rPr>
                <w:rFonts w:hint="eastAsia" w:ascii="仿宋_GB2312" w:hAnsi="仿宋_GB2312" w:eastAsia="仿宋_GB2312" w:cs="仿宋_GB2312"/>
                <w:color w:val="000000"/>
                <w:sz w:val="21"/>
                <w:szCs w:val="21"/>
                <w:lang w:val="en-US" w:eastAsia="zh-CN"/>
              </w:rPr>
              <w:t>7</w:t>
            </w:r>
          </w:p>
        </w:tc>
        <w:tc>
          <w:tcPr>
            <w:tcW w:w="178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w:t>
            </w:r>
          </w:p>
        </w:tc>
      </w:tr>
    </w:tbl>
    <w:p>
      <w:pPr>
        <w:widowControl/>
        <w:spacing w:before="120" w:beforeLines="50"/>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br w:type="page"/>
      </w:r>
      <w:r>
        <w:rPr>
          <w:rFonts w:hint="eastAsia" w:ascii="仿宋_GB2312" w:hAnsi="宋体" w:eastAsia="仿宋_GB2312" w:cs="仿宋_GB2312"/>
          <w:b/>
          <w:bCs/>
          <w:kern w:val="0"/>
          <w:sz w:val="32"/>
          <w:szCs w:val="32"/>
        </w:rPr>
        <w:t>表四：</w:t>
      </w:r>
    </w:p>
    <w:p>
      <w:pPr>
        <w:widowControl/>
        <w:spacing w:before="120" w:beforeLines="50"/>
        <w:jc w:val="center"/>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财政拨款收支预算总体情况表</w:t>
      </w:r>
    </w:p>
    <w:p>
      <w:pPr>
        <w:widowControl/>
        <w:spacing w:before="120" w:beforeLines="50"/>
        <w:outlineLvl w:val="1"/>
        <w:rPr>
          <w:rFonts w:ascii="仿宋_GB2312" w:hAnsi="宋体" w:eastAsia="仿宋_GB2312"/>
          <w:kern w:val="0"/>
          <w:sz w:val="28"/>
          <w:szCs w:val="28"/>
        </w:rPr>
      </w:pPr>
      <w:r>
        <w:rPr>
          <w:rFonts w:hint="eastAsia" w:ascii="仿宋_GB2312" w:hAnsi="宋体" w:eastAsia="仿宋_GB2312" w:cs="仿宋_GB2312"/>
          <w:kern w:val="0"/>
          <w:sz w:val="28"/>
          <w:szCs w:val="28"/>
        </w:rPr>
        <w:t>编制部门：</w:t>
      </w:r>
      <w:r>
        <w:rPr>
          <w:rFonts w:hint="eastAsia" w:ascii="仿宋_GB2312" w:hAnsi="宋体" w:eastAsia="仿宋_GB2312" w:cs="仿宋_GB2312"/>
          <w:kern w:val="0"/>
          <w:sz w:val="24"/>
          <w:szCs w:val="24"/>
          <w:lang w:eastAsia="zh-CN"/>
        </w:rPr>
        <w:t>吉木萨尔县交通运输局</w:t>
      </w:r>
      <w:r>
        <w:rPr>
          <w:rFonts w:ascii="仿宋_GB2312" w:hAnsi="宋体" w:eastAsia="仿宋_GB2312" w:cs="仿宋_GB2312"/>
          <w:kern w:val="0"/>
          <w:sz w:val="28"/>
          <w:szCs w:val="28"/>
        </w:rPr>
        <w:t xml:space="preserve">        </w:t>
      </w:r>
      <w:r>
        <w:rPr>
          <w:rFonts w:hint="eastAsia" w:ascii="仿宋_GB2312" w:hAnsi="宋体" w:eastAsia="仿宋_GB2312" w:cs="仿宋_GB2312"/>
          <w:kern w:val="0"/>
          <w:sz w:val="28"/>
          <w:szCs w:val="28"/>
        </w:rPr>
        <w:t xml:space="preserve">     </w:t>
      </w:r>
      <w:r>
        <w:rPr>
          <w:rFonts w:ascii="仿宋_GB2312" w:hAnsi="宋体" w:eastAsia="仿宋_GB2312" w:cs="仿宋_GB2312"/>
          <w:kern w:val="0"/>
          <w:sz w:val="28"/>
          <w:szCs w:val="28"/>
        </w:rPr>
        <w:t xml:space="preserve">              </w:t>
      </w:r>
      <w:r>
        <w:rPr>
          <w:rFonts w:hint="eastAsia" w:ascii="仿宋_GB2312" w:hAnsi="宋体" w:eastAsia="仿宋_GB2312" w:cs="仿宋_GB2312"/>
          <w:kern w:val="0"/>
          <w:sz w:val="28"/>
          <w:szCs w:val="28"/>
        </w:rPr>
        <w:t>单位：万元</w:t>
      </w:r>
    </w:p>
    <w:tbl>
      <w:tblPr>
        <w:tblStyle w:val="8"/>
        <w:tblW w:w="9114" w:type="dxa"/>
        <w:tblInd w:w="0" w:type="dxa"/>
        <w:tblLayout w:type="fixed"/>
        <w:tblCellMar>
          <w:top w:w="0" w:type="dxa"/>
          <w:left w:w="108" w:type="dxa"/>
          <w:bottom w:w="0" w:type="dxa"/>
          <w:right w:w="108" w:type="dxa"/>
        </w:tblCellMar>
      </w:tblPr>
      <w:tblGrid>
        <w:gridCol w:w="1743"/>
        <w:gridCol w:w="1002"/>
        <w:gridCol w:w="2489"/>
        <w:gridCol w:w="1366"/>
        <w:gridCol w:w="1229"/>
        <w:gridCol w:w="1285"/>
      </w:tblGrid>
      <w:tr>
        <w:tblPrEx>
          <w:tblLayout w:type="fixed"/>
          <w:tblCellMar>
            <w:top w:w="0" w:type="dxa"/>
            <w:left w:w="108" w:type="dxa"/>
            <w:bottom w:w="0" w:type="dxa"/>
            <w:right w:w="108" w:type="dxa"/>
          </w:tblCellMar>
        </w:tblPrEx>
        <w:trPr>
          <w:trHeight w:val="285" w:hRule="atLeast"/>
        </w:trPr>
        <w:tc>
          <w:tcPr>
            <w:tcW w:w="2745"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b/>
                <w:bCs/>
                <w:kern w:val="0"/>
                <w:sz w:val="24"/>
                <w:szCs w:val="24"/>
              </w:rPr>
            </w:pPr>
            <w:r>
              <w:rPr>
                <w:rFonts w:hint="eastAsia" w:ascii="仿宋_GB2312" w:hAnsi="宋体" w:eastAsia="仿宋_GB2312" w:cs="仿宋_GB2312"/>
                <w:b/>
                <w:bCs/>
                <w:kern w:val="0"/>
                <w:sz w:val="24"/>
                <w:szCs w:val="24"/>
              </w:rPr>
              <w:t>财政拨款收入</w:t>
            </w:r>
          </w:p>
        </w:tc>
        <w:tc>
          <w:tcPr>
            <w:tcW w:w="6369"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b/>
                <w:bCs/>
                <w:kern w:val="0"/>
                <w:sz w:val="24"/>
                <w:szCs w:val="24"/>
              </w:rPr>
            </w:pPr>
            <w:r>
              <w:rPr>
                <w:rFonts w:hint="eastAsia" w:ascii="仿宋_GB2312" w:hAnsi="宋体" w:eastAsia="仿宋_GB2312" w:cs="仿宋_GB2312"/>
                <w:b/>
                <w:bCs/>
                <w:kern w:val="0"/>
                <w:sz w:val="24"/>
                <w:szCs w:val="24"/>
              </w:rPr>
              <w:t>财政拨款支出</w:t>
            </w:r>
          </w:p>
        </w:tc>
      </w:tr>
      <w:tr>
        <w:tblPrEx>
          <w:tblLayout w:type="fixed"/>
          <w:tblCellMar>
            <w:top w:w="0" w:type="dxa"/>
            <w:left w:w="108" w:type="dxa"/>
            <w:bottom w:w="0" w:type="dxa"/>
            <w:right w:w="108" w:type="dxa"/>
          </w:tblCellMar>
        </w:tblPrEx>
        <w:trPr>
          <w:trHeight w:val="465" w:hRule="atLeast"/>
        </w:trPr>
        <w:tc>
          <w:tcPr>
            <w:tcW w:w="1743"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项</w:t>
            </w:r>
            <w:r>
              <w:rPr>
                <w:rFonts w:ascii="仿宋_GB2312" w:hAnsi="宋体" w:eastAsia="仿宋_GB2312" w:cs="仿宋_GB2312"/>
                <w:b/>
                <w:bCs/>
                <w:kern w:val="0"/>
                <w:sz w:val="20"/>
                <w:szCs w:val="20"/>
              </w:rPr>
              <w:t xml:space="preserve">    </w:t>
            </w:r>
            <w:r>
              <w:rPr>
                <w:rFonts w:hint="eastAsia" w:ascii="仿宋_GB2312" w:hAnsi="宋体" w:eastAsia="仿宋_GB2312" w:cs="仿宋_GB2312"/>
                <w:b/>
                <w:bCs/>
                <w:kern w:val="0"/>
                <w:sz w:val="20"/>
                <w:szCs w:val="20"/>
              </w:rPr>
              <w:t>目</w:t>
            </w:r>
          </w:p>
        </w:tc>
        <w:tc>
          <w:tcPr>
            <w:tcW w:w="1002"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合计</w:t>
            </w:r>
          </w:p>
        </w:tc>
        <w:tc>
          <w:tcPr>
            <w:tcW w:w="248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功</w:t>
            </w:r>
            <w:r>
              <w:rPr>
                <w:rFonts w:ascii="仿宋_GB2312" w:hAnsi="宋体" w:eastAsia="仿宋_GB2312" w:cs="仿宋_GB2312"/>
                <w:b/>
                <w:bCs/>
                <w:kern w:val="0"/>
                <w:sz w:val="20"/>
                <w:szCs w:val="20"/>
              </w:rPr>
              <w:t xml:space="preserve">  </w:t>
            </w:r>
            <w:r>
              <w:rPr>
                <w:rFonts w:hint="eastAsia" w:ascii="仿宋_GB2312" w:hAnsi="宋体" w:eastAsia="仿宋_GB2312" w:cs="仿宋_GB2312"/>
                <w:b/>
                <w:bCs/>
                <w:kern w:val="0"/>
                <w:sz w:val="20"/>
                <w:szCs w:val="20"/>
              </w:rPr>
              <w:t>能</w:t>
            </w:r>
            <w:r>
              <w:rPr>
                <w:rFonts w:ascii="仿宋_GB2312" w:hAnsi="宋体" w:eastAsia="仿宋_GB2312" w:cs="仿宋_GB2312"/>
                <w:b/>
                <w:bCs/>
                <w:kern w:val="0"/>
                <w:sz w:val="20"/>
                <w:szCs w:val="20"/>
              </w:rPr>
              <w:t xml:space="preserve">  </w:t>
            </w:r>
            <w:r>
              <w:rPr>
                <w:rFonts w:hint="eastAsia" w:ascii="仿宋_GB2312" w:hAnsi="宋体" w:eastAsia="仿宋_GB2312" w:cs="仿宋_GB2312"/>
                <w:b/>
                <w:bCs/>
                <w:kern w:val="0"/>
                <w:sz w:val="20"/>
                <w:szCs w:val="20"/>
              </w:rPr>
              <w:t>分</w:t>
            </w:r>
            <w:r>
              <w:rPr>
                <w:rFonts w:ascii="仿宋_GB2312" w:hAnsi="宋体" w:eastAsia="仿宋_GB2312" w:cs="仿宋_GB2312"/>
                <w:b/>
                <w:bCs/>
                <w:kern w:val="0"/>
                <w:sz w:val="20"/>
                <w:szCs w:val="20"/>
              </w:rPr>
              <w:t xml:space="preserve">  </w:t>
            </w:r>
            <w:r>
              <w:rPr>
                <w:rFonts w:hint="eastAsia" w:ascii="仿宋_GB2312" w:hAnsi="宋体" w:eastAsia="仿宋_GB2312" w:cs="仿宋_GB2312"/>
                <w:b/>
                <w:bCs/>
                <w:kern w:val="0"/>
                <w:sz w:val="20"/>
                <w:szCs w:val="20"/>
              </w:rPr>
              <w:t>类</w:t>
            </w:r>
          </w:p>
        </w:tc>
        <w:tc>
          <w:tcPr>
            <w:tcW w:w="1366"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合计</w:t>
            </w:r>
          </w:p>
        </w:tc>
        <w:tc>
          <w:tcPr>
            <w:tcW w:w="122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一般公共预算</w:t>
            </w:r>
          </w:p>
        </w:tc>
        <w:tc>
          <w:tcPr>
            <w:tcW w:w="1285"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kern w:val="0"/>
                <w:sz w:val="20"/>
                <w:szCs w:val="20"/>
              </w:rPr>
            </w:pPr>
            <w:r>
              <w:rPr>
                <w:rFonts w:hint="eastAsia" w:ascii="仿宋_GB2312" w:hAnsi="宋体" w:eastAsia="仿宋_GB2312" w:cs="仿宋_GB2312"/>
                <w:b/>
                <w:bCs/>
                <w:kern w:val="0"/>
                <w:sz w:val="20"/>
                <w:szCs w:val="20"/>
              </w:rPr>
              <w:t>政府性基金预算</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财政拨款（补助）</w:t>
            </w:r>
          </w:p>
        </w:tc>
        <w:tc>
          <w:tcPr>
            <w:tcW w:w="1002"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lang w:eastAsia="zh-CN"/>
              </w:rPr>
            </w:pPr>
            <w:r>
              <w:rPr>
                <w:rFonts w:hint="eastAsia" w:ascii="仿宋_GB2312" w:hAnsi="仿宋_GB2312" w:eastAsia="仿宋_GB2312" w:cs="仿宋_GB2312"/>
                <w:sz w:val="21"/>
                <w:szCs w:val="21"/>
              </w:rPr>
              <w:t>218.2</w:t>
            </w:r>
            <w:r>
              <w:rPr>
                <w:rFonts w:hint="eastAsia" w:ascii="仿宋_GB2312" w:hAnsi="仿宋_GB2312" w:eastAsia="仿宋_GB2312" w:cs="仿宋_GB2312"/>
                <w:sz w:val="21"/>
                <w:szCs w:val="21"/>
                <w:lang w:val="en-US" w:eastAsia="zh-CN"/>
              </w:rPr>
              <w:t>7</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201 一般公共服务支出</w:t>
            </w:r>
          </w:p>
        </w:tc>
        <w:tc>
          <w:tcPr>
            <w:tcW w:w="1366" w:type="dxa"/>
            <w:tcBorders>
              <w:top w:val="nil"/>
              <w:left w:val="nil"/>
              <w:bottom w:val="single" w:color="auto" w:sz="4" w:space="0"/>
              <w:right w:val="single" w:color="auto" w:sz="4" w:space="0"/>
            </w:tcBorders>
            <w:vAlign w:val="center"/>
          </w:tcPr>
          <w:p>
            <w:pPr>
              <w:widowControl/>
              <w:spacing w:line="300" w:lineRule="exact"/>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29" w:type="dxa"/>
            <w:tcBorders>
              <w:top w:val="nil"/>
              <w:left w:val="nil"/>
              <w:bottom w:val="single" w:color="auto" w:sz="4" w:space="0"/>
              <w:right w:val="single" w:color="auto" w:sz="4" w:space="0"/>
            </w:tcBorders>
            <w:vAlign w:val="center"/>
          </w:tcPr>
          <w:p>
            <w:pPr>
              <w:widowControl/>
              <w:spacing w:line="300" w:lineRule="exact"/>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xml:space="preserve"> 一般公共预算</w:t>
            </w:r>
          </w:p>
        </w:tc>
        <w:tc>
          <w:tcPr>
            <w:tcW w:w="1002"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lang w:eastAsia="zh-CN"/>
              </w:rPr>
            </w:pPr>
            <w:r>
              <w:rPr>
                <w:rFonts w:hint="eastAsia" w:ascii="仿宋_GB2312" w:hAnsi="仿宋_GB2312" w:eastAsia="仿宋_GB2312" w:cs="仿宋_GB2312"/>
                <w:sz w:val="21"/>
                <w:szCs w:val="21"/>
              </w:rPr>
              <w:t>218.2</w:t>
            </w:r>
            <w:r>
              <w:rPr>
                <w:rFonts w:hint="eastAsia" w:ascii="仿宋_GB2312" w:hAnsi="仿宋_GB2312" w:eastAsia="仿宋_GB2312" w:cs="仿宋_GB2312"/>
                <w:sz w:val="21"/>
                <w:szCs w:val="21"/>
                <w:lang w:val="en-US" w:eastAsia="zh-CN"/>
              </w:rPr>
              <w:t>7</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202 外交支出</w:t>
            </w:r>
          </w:p>
        </w:tc>
        <w:tc>
          <w:tcPr>
            <w:tcW w:w="1366" w:type="dxa"/>
            <w:tcBorders>
              <w:top w:val="nil"/>
              <w:left w:val="nil"/>
              <w:bottom w:val="single" w:color="auto" w:sz="4" w:space="0"/>
              <w:right w:val="single" w:color="auto" w:sz="4" w:space="0"/>
            </w:tcBorders>
            <w:vAlign w:val="center"/>
          </w:tcPr>
          <w:p>
            <w:pPr>
              <w:widowControl/>
              <w:spacing w:line="300" w:lineRule="exact"/>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29" w:type="dxa"/>
            <w:tcBorders>
              <w:top w:val="nil"/>
              <w:left w:val="nil"/>
              <w:bottom w:val="single" w:color="auto" w:sz="4" w:space="0"/>
              <w:right w:val="single" w:color="auto" w:sz="4" w:space="0"/>
            </w:tcBorders>
            <w:vAlign w:val="center"/>
          </w:tcPr>
          <w:p>
            <w:pPr>
              <w:widowControl/>
              <w:spacing w:line="300" w:lineRule="exact"/>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547"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政府性基金预算</w:t>
            </w:r>
          </w:p>
        </w:tc>
        <w:tc>
          <w:tcPr>
            <w:tcW w:w="1002"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rPr>
              <w:t xml:space="preserve">203 </w:t>
            </w:r>
            <w:r>
              <w:rPr>
                <w:rFonts w:hint="eastAsia" w:ascii="仿宋_GB2312" w:hAnsi="仿宋_GB2312" w:eastAsia="仿宋_GB2312" w:cs="仿宋_GB2312"/>
                <w:kern w:val="0"/>
                <w:sz w:val="21"/>
                <w:szCs w:val="21"/>
                <w:lang w:val="en-US" w:eastAsia="zh-CN"/>
              </w:rPr>
              <w:t xml:space="preserve"> 国防支出</w:t>
            </w:r>
          </w:p>
          <w:p>
            <w:pPr>
              <w:widowControl/>
              <w:jc w:val="left"/>
              <w:rPr>
                <w:rFonts w:hint="eastAsia" w:ascii="仿宋_GB2312" w:hAnsi="仿宋_GB2312" w:eastAsia="仿宋_GB2312" w:cs="仿宋_GB2312"/>
                <w:kern w:val="0"/>
                <w:sz w:val="21"/>
                <w:szCs w:val="21"/>
              </w:rPr>
            </w:pPr>
          </w:p>
        </w:tc>
        <w:tc>
          <w:tcPr>
            <w:tcW w:w="1366" w:type="dxa"/>
            <w:tcBorders>
              <w:top w:val="nil"/>
              <w:left w:val="nil"/>
              <w:bottom w:val="single" w:color="auto" w:sz="4" w:space="0"/>
              <w:right w:val="single" w:color="auto" w:sz="4" w:space="0"/>
            </w:tcBorders>
            <w:vAlign w:val="center"/>
          </w:tcPr>
          <w:p>
            <w:pPr>
              <w:widowControl/>
              <w:spacing w:line="300" w:lineRule="exact"/>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29" w:type="dxa"/>
            <w:tcBorders>
              <w:top w:val="nil"/>
              <w:left w:val="nil"/>
              <w:bottom w:val="single" w:color="auto" w:sz="4" w:space="0"/>
              <w:right w:val="single" w:color="auto" w:sz="4" w:space="0"/>
            </w:tcBorders>
            <w:vAlign w:val="center"/>
          </w:tcPr>
          <w:p>
            <w:pPr>
              <w:widowControl/>
              <w:spacing w:line="300" w:lineRule="exact"/>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rPr>
              <w:t xml:space="preserve">204 </w:t>
            </w:r>
            <w:r>
              <w:rPr>
                <w:rFonts w:hint="eastAsia" w:ascii="仿宋_GB2312" w:hAnsi="仿宋_GB2312" w:eastAsia="仿宋_GB2312" w:cs="仿宋_GB2312"/>
                <w:kern w:val="0"/>
                <w:sz w:val="21"/>
                <w:szCs w:val="21"/>
                <w:lang w:val="en-US" w:eastAsia="zh-CN"/>
              </w:rPr>
              <w:t>公共安全支出</w:t>
            </w:r>
          </w:p>
          <w:p>
            <w:pPr>
              <w:widowControl/>
              <w:jc w:val="left"/>
              <w:rPr>
                <w:rFonts w:hint="eastAsia" w:ascii="仿宋_GB2312" w:hAnsi="仿宋_GB2312" w:eastAsia="仿宋_GB2312" w:cs="仿宋_GB2312"/>
                <w:kern w:val="0"/>
                <w:sz w:val="21"/>
                <w:szCs w:val="21"/>
              </w:rPr>
            </w:pPr>
          </w:p>
        </w:tc>
        <w:tc>
          <w:tcPr>
            <w:tcW w:w="1366" w:type="dxa"/>
            <w:tcBorders>
              <w:top w:val="nil"/>
              <w:left w:val="nil"/>
              <w:bottom w:val="single" w:color="auto" w:sz="4" w:space="0"/>
              <w:right w:val="single" w:color="auto" w:sz="4" w:space="0"/>
            </w:tcBorders>
            <w:vAlign w:val="center"/>
          </w:tcPr>
          <w:p>
            <w:pPr>
              <w:widowControl/>
              <w:spacing w:line="300" w:lineRule="exact"/>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29" w:type="dxa"/>
            <w:tcBorders>
              <w:top w:val="nil"/>
              <w:left w:val="nil"/>
              <w:bottom w:val="single" w:color="auto" w:sz="4" w:space="0"/>
              <w:right w:val="single" w:color="auto" w:sz="4" w:space="0"/>
            </w:tcBorders>
            <w:vAlign w:val="center"/>
          </w:tcPr>
          <w:p>
            <w:pPr>
              <w:widowControl/>
              <w:spacing w:line="300" w:lineRule="exact"/>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205 教育支出</w:t>
            </w:r>
          </w:p>
        </w:tc>
        <w:tc>
          <w:tcPr>
            <w:tcW w:w="1366" w:type="dxa"/>
            <w:tcBorders>
              <w:top w:val="nil"/>
              <w:left w:val="nil"/>
              <w:bottom w:val="single" w:color="auto" w:sz="4" w:space="0"/>
              <w:right w:val="single" w:color="auto" w:sz="4" w:space="0"/>
            </w:tcBorders>
            <w:vAlign w:val="center"/>
          </w:tcPr>
          <w:p>
            <w:pPr>
              <w:widowControl/>
              <w:spacing w:line="300" w:lineRule="exact"/>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29" w:type="dxa"/>
            <w:tcBorders>
              <w:top w:val="nil"/>
              <w:left w:val="nil"/>
              <w:bottom w:val="single" w:color="auto" w:sz="4" w:space="0"/>
              <w:right w:val="single" w:color="auto" w:sz="4" w:space="0"/>
            </w:tcBorders>
            <w:vAlign w:val="center"/>
          </w:tcPr>
          <w:p>
            <w:pPr>
              <w:widowControl/>
              <w:spacing w:line="300" w:lineRule="exact"/>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206 科学技术支出</w:t>
            </w:r>
          </w:p>
        </w:tc>
        <w:tc>
          <w:tcPr>
            <w:tcW w:w="1366" w:type="dxa"/>
            <w:tcBorders>
              <w:top w:val="nil"/>
              <w:left w:val="nil"/>
              <w:bottom w:val="single" w:color="auto" w:sz="4" w:space="0"/>
              <w:right w:val="single" w:color="auto" w:sz="4" w:space="0"/>
            </w:tcBorders>
            <w:vAlign w:val="center"/>
          </w:tcPr>
          <w:p>
            <w:pPr>
              <w:widowControl/>
              <w:spacing w:line="300" w:lineRule="exact"/>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29" w:type="dxa"/>
            <w:tcBorders>
              <w:top w:val="nil"/>
              <w:left w:val="nil"/>
              <w:bottom w:val="single" w:color="auto" w:sz="4" w:space="0"/>
              <w:right w:val="single" w:color="auto" w:sz="4" w:space="0"/>
            </w:tcBorders>
            <w:vAlign w:val="center"/>
          </w:tcPr>
          <w:p>
            <w:pPr>
              <w:widowControl/>
              <w:spacing w:line="300" w:lineRule="exact"/>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207 文化旅游体育与传媒支出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208 社会保障和就业支出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23.49</w:t>
            </w: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23.49</w:t>
            </w: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210卫生健康支出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21.76</w:t>
            </w: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21.76</w:t>
            </w: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211 节能环保支出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212 城乡社区支出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213 农林水支出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214 交通运输支出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173.02</w:t>
            </w: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173.02</w:t>
            </w: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215 资源勘探工业信息等支出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216 商业服务业等支出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217 金融支出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219 援助其他地区支出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220 自然资源海洋气象等支出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221 住房保障支出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222 粮油物资储备支出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224灾害防治及应急管理支出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227 预备费</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229 其他支出</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c>
          <w:tcPr>
            <w:tcW w:w="1285"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230转移性支出</w:t>
            </w:r>
          </w:p>
        </w:tc>
        <w:tc>
          <w:tcPr>
            <w:tcW w:w="1366"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p>
        </w:tc>
        <w:tc>
          <w:tcPr>
            <w:tcW w:w="1229"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231 债务还本支出</w:t>
            </w:r>
          </w:p>
        </w:tc>
        <w:tc>
          <w:tcPr>
            <w:tcW w:w="1366"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1229"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232 债务付息支出</w:t>
            </w:r>
          </w:p>
        </w:tc>
        <w:tc>
          <w:tcPr>
            <w:tcW w:w="1366"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1229"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r>
      <w:tr>
        <w:tblPrEx>
          <w:tblLayout w:type="fixed"/>
          <w:tblCellMar>
            <w:top w:w="0" w:type="dxa"/>
            <w:left w:w="108" w:type="dxa"/>
            <w:bottom w:w="0" w:type="dxa"/>
            <w:right w:w="108" w:type="dxa"/>
          </w:tblCellMar>
        </w:tblPrEx>
        <w:trPr>
          <w:trHeight w:val="312" w:hRule="exact"/>
        </w:trPr>
        <w:tc>
          <w:tcPr>
            <w:tcW w:w="1743"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002" w:type="dxa"/>
            <w:tcBorders>
              <w:top w:val="nil"/>
              <w:left w:val="nil"/>
              <w:bottom w:val="single" w:color="auto" w:sz="4" w:space="0"/>
              <w:right w:val="single" w:color="auto" w:sz="4" w:space="0"/>
            </w:tcBorders>
            <w:vAlign w:val="bottom"/>
          </w:tcPr>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48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233 债务发行费用支出</w:t>
            </w:r>
          </w:p>
        </w:tc>
        <w:tc>
          <w:tcPr>
            <w:tcW w:w="1366"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29"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1285"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Layout w:type="fixed"/>
          <w:tblCellMar>
            <w:top w:w="0" w:type="dxa"/>
            <w:left w:w="108" w:type="dxa"/>
            <w:bottom w:w="0" w:type="dxa"/>
            <w:right w:w="108" w:type="dxa"/>
          </w:tblCellMar>
        </w:tblPrEx>
        <w:trPr>
          <w:trHeight w:val="432" w:hRule="exact"/>
        </w:trPr>
        <w:tc>
          <w:tcPr>
            <w:tcW w:w="1743"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收 入 总 计</w:t>
            </w:r>
          </w:p>
        </w:tc>
        <w:tc>
          <w:tcPr>
            <w:tcW w:w="1002"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sz w:val="21"/>
                <w:szCs w:val="21"/>
              </w:rPr>
              <w:t>218.2</w:t>
            </w:r>
            <w:r>
              <w:rPr>
                <w:rFonts w:hint="eastAsia" w:ascii="仿宋_GB2312" w:hAnsi="仿宋_GB2312" w:eastAsia="仿宋_GB2312" w:cs="仿宋_GB2312"/>
                <w:sz w:val="21"/>
                <w:szCs w:val="21"/>
                <w:lang w:val="en-US" w:eastAsia="zh-CN"/>
              </w:rPr>
              <w:t>7</w:t>
            </w:r>
          </w:p>
        </w:tc>
        <w:tc>
          <w:tcPr>
            <w:tcW w:w="2489"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支  出  总  计</w:t>
            </w:r>
          </w:p>
        </w:tc>
        <w:tc>
          <w:tcPr>
            <w:tcW w:w="1366"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sz w:val="21"/>
                <w:szCs w:val="21"/>
              </w:rPr>
              <w:t>218.2</w:t>
            </w:r>
            <w:r>
              <w:rPr>
                <w:rFonts w:hint="eastAsia" w:ascii="仿宋_GB2312" w:hAnsi="仿宋_GB2312" w:eastAsia="仿宋_GB2312" w:cs="仿宋_GB2312"/>
                <w:sz w:val="21"/>
                <w:szCs w:val="21"/>
                <w:lang w:val="en-US" w:eastAsia="zh-CN"/>
              </w:rPr>
              <w:t>7</w:t>
            </w:r>
          </w:p>
        </w:tc>
        <w:tc>
          <w:tcPr>
            <w:tcW w:w="1229"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sz w:val="21"/>
                <w:szCs w:val="21"/>
              </w:rPr>
              <w:t>218.2</w:t>
            </w:r>
            <w:r>
              <w:rPr>
                <w:rFonts w:hint="eastAsia" w:ascii="仿宋_GB2312" w:hAnsi="仿宋_GB2312" w:eastAsia="仿宋_GB2312" w:cs="仿宋_GB2312"/>
                <w:sz w:val="21"/>
                <w:szCs w:val="21"/>
                <w:lang w:val="en-US" w:eastAsia="zh-CN"/>
              </w:rPr>
              <w:t>7</w:t>
            </w:r>
          </w:p>
        </w:tc>
        <w:tc>
          <w:tcPr>
            <w:tcW w:w="12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kern w:val="0"/>
                <w:sz w:val="21"/>
                <w:szCs w:val="21"/>
              </w:rPr>
            </w:pPr>
            <w:r>
              <w:rPr>
                <w:rFonts w:hint="eastAsia" w:ascii="仿宋_GB2312" w:hAnsi="仿宋_GB2312" w:eastAsia="仿宋_GB2312" w:cs="仿宋_GB2312"/>
                <w:color w:val="000000"/>
                <w:sz w:val="21"/>
                <w:szCs w:val="21"/>
              </w:rPr>
              <w:t>　</w:t>
            </w:r>
          </w:p>
        </w:tc>
      </w:tr>
    </w:tbl>
    <w:p>
      <w:pPr>
        <w:widowControl/>
        <w:jc w:val="left"/>
        <w:outlineLvl w:val="1"/>
        <w:rPr>
          <w:rFonts w:ascii="仿宋_GB2312" w:hAnsi="宋体" w:eastAsia="仿宋_GB2312"/>
          <w:b/>
          <w:bCs/>
          <w:kern w:val="0"/>
          <w:sz w:val="32"/>
          <w:szCs w:val="32"/>
        </w:rPr>
      </w:pPr>
    </w:p>
    <w:p>
      <w:pPr>
        <w:widowControl/>
        <w:jc w:val="left"/>
        <w:outlineLvl w:val="1"/>
        <w:rPr>
          <w:rFonts w:ascii="仿宋_GB2312" w:hAnsi="宋体" w:eastAsia="仿宋_GB2312"/>
          <w:b/>
          <w:bCs/>
          <w:kern w:val="0"/>
          <w:sz w:val="32"/>
          <w:szCs w:val="32"/>
        </w:rPr>
      </w:pPr>
    </w:p>
    <w:p>
      <w:pPr>
        <w:widowControl/>
        <w:jc w:val="left"/>
        <w:outlineLvl w:val="1"/>
        <w:rPr>
          <w:rFonts w:ascii="仿宋_GB2312" w:hAnsi="宋体" w:eastAsia="仿宋_GB2312"/>
          <w:b/>
          <w:bCs/>
          <w:kern w:val="0"/>
          <w:sz w:val="32"/>
          <w:szCs w:val="32"/>
        </w:rPr>
      </w:pPr>
    </w:p>
    <w:p>
      <w:pPr>
        <w:widowControl/>
        <w:jc w:val="left"/>
        <w:outlineLvl w:val="1"/>
        <w:rPr>
          <w:rFonts w:ascii="仿宋_GB2312" w:hAnsi="宋体" w:eastAsia="仿宋_GB2312"/>
          <w:b/>
          <w:bCs/>
          <w:kern w:val="0"/>
          <w:sz w:val="32"/>
          <w:szCs w:val="32"/>
        </w:rPr>
      </w:pPr>
      <w:r>
        <w:rPr>
          <w:rFonts w:ascii="仿宋_GB2312" w:hAnsi="宋体" w:eastAsia="仿宋_GB2312"/>
          <w:b/>
          <w:bCs/>
          <w:kern w:val="0"/>
          <w:sz w:val="32"/>
          <w:szCs w:val="32"/>
        </w:rPr>
        <w:br w:type="page"/>
      </w:r>
      <w:r>
        <w:rPr>
          <w:rFonts w:hint="eastAsia" w:ascii="仿宋_GB2312" w:hAnsi="宋体" w:eastAsia="仿宋_GB2312" w:cs="仿宋_GB2312"/>
          <w:b/>
          <w:bCs/>
          <w:kern w:val="0"/>
          <w:sz w:val="32"/>
          <w:szCs w:val="32"/>
        </w:rPr>
        <w:t>表五：</w:t>
      </w:r>
    </w:p>
    <w:p>
      <w:pPr>
        <w:widowControl/>
        <w:jc w:val="center"/>
        <w:outlineLvl w:val="1"/>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一般公共预算支出情况表</w:t>
      </w:r>
    </w:p>
    <w:p>
      <w:pPr>
        <w:widowControl/>
        <w:outlineLvl w:val="1"/>
        <w:rPr>
          <w:rFonts w:ascii="仿宋_GB2312" w:hAnsi="宋体" w:eastAsia="仿宋_GB2312"/>
          <w:b/>
          <w:bCs/>
          <w:color w:val="000000"/>
          <w:kern w:val="0"/>
          <w:sz w:val="32"/>
          <w:szCs w:val="32"/>
        </w:rPr>
      </w:pPr>
      <w:r>
        <w:rPr>
          <w:rFonts w:hint="eastAsia" w:ascii="仿宋_GB2312" w:hAnsi="宋体" w:eastAsia="仿宋_GB2312" w:cs="仿宋_GB2312"/>
          <w:color w:val="000000"/>
          <w:kern w:val="0"/>
          <w:sz w:val="24"/>
          <w:szCs w:val="24"/>
        </w:rPr>
        <w:t>编制部门：</w:t>
      </w:r>
      <w:r>
        <w:rPr>
          <w:rFonts w:hint="eastAsia" w:ascii="仿宋_GB2312" w:hAnsi="宋体" w:eastAsia="仿宋_GB2312" w:cs="仿宋_GB2312"/>
          <w:kern w:val="0"/>
          <w:sz w:val="24"/>
          <w:szCs w:val="24"/>
          <w:lang w:eastAsia="zh-CN"/>
        </w:rPr>
        <w:t>吉木萨尔县交通运输局</w:t>
      </w:r>
      <w:r>
        <w:rPr>
          <w:rFonts w:ascii="仿宋_GB2312" w:hAnsi="宋体" w:eastAsia="仿宋_GB2312" w:cs="仿宋_GB2312"/>
          <w:color w:val="000000"/>
          <w:kern w:val="0"/>
          <w:sz w:val="24"/>
          <w:szCs w:val="24"/>
        </w:rPr>
        <w:t xml:space="preserve">                                  </w:t>
      </w:r>
      <w:r>
        <w:rPr>
          <w:rFonts w:hint="eastAsia" w:ascii="仿宋_GB2312" w:hAnsi="宋体" w:eastAsia="仿宋_GB2312" w:cs="仿宋_GB2312"/>
          <w:color w:val="000000"/>
          <w:kern w:val="0"/>
          <w:sz w:val="24"/>
          <w:szCs w:val="24"/>
        </w:rPr>
        <w:t>单位：万元</w:t>
      </w:r>
    </w:p>
    <w:tbl>
      <w:tblPr>
        <w:tblStyle w:val="8"/>
        <w:tblW w:w="9114" w:type="dxa"/>
        <w:tblInd w:w="0" w:type="dxa"/>
        <w:tblLayout w:type="fixed"/>
        <w:tblCellMar>
          <w:top w:w="0" w:type="dxa"/>
          <w:left w:w="108" w:type="dxa"/>
          <w:bottom w:w="0" w:type="dxa"/>
          <w:right w:w="108" w:type="dxa"/>
        </w:tblCellMar>
      </w:tblPr>
      <w:tblGrid>
        <w:gridCol w:w="550"/>
        <w:gridCol w:w="439"/>
        <w:gridCol w:w="439"/>
        <w:gridCol w:w="2428"/>
        <w:gridCol w:w="1739"/>
        <w:gridCol w:w="1739"/>
        <w:gridCol w:w="1780"/>
      </w:tblGrid>
      <w:tr>
        <w:tblPrEx>
          <w:tblLayout w:type="fixed"/>
          <w:tblCellMar>
            <w:top w:w="0" w:type="dxa"/>
            <w:left w:w="108" w:type="dxa"/>
            <w:bottom w:w="0" w:type="dxa"/>
            <w:right w:w="108" w:type="dxa"/>
          </w:tblCellMar>
        </w:tblPrEx>
        <w:trPr>
          <w:trHeight w:val="345" w:hRule="atLeast"/>
        </w:trPr>
        <w:tc>
          <w:tcPr>
            <w:tcW w:w="3856"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项目</w:t>
            </w:r>
          </w:p>
        </w:tc>
        <w:tc>
          <w:tcPr>
            <w:tcW w:w="5258" w:type="dxa"/>
            <w:gridSpan w:val="3"/>
            <w:tcBorders>
              <w:top w:val="single" w:color="auto" w:sz="4" w:space="0"/>
              <w:left w:val="nil"/>
              <w:bottom w:val="single" w:color="auto" w:sz="4" w:space="0"/>
              <w:right w:val="single" w:color="000000" w:sz="4" w:space="0"/>
            </w:tcBorders>
            <w:vAlign w:val="center"/>
          </w:tcPr>
          <w:p>
            <w:pPr>
              <w:widowControl/>
              <w:jc w:val="center"/>
              <w:rPr>
                <w:rFonts w:ascii="宋体"/>
                <w:b/>
                <w:bCs/>
                <w:color w:val="000000"/>
                <w:kern w:val="0"/>
                <w:sz w:val="20"/>
                <w:szCs w:val="20"/>
              </w:rPr>
            </w:pPr>
            <w:r>
              <w:rPr>
                <w:rFonts w:hint="eastAsia" w:ascii="仿宋_GB2312" w:hAnsi="宋体" w:eastAsia="仿宋_GB2312" w:cs="仿宋_GB2312"/>
                <w:b/>
                <w:bCs/>
                <w:color w:val="000000"/>
                <w:kern w:val="0"/>
                <w:sz w:val="22"/>
                <w:szCs w:val="22"/>
              </w:rPr>
              <w:t>一般公共预算支出</w:t>
            </w:r>
          </w:p>
        </w:tc>
      </w:tr>
      <w:tr>
        <w:tblPrEx>
          <w:tblLayout w:type="fixed"/>
          <w:tblCellMar>
            <w:top w:w="0" w:type="dxa"/>
            <w:left w:w="108" w:type="dxa"/>
            <w:bottom w:w="0" w:type="dxa"/>
            <w:right w:w="108" w:type="dxa"/>
          </w:tblCellMar>
        </w:tblPrEx>
        <w:trPr>
          <w:trHeight w:val="480" w:hRule="atLeast"/>
        </w:trPr>
        <w:tc>
          <w:tcPr>
            <w:tcW w:w="142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功能分类科目编码</w:t>
            </w:r>
          </w:p>
        </w:tc>
        <w:tc>
          <w:tcPr>
            <w:tcW w:w="2428"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功能分类科目名称</w:t>
            </w:r>
          </w:p>
        </w:tc>
        <w:tc>
          <w:tcPr>
            <w:tcW w:w="1739"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b/>
                <w:bCs/>
                <w:color w:val="000000"/>
                <w:kern w:val="0"/>
                <w:sz w:val="20"/>
                <w:szCs w:val="20"/>
              </w:rPr>
            </w:pPr>
            <w:r>
              <w:rPr>
                <w:rFonts w:hint="eastAsia" w:ascii="仿宋_GB2312" w:hAnsi="宋体" w:eastAsia="仿宋_GB2312" w:cs="仿宋_GB2312"/>
                <w:b/>
                <w:bCs/>
                <w:color w:val="000000"/>
                <w:kern w:val="0"/>
                <w:sz w:val="20"/>
                <w:szCs w:val="20"/>
              </w:rPr>
              <w:t>小计</w:t>
            </w:r>
          </w:p>
        </w:tc>
        <w:tc>
          <w:tcPr>
            <w:tcW w:w="1739"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基本支出</w:t>
            </w:r>
          </w:p>
        </w:tc>
        <w:tc>
          <w:tcPr>
            <w:tcW w:w="178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b/>
                <w:bCs/>
                <w:color w:val="000000"/>
                <w:kern w:val="0"/>
                <w:sz w:val="20"/>
                <w:szCs w:val="20"/>
              </w:rPr>
            </w:pPr>
            <w:r>
              <w:rPr>
                <w:rFonts w:hint="eastAsia" w:ascii="宋体" w:hAnsi="宋体" w:cs="宋体"/>
                <w:b/>
                <w:bCs/>
                <w:color w:val="000000"/>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550" w:type="dxa"/>
            <w:tcBorders>
              <w:top w:val="nil"/>
              <w:left w:val="single" w:color="auto" w:sz="4" w:space="0"/>
              <w:bottom w:val="single" w:color="auto" w:sz="4" w:space="0"/>
              <w:right w:val="single" w:color="auto" w:sz="4" w:space="0"/>
            </w:tcBorders>
            <w:vAlign w:val="center"/>
          </w:tcPr>
          <w:p>
            <w:pPr>
              <w:widowControl/>
              <w:jc w:val="center"/>
              <w:rPr>
                <w:rFonts w:ascii="宋体"/>
                <w:b/>
                <w:bCs/>
                <w:color w:val="000000"/>
                <w:kern w:val="0"/>
                <w:sz w:val="16"/>
                <w:szCs w:val="16"/>
              </w:rPr>
            </w:pPr>
            <w:r>
              <w:rPr>
                <w:rFonts w:hint="eastAsia" w:ascii="宋体" w:hAnsi="宋体" w:cs="宋体"/>
                <w:b/>
                <w:bCs/>
                <w:color w:val="000000"/>
                <w:kern w:val="0"/>
                <w:sz w:val="16"/>
                <w:szCs w:val="16"/>
              </w:rPr>
              <w:t>类</w:t>
            </w:r>
          </w:p>
        </w:tc>
        <w:tc>
          <w:tcPr>
            <w:tcW w:w="439" w:type="dxa"/>
            <w:tcBorders>
              <w:top w:val="nil"/>
              <w:left w:val="nil"/>
              <w:bottom w:val="single" w:color="auto" w:sz="4" w:space="0"/>
              <w:right w:val="single" w:color="auto" w:sz="4" w:space="0"/>
            </w:tcBorders>
            <w:vAlign w:val="center"/>
          </w:tcPr>
          <w:p>
            <w:pPr>
              <w:widowControl/>
              <w:jc w:val="center"/>
              <w:rPr>
                <w:rFonts w:ascii="宋体"/>
                <w:b/>
                <w:bCs/>
                <w:color w:val="000000"/>
                <w:kern w:val="0"/>
                <w:sz w:val="16"/>
                <w:szCs w:val="16"/>
              </w:rPr>
            </w:pPr>
            <w:r>
              <w:rPr>
                <w:rFonts w:hint="eastAsia" w:ascii="宋体" w:hAnsi="宋体" w:cs="宋体"/>
                <w:b/>
                <w:bCs/>
                <w:color w:val="000000"/>
                <w:kern w:val="0"/>
                <w:sz w:val="16"/>
                <w:szCs w:val="16"/>
              </w:rPr>
              <w:t>款</w:t>
            </w:r>
          </w:p>
        </w:tc>
        <w:tc>
          <w:tcPr>
            <w:tcW w:w="439" w:type="dxa"/>
            <w:tcBorders>
              <w:top w:val="nil"/>
              <w:left w:val="nil"/>
              <w:bottom w:val="single" w:color="auto" w:sz="4" w:space="0"/>
              <w:right w:val="single" w:color="auto" w:sz="4" w:space="0"/>
            </w:tcBorders>
            <w:vAlign w:val="center"/>
          </w:tcPr>
          <w:p>
            <w:pPr>
              <w:widowControl/>
              <w:jc w:val="center"/>
              <w:rPr>
                <w:rFonts w:ascii="宋体"/>
                <w:b/>
                <w:bCs/>
                <w:color w:val="000000"/>
                <w:kern w:val="0"/>
                <w:sz w:val="16"/>
                <w:szCs w:val="16"/>
              </w:rPr>
            </w:pPr>
            <w:r>
              <w:rPr>
                <w:rFonts w:hint="eastAsia" w:ascii="宋体" w:hAnsi="宋体" w:cs="宋体"/>
                <w:b/>
                <w:bCs/>
                <w:color w:val="000000"/>
                <w:kern w:val="0"/>
                <w:sz w:val="16"/>
                <w:szCs w:val="16"/>
              </w:rPr>
              <w:t>项</w:t>
            </w:r>
          </w:p>
        </w:tc>
        <w:tc>
          <w:tcPr>
            <w:tcW w:w="242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b/>
                <w:bCs/>
                <w:color w:val="000000"/>
                <w:kern w:val="0"/>
                <w:sz w:val="20"/>
                <w:szCs w:val="20"/>
              </w:rPr>
            </w:pPr>
          </w:p>
        </w:tc>
        <w:tc>
          <w:tcPr>
            <w:tcW w:w="173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b/>
                <w:bCs/>
                <w:color w:val="000000"/>
                <w:kern w:val="0"/>
                <w:sz w:val="20"/>
                <w:szCs w:val="20"/>
              </w:rPr>
            </w:pPr>
          </w:p>
        </w:tc>
        <w:tc>
          <w:tcPr>
            <w:tcW w:w="173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b/>
                <w:bCs/>
                <w:color w:val="000000"/>
                <w:kern w:val="0"/>
                <w:sz w:val="20"/>
                <w:szCs w:val="20"/>
              </w:rPr>
            </w:pPr>
          </w:p>
        </w:tc>
        <w:tc>
          <w:tcPr>
            <w:tcW w:w="17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b/>
                <w:bCs/>
                <w:color w:val="000000"/>
                <w:kern w:val="0"/>
                <w:sz w:val="20"/>
                <w:szCs w:val="20"/>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208</w:t>
            </w:r>
          </w:p>
        </w:tc>
        <w:tc>
          <w:tcPr>
            <w:tcW w:w="439" w:type="dxa"/>
            <w:tcBorders>
              <w:top w:val="nil"/>
              <w:left w:val="nil"/>
              <w:bottom w:val="single" w:color="auto" w:sz="4" w:space="0"/>
              <w:right w:val="single" w:color="auto" w:sz="4" w:space="0"/>
            </w:tcBorders>
          </w:tcPr>
          <w:p>
            <w:pPr>
              <w:jc w:val="center"/>
              <w:rPr>
                <w:rFonts w:hint="eastAsia" w:ascii="仿宋_GB2312" w:hAnsi="仿宋_GB2312" w:eastAsia="仿宋_GB2312" w:cs="仿宋_GB2312"/>
                <w:sz w:val="21"/>
                <w:szCs w:val="21"/>
              </w:rPr>
            </w:pP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p>
        </w:tc>
        <w:tc>
          <w:tcPr>
            <w:tcW w:w="2428"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社会保障和就业支出</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23.49</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23.49</w:t>
            </w:r>
          </w:p>
        </w:tc>
        <w:tc>
          <w:tcPr>
            <w:tcW w:w="178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208</w:t>
            </w:r>
          </w:p>
        </w:tc>
        <w:tc>
          <w:tcPr>
            <w:tcW w:w="439" w:type="dxa"/>
            <w:tcBorders>
              <w:top w:val="nil"/>
              <w:left w:val="nil"/>
              <w:bottom w:val="single" w:color="auto" w:sz="4" w:space="0"/>
              <w:right w:val="single" w:color="auto" w:sz="4" w:space="0"/>
            </w:tcBorders>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05</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p>
        </w:tc>
        <w:tc>
          <w:tcPr>
            <w:tcW w:w="2428" w:type="dxa"/>
            <w:tcBorders>
              <w:top w:val="nil"/>
              <w:left w:val="nil"/>
              <w:bottom w:val="single" w:color="auto" w:sz="4" w:space="0"/>
              <w:right w:val="single" w:color="auto" w:sz="4" w:space="0"/>
            </w:tcBorders>
          </w:tcPr>
          <w:p>
            <w:pPr>
              <w:jc w:val="lef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行政事业单位养老支出</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23.49</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23.49</w:t>
            </w:r>
          </w:p>
        </w:tc>
        <w:tc>
          <w:tcPr>
            <w:tcW w:w="178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90" w:hRule="atLeast"/>
        </w:trPr>
        <w:tc>
          <w:tcPr>
            <w:tcW w:w="550" w:type="dxa"/>
            <w:tcBorders>
              <w:top w:val="nil"/>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208</w:t>
            </w:r>
          </w:p>
        </w:tc>
        <w:tc>
          <w:tcPr>
            <w:tcW w:w="439" w:type="dxa"/>
            <w:tcBorders>
              <w:top w:val="nil"/>
              <w:left w:val="nil"/>
              <w:bottom w:val="single" w:color="auto" w:sz="4" w:space="0"/>
              <w:right w:val="single" w:color="auto" w:sz="4" w:space="0"/>
            </w:tcBorders>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05</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01</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归口管理的行政单位离退休</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1.02</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1.02</w:t>
            </w:r>
          </w:p>
        </w:tc>
        <w:tc>
          <w:tcPr>
            <w:tcW w:w="178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208</w:t>
            </w:r>
          </w:p>
        </w:tc>
        <w:tc>
          <w:tcPr>
            <w:tcW w:w="439" w:type="dxa"/>
            <w:tcBorders>
              <w:top w:val="nil"/>
              <w:left w:val="nil"/>
              <w:bottom w:val="single" w:color="auto" w:sz="4" w:space="0"/>
              <w:right w:val="single" w:color="auto" w:sz="4" w:space="0"/>
            </w:tcBorders>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05</w:t>
            </w:r>
          </w:p>
        </w:tc>
        <w:tc>
          <w:tcPr>
            <w:tcW w:w="439" w:type="dxa"/>
            <w:tcBorders>
              <w:top w:val="nil"/>
              <w:left w:val="nil"/>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05</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机关事业单位基本养老保险缴费支出</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15.60</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15.60</w:t>
            </w:r>
          </w:p>
        </w:tc>
        <w:tc>
          <w:tcPr>
            <w:tcW w:w="178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208</w:t>
            </w:r>
          </w:p>
        </w:tc>
        <w:tc>
          <w:tcPr>
            <w:tcW w:w="439" w:type="dxa"/>
            <w:tcBorders>
              <w:top w:val="nil"/>
              <w:left w:val="nil"/>
              <w:bottom w:val="single" w:color="auto" w:sz="4" w:space="0"/>
              <w:right w:val="single" w:color="auto" w:sz="4" w:space="0"/>
            </w:tcBorders>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05</w:t>
            </w:r>
          </w:p>
        </w:tc>
        <w:tc>
          <w:tcPr>
            <w:tcW w:w="439" w:type="dxa"/>
            <w:tcBorders>
              <w:top w:val="nil"/>
              <w:left w:val="nil"/>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06</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机关事业单位职业年金缴费支出</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6.87</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6.87</w:t>
            </w:r>
          </w:p>
        </w:tc>
        <w:tc>
          <w:tcPr>
            <w:tcW w:w="178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210</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卫生健康</w:t>
            </w:r>
            <w:r>
              <w:rPr>
                <w:rFonts w:hint="eastAsia" w:ascii="仿宋_GB2312" w:hAnsi="仿宋_GB2312" w:eastAsia="仿宋_GB2312" w:cs="仿宋_GB2312"/>
                <w:sz w:val="21"/>
                <w:szCs w:val="21"/>
              </w:rPr>
              <w:t>支出</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21.76</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21.76</w:t>
            </w:r>
          </w:p>
        </w:tc>
        <w:tc>
          <w:tcPr>
            <w:tcW w:w="178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210</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行政事业单位医疗</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21.76</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21.76</w:t>
            </w:r>
          </w:p>
        </w:tc>
        <w:tc>
          <w:tcPr>
            <w:tcW w:w="178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210</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01</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行政单位医疗</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11.2</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11.2</w:t>
            </w:r>
          </w:p>
        </w:tc>
        <w:tc>
          <w:tcPr>
            <w:tcW w:w="1780"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210</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439"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02</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事业单位医疗</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1.84</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1.84</w:t>
            </w:r>
          </w:p>
        </w:tc>
        <w:tc>
          <w:tcPr>
            <w:tcW w:w="1780"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210</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03</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公务员医疗补助</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8.72</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8.72</w:t>
            </w:r>
          </w:p>
        </w:tc>
        <w:tc>
          <w:tcPr>
            <w:tcW w:w="178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214</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p>
        </w:tc>
        <w:tc>
          <w:tcPr>
            <w:tcW w:w="2428" w:type="dxa"/>
            <w:tcBorders>
              <w:top w:val="nil"/>
              <w:left w:val="nil"/>
              <w:bottom w:val="single" w:color="auto" w:sz="4" w:space="0"/>
              <w:right w:val="single" w:color="auto" w:sz="4" w:space="0"/>
            </w:tcBorders>
          </w:tcPr>
          <w:p>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交通运输支出</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1780"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214</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01</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p>
        </w:tc>
        <w:tc>
          <w:tcPr>
            <w:tcW w:w="2428" w:type="dxa"/>
            <w:tcBorders>
              <w:top w:val="nil"/>
              <w:left w:val="nil"/>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公路水路运输</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1780"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nil"/>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214</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01</w:t>
            </w:r>
          </w:p>
        </w:tc>
        <w:tc>
          <w:tcPr>
            <w:tcW w:w="439"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01</w:t>
            </w:r>
          </w:p>
        </w:tc>
        <w:tc>
          <w:tcPr>
            <w:tcW w:w="2428" w:type="dxa"/>
            <w:tcBorders>
              <w:top w:val="nil"/>
              <w:left w:val="nil"/>
              <w:bottom w:val="single" w:color="auto" w:sz="4" w:space="0"/>
              <w:right w:val="single" w:color="auto" w:sz="4" w:space="0"/>
            </w:tcBorders>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行政运行</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1739" w:type="dxa"/>
            <w:tcBorders>
              <w:top w:val="nil"/>
              <w:left w:val="nil"/>
              <w:bottom w:val="single" w:color="auto" w:sz="4" w:space="0"/>
              <w:right w:val="single" w:color="auto" w:sz="4" w:space="0"/>
            </w:tcBorders>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173.02</w:t>
            </w:r>
          </w:p>
        </w:tc>
        <w:tc>
          <w:tcPr>
            <w:tcW w:w="1780" w:type="dxa"/>
            <w:tcBorders>
              <w:top w:val="nil"/>
              <w:left w:val="nil"/>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b/>
                <w:bCs/>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single" w:color="auto" w:sz="4" w:space="0"/>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p>
        </w:tc>
        <w:tc>
          <w:tcPr>
            <w:tcW w:w="439" w:type="dxa"/>
            <w:tcBorders>
              <w:top w:val="single" w:color="auto" w:sz="4" w:space="0"/>
              <w:left w:val="single" w:color="auto" w:sz="4" w:space="0"/>
              <w:bottom w:val="single" w:color="auto" w:sz="4" w:space="0"/>
              <w:right w:val="single" w:color="auto" w:sz="4" w:space="0"/>
            </w:tcBorders>
          </w:tcPr>
          <w:p>
            <w:pPr>
              <w:jc w:val="center"/>
              <w:rPr>
                <w:rFonts w:hint="eastAsia" w:ascii="仿宋_GB2312" w:hAnsi="仿宋_GB2312" w:eastAsia="仿宋_GB2312" w:cs="仿宋_GB2312"/>
                <w:sz w:val="21"/>
                <w:szCs w:val="21"/>
              </w:rPr>
            </w:pPr>
          </w:p>
        </w:tc>
        <w:tc>
          <w:tcPr>
            <w:tcW w:w="439" w:type="dxa"/>
            <w:tcBorders>
              <w:top w:val="single" w:color="auto" w:sz="4" w:space="0"/>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p>
        </w:tc>
        <w:tc>
          <w:tcPr>
            <w:tcW w:w="2428" w:type="dxa"/>
            <w:tcBorders>
              <w:top w:val="single" w:color="auto" w:sz="4" w:space="0"/>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kern w:val="0"/>
                <w:sz w:val="21"/>
                <w:szCs w:val="21"/>
              </w:rPr>
            </w:pPr>
          </w:p>
        </w:tc>
        <w:tc>
          <w:tcPr>
            <w:tcW w:w="1739" w:type="dxa"/>
            <w:tcBorders>
              <w:top w:val="single" w:color="auto" w:sz="4" w:space="0"/>
              <w:left w:val="single" w:color="auto" w:sz="4" w:space="0"/>
              <w:bottom w:val="single" w:color="auto" w:sz="4" w:space="0"/>
              <w:right w:val="single" w:color="auto" w:sz="4" w:space="0"/>
            </w:tcBorders>
          </w:tcPr>
          <w:p>
            <w:pPr>
              <w:jc w:val="right"/>
              <w:rPr>
                <w:rFonts w:hint="eastAsia" w:ascii="仿宋_GB2312" w:hAnsi="仿宋_GB2312" w:eastAsia="仿宋_GB2312" w:cs="仿宋_GB2312"/>
                <w:sz w:val="21"/>
                <w:szCs w:val="21"/>
              </w:rPr>
            </w:pPr>
          </w:p>
        </w:tc>
        <w:tc>
          <w:tcPr>
            <w:tcW w:w="1739" w:type="dxa"/>
            <w:tcBorders>
              <w:top w:val="single" w:color="auto" w:sz="4" w:space="0"/>
              <w:left w:val="single" w:color="auto" w:sz="4" w:space="0"/>
              <w:bottom w:val="single" w:color="auto" w:sz="4" w:space="0"/>
              <w:right w:val="single" w:color="auto" w:sz="4" w:space="0"/>
            </w:tcBorders>
          </w:tcPr>
          <w:p>
            <w:pPr>
              <w:jc w:val="right"/>
              <w:rPr>
                <w:rFonts w:hint="eastAsia" w:ascii="仿宋_GB2312" w:hAnsi="仿宋_GB2312" w:eastAsia="仿宋_GB2312" w:cs="仿宋_GB2312"/>
                <w:sz w:val="21"/>
                <w:szCs w:val="21"/>
              </w:rPr>
            </w:pPr>
          </w:p>
        </w:tc>
        <w:tc>
          <w:tcPr>
            <w:tcW w:w="178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single" w:color="auto" w:sz="4" w:space="0"/>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p>
        </w:tc>
        <w:tc>
          <w:tcPr>
            <w:tcW w:w="439" w:type="dxa"/>
            <w:tcBorders>
              <w:top w:val="single" w:color="auto" w:sz="4" w:space="0"/>
              <w:left w:val="single" w:color="auto" w:sz="4" w:space="0"/>
              <w:bottom w:val="single" w:color="auto" w:sz="4" w:space="0"/>
              <w:right w:val="single" w:color="auto" w:sz="4" w:space="0"/>
            </w:tcBorders>
          </w:tcPr>
          <w:p>
            <w:pPr>
              <w:jc w:val="center"/>
              <w:rPr>
                <w:rFonts w:hint="eastAsia" w:ascii="仿宋_GB2312" w:hAnsi="仿宋_GB2312" w:eastAsia="仿宋_GB2312" w:cs="仿宋_GB2312"/>
                <w:sz w:val="21"/>
                <w:szCs w:val="21"/>
              </w:rPr>
            </w:pPr>
          </w:p>
        </w:tc>
        <w:tc>
          <w:tcPr>
            <w:tcW w:w="439" w:type="dxa"/>
            <w:tcBorders>
              <w:top w:val="single" w:color="auto" w:sz="4" w:space="0"/>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sz w:val="21"/>
                <w:szCs w:val="21"/>
              </w:rPr>
            </w:pPr>
          </w:p>
        </w:tc>
        <w:tc>
          <w:tcPr>
            <w:tcW w:w="2428" w:type="dxa"/>
            <w:tcBorders>
              <w:top w:val="single" w:color="auto" w:sz="4" w:space="0"/>
              <w:left w:val="single" w:color="auto" w:sz="4" w:space="0"/>
              <w:bottom w:val="single" w:color="auto" w:sz="4" w:space="0"/>
              <w:right w:val="single" w:color="auto" w:sz="4" w:space="0"/>
            </w:tcBorders>
          </w:tcPr>
          <w:p>
            <w:pPr>
              <w:jc w:val="left"/>
              <w:rPr>
                <w:rFonts w:hint="eastAsia" w:ascii="仿宋_GB2312" w:hAnsi="仿宋_GB2312" w:eastAsia="仿宋_GB2312" w:cs="仿宋_GB2312"/>
                <w:sz w:val="21"/>
                <w:szCs w:val="21"/>
              </w:rPr>
            </w:pPr>
          </w:p>
        </w:tc>
        <w:tc>
          <w:tcPr>
            <w:tcW w:w="1739" w:type="dxa"/>
            <w:tcBorders>
              <w:top w:val="single" w:color="auto" w:sz="4" w:space="0"/>
              <w:left w:val="single" w:color="auto" w:sz="4" w:space="0"/>
              <w:bottom w:val="single" w:color="auto" w:sz="4" w:space="0"/>
              <w:right w:val="single" w:color="auto" w:sz="4" w:space="0"/>
            </w:tcBorders>
          </w:tcPr>
          <w:p>
            <w:pPr>
              <w:jc w:val="right"/>
              <w:rPr>
                <w:rFonts w:hint="eastAsia" w:ascii="仿宋_GB2312" w:hAnsi="仿宋_GB2312" w:eastAsia="仿宋_GB2312" w:cs="仿宋_GB2312"/>
                <w:sz w:val="21"/>
                <w:szCs w:val="21"/>
              </w:rPr>
            </w:pPr>
          </w:p>
        </w:tc>
        <w:tc>
          <w:tcPr>
            <w:tcW w:w="1739" w:type="dxa"/>
            <w:tcBorders>
              <w:top w:val="single" w:color="auto" w:sz="4" w:space="0"/>
              <w:left w:val="single" w:color="auto" w:sz="4" w:space="0"/>
              <w:bottom w:val="single" w:color="auto" w:sz="4" w:space="0"/>
              <w:right w:val="single" w:color="auto" w:sz="4" w:space="0"/>
            </w:tcBorders>
          </w:tcPr>
          <w:p>
            <w:pPr>
              <w:jc w:val="right"/>
              <w:rPr>
                <w:rFonts w:hint="eastAsia" w:ascii="仿宋_GB2312" w:hAnsi="仿宋_GB2312" w:eastAsia="仿宋_GB2312" w:cs="仿宋_GB2312"/>
                <w:sz w:val="21"/>
                <w:szCs w:val="21"/>
              </w:rPr>
            </w:pPr>
          </w:p>
        </w:tc>
        <w:tc>
          <w:tcPr>
            <w:tcW w:w="1780"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single" w:color="auto" w:sz="4" w:space="0"/>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p>
        </w:tc>
        <w:tc>
          <w:tcPr>
            <w:tcW w:w="439" w:type="dxa"/>
            <w:tcBorders>
              <w:top w:val="single" w:color="auto" w:sz="4" w:space="0"/>
              <w:left w:val="single" w:color="auto" w:sz="4" w:space="0"/>
              <w:bottom w:val="single" w:color="auto" w:sz="4" w:space="0"/>
              <w:right w:val="single" w:color="auto" w:sz="4" w:space="0"/>
            </w:tcBorders>
          </w:tcPr>
          <w:p>
            <w:pPr>
              <w:jc w:val="center"/>
              <w:rPr>
                <w:rFonts w:hint="eastAsia" w:ascii="仿宋_GB2312" w:hAnsi="仿宋_GB2312" w:eastAsia="仿宋_GB2312" w:cs="仿宋_GB2312"/>
                <w:sz w:val="21"/>
                <w:szCs w:val="21"/>
              </w:rPr>
            </w:pPr>
          </w:p>
        </w:tc>
        <w:tc>
          <w:tcPr>
            <w:tcW w:w="439" w:type="dxa"/>
            <w:tcBorders>
              <w:top w:val="single" w:color="auto" w:sz="4" w:space="0"/>
              <w:left w:val="single" w:color="auto" w:sz="4" w:space="0"/>
              <w:bottom w:val="single" w:color="auto" w:sz="4" w:space="0"/>
              <w:right w:val="single" w:color="auto" w:sz="4" w:space="0"/>
            </w:tcBorders>
          </w:tcPr>
          <w:p>
            <w:pPr>
              <w:widowControl/>
              <w:jc w:val="left"/>
              <w:rPr>
                <w:rFonts w:hint="eastAsia" w:ascii="仿宋_GB2312" w:hAnsi="仿宋_GB2312" w:eastAsia="仿宋_GB2312" w:cs="仿宋_GB2312"/>
                <w:kern w:val="0"/>
                <w:sz w:val="21"/>
                <w:szCs w:val="21"/>
              </w:rPr>
            </w:pPr>
          </w:p>
        </w:tc>
        <w:tc>
          <w:tcPr>
            <w:tcW w:w="2428" w:type="dxa"/>
            <w:tcBorders>
              <w:top w:val="single" w:color="auto" w:sz="4" w:space="0"/>
              <w:left w:val="single" w:color="auto" w:sz="4" w:space="0"/>
              <w:bottom w:val="single" w:color="auto" w:sz="4" w:space="0"/>
              <w:right w:val="single" w:color="auto" w:sz="4" w:space="0"/>
            </w:tcBorders>
          </w:tcPr>
          <w:p>
            <w:pPr>
              <w:rPr>
                <w:rFonts w:hint="eastAsia" w:ascii="仿宋_GB2312" w:hAnsi="仿宋_GB2312" w:eastAsia="仿宋_GB2312" w:cs="仿宋_GB2312"/>
                <w:sz w:val="21"/>
                <w:szCs w:val="21"/>
              </w:rPr>
            </w:pPr>
          </w:p>
        </w:tc>
        <w:tc>
          <w:tcPr>
            <w:tcW w:w="1739" w:type="dxa"/>
            <w:tcBorders>
              <w:top w:val="single" w:color="auto" w:sz="4" w:space="0"/>
              <w:left w:val="single" w:color="auto" w:sz="4" w:space="0"/>
              <w:bottom w:val="single" w:color="auto" w:sz="4" w:space="0"/>
              <w:right w:val="single" w:color="auto" w:sz="4" w:space="0"/>
            </w:tcBorders>
          </w:tcPr>
          <w:p>
            <w:pPr>
              <w:jc w:val="right"/>
              <w:rPr>
                <w:rFonts w:hint="eastAsia" w:ascii="仿宋_GB2312" w:hAnsi="仿宋_GB2312" w:eastAsia="仿宋_GB2312" w:cs="仿宋_GB2312"/>
                <w:sz w:val="21"/>
                <w:szCs w:val="21"/>
              </w:rPr>
            </w:pPr>
          </w:p>
        </w:tc>
        <w:tc>
          <w:tcPr>
            <w:tcW w:w="1739" w:type="dxa"/>
            <w:tcBorders>
              <w:top w:val="single" w:color="auto" w:sz="4" w:space="0"/>
              <w:left w:val="single" w:color="auto" w:sz="4" w:space="0"/>
              <w:bottom w:val="single" w:color="auto" w:sz="4" w:space="0"/>
              <w:right w:val="single" w:color="auto" w:sz="4" w:space="0"/>
            </w:tcBorders>
          </w:tcPr>
          <w:p>
            <w:pPr>
              <w:jc w:val="right"/>
              <w:rPr>
                <w:rFonts w:hint="eastAsia" w:ascii="仿宋_GB2312" w:hAnsi="仿宋_GB2312" w:eastAsia="仿宋_GB2312" w:cs="仿宋_GB2312"/>
                <w:sz w:val="21"/>
                <w:szCs w:val="21"/>
              </w:rPr>
            </w:pPr>
          </w:p>
        </w:tc>
        <w:tc>
          <w:tcPr>
            <w:tcW w:w="1780"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0"/>
                <w:sz w:val="21"/>
                <w:szCs w:val="21"/>
              </w:rPr>
            </w:pPr>
          </w:p>
        </w:tc>
        <w:tc>
          <w:tcPr>
            <w:tcW w:w="2428"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仿宋_GB2312" w:hAnsi="仿宋_GB2312" w:eastAsia="仿宋_GB2312" w:cs="仿宋_GB2312"/>
                <w:color w:val="000000"/>
                <w:kern w:val="0"/>
                <w:sz w:val="21"/>
                <w:szCs w:val="21"/>
              </w:rPr>
            </w:pPr>
          </w:p>
        </w:tc>
        <w:tc>
          <w:tcPr>
            <w:tcW w:w="1739"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c>
          <w:tcPr>
            <w:tcW w:w="1739"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c>
          <w:tcPr>
            <w:tcW w:w="1780"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2428"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仿宋_GB2312" w:hAnsi="仿宋_GB2312" w:eastAsia="仿宋_GB2312" w:cs="仿宋_GB2312"/>
                <w:color w:val="000000"/>
                <w:kern w:val="0"/>
                <w:sz w:val="21"/>
                <w:szCs w:val="21"/>
              </w:rPr>
            </w:pPr>
          </w:p>
        </w:tc>
        <w:tc>
          <w:tcPr>
            <w:tcW w:w="1739"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c>
          <w:tcPr>
            <w:tcW w:w="1739"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c>
          <w:tcPr>
            <w:tcW w:w="1780"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2428"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仿宋_GB2312" w:hAnsi="仿宋_GB2312" w:eastAsia="仿宋_GB2312" w:cs="仿宋_GB2312"/>
                <w:color w:val="000000"/>
                <w:kern w:val="0"/>
                <w:sz w:val="21"/>
                <w:szCs w:val="21"/>
              </w:rPr>
            </w:pPr>
          </w:p>
        </w:tc>
        <w:tc>
          <w:tcPr>
            <w:tcW w:w="1739"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c>
          <w:tcPr>
            <w:tcW w:w="1739"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c>
          <w:tcPr>
            <w:tcW w:w="1780"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2428"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仿宋_GB2312" w:hAnsi="仿宋_GB2312" w:eastAsia="仿宋_GB2312" w:cs="仿宋_GB2312"/>
                <w:color w:val="000000"/>
                <w:kern w:val="0"/>
                <w:sz w:val="21"/>
                <w:szCs w:val="21"/>
              </w:rPr>
            </w:pPr>
          </w:p>
        </w:tc>
        <w:tc>
          <w:tcPr>
            <w:tcW w:w="1739"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c>
          <w:tcPr>
            <w:tcW w:w="1739"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c>
          <w:tcPr>
            <w:tcW w:w="1780"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2428"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仿宋_GB2312" w:hAnsi="仿宋_GB2312" w:eastAsia="仿宋_GB2312" w:cs="仿宋_GB2312"/>
                <w:color w:val="000000"/>
                <w:kern w:val="0"/>
                <w:sz w:val="21"/>
                <w:szCs w:val="21"/>
              </w:rPr>
            </w:pPr>
          </w:p>
        </w:tc>
        <w:tc>
          <w:tcPr>
            <w:tcW w:w="1739"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c>
          <w:tcPr>
            <w:tcW w:w="1739"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c>
          <w:tcPr>
            <w:tcW w:w="1780"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0"/>
                <w:sz w:val="21"/>
                <w:szCs w:val="21"/>
              </w:rPr>
            </w:pPr>
          </w:p>
        </w:tc>
        <w:tc>
          <w:tcPr>
            <w:tcW w:w="242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1739"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c>
          <w:tcPr>
            <w:tcW w:w="1739"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c>
          <w:tcPr>
            <w:tcW w:w="178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kern w:val="0"/>
                <w:sz w:val="21"/>
                <w:szCs w:val="21"/>
              </w:rPr>
            </w:pPr>
          </w:p>
        </w:tc>
      </w:tr>
      <w:tr>
        <w:tblPrEx>
          <w:tblLayout w:type="fixed"/>
          <w:tblCellMar>
            <w:top w:w="0" w:type="dxa"/>
            <w:left w:w="108" w:type="dxa"/>
            <w:bottom w:w="0" w:type="dxa"/>
            <w:right w:w="108" w:type="dxa"/>
          </w:tblCellMar>
        </w:tblPrEx>
        <w:trPr>
          <w:trHeight w:val="405" w:hRule="atLeast"/>
        </w:trPr>
        <w:tc>
          <w:tcPr>
            <w:tcW w:w="55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000000"/>
                <w:kern w:val="0"/>
                <w:sz w:val="21"/>
                <w:szCs w:val="21"/>
              </w:rPr>
            </w:pPr>
          </w:p>
        </w:tc>
        <w:tc>
          <w:tcPr>
            <w:tcW w:w="43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000000"/>
                <w:kern w:val="0"/>
                <w:sz w:val="21"/>
                <w:szCs w:val="21"/>
              </w:rPr>
            </w:pPr>
          </w:p>
        </w:tc>
        <w:tc>
          <w:tcPr>
            <w:tcW w:w="242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合计</w:t>
            </w:r>
          </w:p>
        </w:tc>
        <w:tc>
          <w:tcPr>
            <w:tcW w:w="1739"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rPr>
              <w:t>218.2</w:t>
            </w:r>
            <w:r>
              <w:rPr>
                <w:rFonts w:hint="eastAsia" w:ascii="仿宋_GB2312" w:hAnsi="仿宋_GB2312" w:eastAsia="仿宋_GB2312" w:cs="仿宋_GB2312"/>
                <w:color w:val="000000"/>
                <w:sz w:val="21"/>
                <w:szCs w:val="21"/>
                <w:lang w:val="en-US" w:eastAsia="zh-CN"/>
              </w:rPr>
              <w:t>7</w:t>
            </w:r>
          </w:p>
        </w:tc>
        <w:tc>
          <w:tcPr>
            <w:tcW w:w="1739"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rPr>
              <w:t>218.2</w:t>
            </w:r>
            <w:r>
              <w:rPr>
                <w:rFonts w:hint="eastAsia" w:ascii="仿宋_GB2312" w:hAnsi="仿宋_GB2312" w:eastAsia="仿宋_GB2312" w:cs="仿宋_GB2312"/>
                <w:color w:val="000000"/>
                <w:sz w:val="21"/>
                <w:szCs w:val="21"/>
                <w:lang w:val="en-US" w:eastAsia="zh-CN"/>
              </w:rPr>
              <w:t>7</w:t>
            </w:r>
          </w:p>
        </w:tc>
        <w:tc>
          <w:tcPr>
            <w:tcW w:w="178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仿宋_GB2312" w:hAnsi="仿宋_GB2312" w:eastAsia="仿宋_GB2312" w:cs="仿宋_GB2312"/>
                <w:color w:val="000000"/>
                <w:sz w:val="21"/>
                <w:szCs w:val="21"/>
              </w:rPr>
            </w:pPr>
          </w:p>
        </w:tc>
      </w:tr>
    </w:tbl>
    <w:p>
      <w:pPr>
        <w:widowControl/>
        <w:outlineLvl w:val="1"/>
        <w:rPr>
          <w:rFonts w:ascii="仿宋_GB2312" w:hAnsi="宋体" w:eastAsia="仿宋_GB2312" w:cs="仿宋_GB2312"/>
          <w:b/>
          <w:bCs/>
          <w:kern w:val="0"/>
          <w:sz w:val="32"/>
          <w:szCs w:val="32"/>
        </w:rPr>
      </w:pPr>
      <w:r>
        <w:rPr>
          <w:rFonts w:hint="eastAsia" w:ascii="仿宋_GB2312" w:hAnsi="宋体" w:eastAsia="仿宋_GB2312" w:cs="仿宋_GB2312"/>
          <w:b/>
          <w:bCs/>
          <w:kern w:val="0"/>
          <w:sz w:val="28"/>
          <w:szCs w:val="28"/>
        </w:rPr>
        <w:br w:type="page"/>
      </w:r>
      <w:r>
        <w:rPr>
          <w:rFonts w:hint="eastAsia" w:ascii="仿宋_GB2312" w:hAnsi="宋体" w:eastAsia="仿宋_GB2312" w:cs="仿宋_GB2312"/>
          <w:b/>
          <w:bCs/>
          <w:kern w:val="0"/>
          <w:sz w:val="32"/>
          <w:szCs w:val="32"/>
        </w:rPr>
        <w:t>表六：</w:t>
      </w:r>
      <w:r>
        <w:rPr>
          <w:rFonts w:ascii="仿宋_GB2312" w:hAnsi="宋体" w:eastAsia="仿宋_GB2312" w:cs="仿宋_GB2312"/>
          <w:b/>
          <w:bCs/>
          <w:kern w:val="0"/>
          <w:sz w:val="32"/>
          <w:szCs w:val="32"/>
        </w:rPr>
        <w:t xml:space="preserve">       </w:t>
      </w:r>
    </w:p>
    <w:p>
      <w:pPr>
        <w:widowControl/>
        <w:jc w:val="center"/>
        <w:outlineLvl w:val="1"/>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一般公共预算基本支出情况表</w:t>
      </w:r>
    </w:p>
    <w:tbl>
      <w:tblPr>
        <w:tblStyle w:val="8"/>
        <w:tblW w:w="8740" w:type="dxa"/>
        <w:tblInd w:w="0" w:type="dxa"/>
        <w:tblLayout w:type="fixed"/>
        <w:tblCellMar>
          <w:top w:w="0" w:type="dxa"/>
          <w:left w:w="108" w:type="dxa"/>
          <w:bottom w:w="0" w:type="dxa"/>
          <w:right w:w="108" w:type="dxa"/>
        </w:tblCellMar>
      </w:tblPr>
      <w:tblGrid>
        <w:gridCol w:w="523"/>
        <w:gridCol w:w="717"/>
        <w:gridCol w:w="2993"/>
        <w:gridCol w:w="1789"/>
        <w:gridCol w:w="491"/>
        <w:gridCol w:w="867"/>
        <w:gridCol w:w="1360"/>
      </w:tblGrid>
      <w:tr>
        <w:tblPrEx>
          <w:tblLayout w:type="fixed"/>
          <w:tblCellMar>
            <w:top w:w="0" w:type="dxa"/>
            <w:left w:w="108" w:type="dxa"/>
            <w:bottom w:w="0" w:type="dxa"/>
            <w:right w:w="108" w:type="dxa"/>
          </w:tblCellMar>
        </w:tblPrEx>
        <w:trPr>
          <w:trHeight w:val="405" w:hRule="atLeast"/>
        </w:trPr>
        <w:tc>
          <w:tcPr>
            <w:tcW w:w="6513" w:type="dxa"/>
            <w:gridSpan w:val="5"/>
            <w:tcBorders>
              <w:top w:val="nil"/>
              <w:left w:val="nil"/>
              <w:bottom w:val="nil"/>
              <w:right w:val="nil"/>
            </w:tcBorders>
            <w:vAlign w:val="center"/>
          </w:tcPr>
          <w:p>
            <w:pPr>
              <w:widowControl/>
              <w:jc w:val="left"/>
              <w:rPr>
                <w:rFonts w:hint="eastAsia" w:ascii="仿宋_GB2312" w:hAnsi="宋体" w:eastAsia="仿宋_GB2312" w:cs="仿宋_GB2312"/>
                <w:color w:val="000000"/>
                <w:kern w:val="0"/>
                <w:sz w:val="24"/>
                <w:szCs w:val="24"/>
                <w:lang w:eastAsia="zh-CN"/>
              </w:rPr>
            </w:pPr>
            <w:r>
              <w:rPr>
                <w:rFonts w:hint="eastAsia" w:ascii="仿宋_GB2312" w:hAnsi="宋体" w:eastAsia="仿宋_GB2312" w:cs="仿宋_GB2312"/>
                <w:color w:val="000000"/>
                <w:kern w:val="0"/>
                <w:sz w:val="24"/>
                <w:szCs w:val="24"/>
              </w:rPr>
              <w:t>编制部门：</w:t>
            </w:r>
            <w:r>
              <w:rPr>
                <w:rFonts w:hint="eastAsia" w:ascii="仿宋_GB2312" w:hAnsi="宋体" w:eastAsia="仿宋_GB2312" w:cs="仿宋_GB2312"/>
                <w:color w:val="000000"/>
                <w:kern w:val="0"/>
                <w:sz w:val="24"/>
                <w:szCs w:val="24"/>
                <w:lang w:eastAsia="zh-CN"/>
              </w:rPr>
              <w:t>吉木萨尔县交通运输局</w:t>
            </w:r>
          </w:p>
        </w:tc>
        <w:tc>
          <w:tcPr>
            <w:tcW w:w="2227" w:type="dxa"/>
            <w:gridSpan w:val="2"/>
            <w:tcBorders>
              <w:top w:val="nil"/>
              <w:left w:val="nil"/>
              <w:bottom w:val="nil"/>
              <w:right w:val="nil"/>
            </w:tcBorders>
            <w:vAlign w:val="center"/>
          </w:tcPr>
          <w:p>
            <w:pPr>
              <w:widowControl/>
              <w:ind w:firstLine="720" w:firstLineChars="300"/>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单位：万元</w:t>
            </w:r>
          </w:p>
        </w:tc>
      </w:tr>
      <w:tr>
        <w:tblPrEx>
          <w:tblLayout w:type="fixed"/>
          <w:tblCellMar>
            <w:top w:w="0" w:type="dxa"/>
            <w:left w:w="0" w:type="dxa"/>
            <w:bottom w:w="0" w:type="dxa"/>
            <w:right w:w="0" w:type="dxa"/>
          </w:tblCellMar>
        </w:tblPrEx>
        <w:trPr>
          <w:trHeight w:val="360" w:hRule="atLeast"/>
        </w:trPr>
        <w:tc>
          <w:tcPr>
            <w:tcW w:w="423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b/>
                <w:bCs/>
                <w:color w:val="000000"/>
                <w:sz w:val="18"/>
                <w:szCs w:val="18"/>
              </w:rPr>
            </w:pPr>
            <w:r>
              <w:rPr>
                <w:rFonts w:hint="eastAsia" w:ascii="宋体" w:hAnsi="宋体" w:cs="宋体"/>
                <w:b/>
                <w:bCs/>
                <w:color w:val="000000"/>
                <w:kern w:val="0"/>
                <w:sz w:val="18"/>
                <w:szCs w:val="18"/>
              </w:rPr>
              <w:t>项目</w:t>
            </w:r>
          </w:p>
        </w:tc>
        <w:tc>
          <w:tcPr>
            <w:tcW w:w="4507"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b/>
                <w:bCs/>
                <w:color w:val="000000"/>
                <w:sz w:val="18"/>
                <w:szCs w:val="18"/>
              </w:rPr>
            </w:pPr>
            <w:r>
              <w:rPr>
                <w:rFonts w:hint="eastAsia" w:ascii="宋体" w:hAnsi="宋体" w:cs="宋体"/>
                <w:b/>
                <w:bCs/>
                <w:color w:val="000000"/>
                <w:kern w:val="0"/>
                <w:sz w:val="18"/>
                <w:szCs w:val="18"/>
              </w:rPr>
              <w:t>一般公共预算基本支出</w:t>
            </w:r>
          </w:p>
        </w:tc>
      </w:tr>
      <w:tr>
        <w:tblPrEx>
          <w:tblLayout w:type="fixed"/>
          <w:tblCellMar>
            <w:top w:w="0" w:type="dxa"/>
            <w:left w:w="0" w:type="dxa"/>
            <w:bottom w:w="0" w:type="dxa"/>
            <w:right w:w="0" w:type="dxa"/>
          </w:tblCellMar>
        </w:tblPrEx>
        <w:trPr>
          <w:trHeight w:val="435" w:hRule="atLeast"/>
        </w:trPr>
        <w:tc>
          <w:tcPr>
            <w:tcW w:w="1240" w:type="dxa"/>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b/>
                <w:bCs/>
                <w:color w:val="000000"/>
                <w:sz w:val="18"/>
                <w:szCs w:val="18"/>
              </w:rPr>
            </w:pPr>
            <w:r>
              <w:rPr>
                <w:rFonts w:hint="eastAsia" w:ascii="宋体" w:hAnsi="宋体" w:cs="宋体"/>
                <w:b/>
                <w:bCs/>
                <w:color w:val="000000"/>
                <w:kern w:val="0"/>
                <w:sz w:val="18"/>
                <w:szCs w:val="18"/>
              </w:rPr>
              <w:t>经济分类科目编码</w:t>
            </w:r>
          </w:p>
        </w:tc>
        <w:tc>
          <w:tcPr>
            <w:tcW w:w="299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b/>
                <w:bCs/>
                <w:color w:val="000000"/>
                <w:sz w:val="18"/>
                <w:szCs w:val="18"/>
              </w:rPr>
            </w:pPr>
            <w:r>
              <w:rPr>
                <w:rFonts w:hint="eastAsia" w:ascii="宋体" w:hAnsi="宋体" w:cs="宋体"/>
                <w:b/>
                <w:bCs/>
                <w:color w:val="000000"/>
                <w:kern w:val="0"/>
                <w:sz w:val="18"/>
                <w:szCs w:val="18"/>
              </w:rPr>
              <w:t>经济分类科目名称</w:t>
            </w:r>
          </w:p>
        </w:tc>
        <w:tc>
          <w:tcPr>
            <w:tcW w:w="178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b/>
                <w:bCs/>
                <w:color w:val="000000"/>
                <w:sz w:val="18"/>
                <w:szCs w:val="18"/>
              </w:rPr>
            </w:pPr>
            <w:r>
              <w:rPr>
                <w:rFonts w:hint="eastAsia" w:ascii="宋体" w:hAnsi="宋体" w:cs="宋体"/>
                <w:b/>
                <w:bCs/>
                <w:color w:val="000000"/>
                <w:kern w:val="0"/>
                <w:sz w:val="18"/>
                <w:szCs w:val="18"/>
              </w:rPr>
              <w:t>总</w:t>
            </w:r>
            <w:r>
              <w:rPr>
                <w:rFonts w:ascii="宋体" w:hAnsi="宋体" w:cs="宋体"/>
                <w:b/>
                <w:bCs/>
                <w:color w:val="000000"/>
                <w:kern w:val="0"/>
                <w:sz w:val="18"/>
                <w:szCs w:val="18"/>
              </w:rPr>
              <w:t xml:space="preserve">   </w:t>
            </w:r>
            <w:r>
              <w:rPr>
                <w:rFonts w:hint="eastAsia" w:ascii="宋体" w:hAnsi="宋体" w:cs="宋体"/>
                <w:b/>
                <w:bCs/>
                <w:color w:val="000000"/>
                <w:kern w:val="0"/>
                <w:sz w:val="18"/>
                <w:szCs w:val="18"/>
              </w:rPr>
              <w:t>计</w:t>
            </w:r>
          </w:p>
        </w:tc>
        <w:tc>
          <w:tcPr>
            <w:tcW w:w="1358" w:type="dxa"/>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b/>
                <w:bCs/>
                <w:color w:val="000000"/>
                <w:sz w:val="18"/>
                <w:szCs w:val="18"/>
              </w:rPr>
            </w:pPr>
            <w:r>
              <w:rPr>
                <w:rFonts w:hint="eastAsia" w:ascii="宋体" w:hAnsi="宋体" w:cs="宋体"/>
                <w:b/>
                <w:bCs/>
                <w:color w:val="000000"/>
                <w:kern w:val="0"/>
                <w:sz w:val="18"/>
                <w:szCs w:val="18"/>
              </w:rPr>
              <w:t>人员经费</w:t>
            </w:r>
          </w:p>
        </w:tc>
        <w:tc>
          <w:tcPr>
            <w:tcW w:w="136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b/>
                <w:bCs/>
                <w:color w:val="000000"/>
                <w:sz w:val="18"/>
                <w:szCs w:val="18"/>
              </w:rPr>
            </w:pPr>
            <w:r>
              <w:rPr>
                <w:rFonts w:hint="eastAsia" w:ascii="宋体" w:hAnsi="宋体" w:cs="宋体"/>
                <w:b/>
                <w:bCs/>
                <w:color w:val="000000"/>
                <w:kern w:val="0"/>
                <w:sz w:val="18"/>
                <w:szCs w:val="18"/>
              </w:rPr>
              <w:t>公用经费</w:t>
            </w:r>
          </w:p>
        </w:tc>
      </w:tr>
      <w:tr>
        <w:tblPrEx>
          <w:tblLayout w:type="fixed"/>
          <w:tblCellMar>
            <w:top w:w="0" w:type="dxa"/>
            <w:left w:w="0" w:type="dxa"/>
            <w:bottom w:w="0" w:type="dxa"/>
            <w:right w:w="0" w:type="dxa"/>
          </w:tblCellMar>
        </w:tblPrEx>
        <w:trPr>
          <w:trHeight w:val="1010" w:hRule="atLeast"/>
        </w:trPr>
        <w:tc>
          <w:tcPr>
            <w:tcW w:w="1240"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b/>
                <w:bCs/>
                <w:color w:val="000000"/>
                <w:sz w:val="18"/>
                <w:szCs w:val="18"/>
              </w:rPr>
            </w:pPr>
          </w:p>
        </w:tc>
        <w:tc>
          <w:tcPr>
            <w:tcW w:w="299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b/>
                <w:bCs/>
                <w:color w:val="000000"/>
                <w:sz w:val="18"/>
                <w:szCs w:val="18"/>
              </w:rPr>
            </w:pPr>
          </w:p>
        </w:tc>
        <w:tc>
          <w:tcPr>
            <w:tcW w:w="178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b/>
                <w:bCs/>
                <w:color w:val="000000"/>
                <w:sz w:val="18"/>
                <w:szCs w:val="18"/>
              </w:rPr>
            </w:pPr>
          </w:p>
        </w:tc>
        <w:tc>
          <w:tcPr>
            <w:tcW w:w="1358"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b/>
                <w:bCs/>
                <w:color w:val="000000"/>
                <w:sz w:val="18"/>
                <w:szCs w:val="18"/>
              </w:rPr>
            </w:pPr>
          </w:p>
        </w:tc>
        <w:tc>
          <w:tcPr>
            <w:tcW w:w="1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b/>
                <w:bCs/>
                <w:color w:val="000000"/>
                <w:sz w:val="18"/>
                <w:szCs w:val="18"/>
              </w:rPr>
            </w:pPr>
          </w:p>
        </w:tc>
      </w:tr>
      <w:tr>
        <w:tblPrEx>
          <w:tblLayout w:type="fixed"/>
          <w:tblCellMar>
            <w:top w:w="0" w:type="dxa"/>
            <w:left w:w="0" w:type="dxa"/>
            <w:bottom w:w="0" w:type="dxa"/>
            <w:right w:w="0" w:type="dxa"/>
          </w:tblCellMar>
        </w:tblPrEx>
        <w:trPr>
          <w:trHeight w:val="394"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b/>
                <w:bCs/>
                <w:color w:val="000000"/>
                <w:sz w:val="18"/>
                <w:szCs w:val="18"/>
              </w:rPr>
            </w:pPr>
            <w:r>
              <w:rPr>
                <w:rFonts w:hint="eastAsia" w:ascii="宋体" w:hAnsi="宋体" w:cs="宋体"/>
                <w:b/>
                <w:bCs/>
                <w:color w:val="000000"/>
                <w:kern w:val="0"/>
                <w:sz w:val="18"/>
                <w:szCs w:val="18"/>
              </w:rPr>
              <w:t>类</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b/>
                <w:bCs/>
                <w:color w:val="000000"/>
                <w:sz w:val="18"/>
                <w:szCs w:val="18"/>
              </w:rPr>
            </w:pPr>
            <w:r>
              <w:rPr>
                <w:rFonts w:hint="eastAsia" w:ascii="宋体" w:hAnsi="宋体" w:cs="宋体"/>
                <w:b/>
                <w:bCs/>
                <w:color w:val="000000"/>
                <w:kern w:val="0"/>
                <w:sz w:val="18"/>
                <w:szCs w:val="18"/>
              </w:rPr>
              <w:t>款</w:t>
            </w:r>
          </w:p>
        </w:tc>
        <w:tc>
          <w:tcPr>
            <w:tcW w:w="299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b/>
                <w:bCs/>
                <w:color w:val="000000"/>
                <w:sz w:val="18"/>
                <w:szCs w:val="18"/>
              </w:rPr>
            </w:pPr>
          </w:p>
        </w:tc>
        <w:tc>
          <w:tcPr>
            <w:tcW w:w="178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b/>
                <w:bCs/>
                <w:color w:val="000000"/>
                <w:sz w:val="18"/>
                <w:szCs w:val="18"/>
              </w:rPr>
            </w:pPr>
          </w:p>
        </w:tc>
        <w:tc>
          <w:tcPr>
            <w:tcW w:w="1358"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b/>
                <w:bCs/>
                <w:color w:val="000000"/>
                <w:sz w:val="18"/>
                <w:szCs w:val="18"/>
              </w:rPr>
            </w:pPr>
          </w:p>
        </w:tc>
        <w:tc>
          <w:tcPr>
            <w:tcW w:w="1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b/>
                <w:bCs/>
                <w:color w:val="000000"/>
                <w:sz w:val="18"/>
                <w:szCs w:val="18"/>
              </w:rPr>
            </w:pPr>
          </w:p>
        </w:tc>
      </w:tr>
      <w:tr>
        <w:tblPrEx>
          <w:tblLayout w:type="fixed"/>
          <w:tblCellMar>
            <w:top w:w="0" w:type="dxa"/>
            <w:left w:w="0" w:type="dxa"/>
            <w:bottom w:w="0" w:type="dxa"/>
            <w:right w:w="0" w:type="dxa"/>
          </w:tblCellMar>
        </w:tblPrEx>
        <w:trPr>
          <w:trHeight w:val="375"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301</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hint="eastAsia" w:ascii="仿宋_GB2312" w:hAnsi="仿宋_GB2312" w:eastAsia="仿宋_GB2312" w:cs="仿宋_GB2312"/>
                <w:color w:val="000000"/>
                <w:sz w:val="21"/>
                <w:szCs w:val="21"/>
              </w:rPr>
            </w:pP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工资福利支出</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right"/>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sz w:val="21"/>
                <w:szCs w:val="21"/>
                <w:lang w:val="en-US" w:eastAsia="zh-CN"/>
              </w:rPr>
              <w:t>194.99</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eastAsia" w:ascii="仿宋_GB2312" w:hAnsi="仿宋_GB2312" w:eastAsia="仿宋_GB2312" w:cs="仿宋_GB2312"/>
                <w:i w:val="0"/>
                <w:color w:val="000000"/>
                <w:kern w:val="2"/>
                <w:sz w:val="21"/>
                <w:szCs w:val="21"/>
                <w:u w:val="none"/>
                <w:lang w:val="en-US" w:eastAsia="zh-CN" w:bidi="ar-SA"/>
              </w:rPr>
            </w:pPr>
            <w:r>
              <w:rPr>
                <w:rFonts w:hint="eastAsia" w:ascii="仿宋_GB2312" w:hAnsi="仿宋_GB2312" w:eastAsia="仿宋_GB2312" w:cs="仿宋_GB2312"/>
                <w:sz w:val="21"/>
                <w:szCs w:val="21"/>
                <w:lang w:val="en-US" w:eastAsia="zh-CN"/>
              </w:rPr>
              <w:t>194.99</w:t>
            </w: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301</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01</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基本工资</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44.4</w:t>
            </w:r>
            <w:r>
              <w:rPr>
                <w:rFonts w:hint="eastAsia" w:ascii="仿宋_GB2312" w:hAnsi="仿宋_GB2312" w:eastAsia="仿宋_GB2312" w:cs="仿宋_GB2312"/>
                <w:sz w:val="21"/>
                <w:szCs w:val="21"/>
                <w:lang w:val="en-US" w:eastAsia="zh-CN"/>
              </w:rPr>
              <w:t>9</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44.4</w:t>
            </w:r>
            <w:r>
              <w:rPr>
                <w:rFonts w:hint="eastAsia" w:ascii="仿宋_GB2312" w:hAnsi="仿宋_GB2312" w:eastAsia="仿宋_GB2312" w:cs="仿宋_GB2312"/>
                <w:sz w:val="21"/>
                <w:szCs w:val="21"/>
                <w:lang w:val="en-US" w:eastAsia="zh-CN"/>
              </w:rPr>
              <w:t>9</w:t>
            </w: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301</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02</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津贴补贴</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36.61</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36.61</w:t>
            </w: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301</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03</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奖金</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29.05</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29.05</w:t>
            </w: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301</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07</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绩效工资</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2.1</w:t>
            </w:r>
            <w:r>
              <w:rPr>
                <w:rFonts w:hint="eastAsia" w:ascii="仿宋_GB2312" w:hAnsi="仿宋_GB2312" w:eastAsia="仿宋_GB2312" w:cs="仿宋_GB2312"/>
                <w:sz w:val="21"/>
                <w:szCs w:val="21"/>
                <w:lang w:val="en-US" w:eastAsia="zh-CN"/>
              </w:rPr>
              <w:t>5</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2.1</w:t>
            </w:r>
            <w:r>
              <w:rPr>
                <w:rFonts w:hint="eastAsia" w:ascii="仿宋_GB2312" w:hAnsi="仿宋_GB2312" w:eastAsia="仿宋_GB2312" w:cs="仿宋_GB2312"/>
                <w:sz w:val="21"/>
                <w:szCs w:val="21"/>
                <w:lang w:val="en-US" w:eastAsia="zh-CN"/>
              </w:rPr>
              <w:t>5</w:t>
            </w: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301</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color w:val="000000"/>
                <w:kern w:val="0"/>
                <w:sz w:val="21"/>
                <w:szCs w:val="21"/>
              </w:rPr>
              <w:t>08</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机关事业单位基本养老保险费</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15.60</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15.60</w:t>
            </w: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301</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09</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职业年金缴费</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6.87</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6.87</w:t>
            </w: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301</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10</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职工基本医疗保险缴费</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default" w:ascii="仿宋_GB2312" w:hAnsi="仿宋_GB2312" w:eastAsia="仿宋_GB2312" w:cs="仿宋_GB2312"/>
                <w:color w:val="auto"/>
                <w:sz w:val="21"/>
                <w:szCs w:val="21"/>
                <w:shd w:val="clear" w:color="auto" w:fill="auto"/>
                <w:lang w:val="en-US" w:eastAsia="zh-CN"/>
              </w:rPr>
            </w:pPr>
            <w:r>
              <w:rPr>
                <w:rFonts w:hint="eastAsia" w:ascii="仿宋_GB2312" w:hAnsi="仿宋_GB2312" w:eastAsia="仿宋_GB2312" w:cs="仿宋_GB2312"/>
                <w:color w:val="auto"/>
                <w:sz w:val="21"/>
                <w:szCs w:val="21"/>
                <w:shd w:val="clear" w:color="auto" w:fill="auto"/>
                <w:lang w:val="en-US" w:eastAsia="zh-CN"/>
              </w:rPr>
              <w:t>13.04</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default" w:ascii="仿宋_GB2312" w:hAnsi="仿宋_GB2312" w:eastAsia="仿宋_GB2312" w:cs="仿宋_GB2312"/>
                <w:color w:val="auto"/>
                <w:sz w:val="21"/>
                <w:szCs w:val="21"/>
                <w:shd w:val="clear" w:color="auto" w:fill="auto"/>
                <w:lang w:val="en-US" w:eastAsia="zh-CN"/>
              </w:rPr>
            </w:pPr>
            <w:r>
              <w:rPr>
                <w:rFonts w:hint="eastAsia" w:ascii="仿宋_GB2312" w:hAnsi="仿宋_GB2312" w:eastAsia="仿宋_GB2312" w:cs="仿宋_GB2312"/>
                <w:color w:val="auto"/>
                <w:sz w:val="21"/>
                <w:szCs w:val="21"/>
                <w:shd w:val="clear" w:color="auto" w:fill="auto"/>
                <w:lang w:val="en-US" w:eastAsia="zh-CN"/>
              </w:rPr>
              <w:t>13.04</w:t>
            </w: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301</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11</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公务员医疗补助缴费</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8.72</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8.72</w:t>
            </w: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301</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12</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其他社会保障缴费</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0.27</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0.27</w:t>
            </w: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301</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13</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住房公积金</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12.</w:t>
            </w:r>
            <w:r>
              <w:rPr>
                <w:rFonts w:hint="eastAsia" w:ascii="仿宋_GB2312" w:hAnsi="仿宋_GB2312" w:eastAsia="仿宋_GB2312" w:cs="仿宋_GB2312"/>
                <w:sz w:val="21"/>
                <w:szCs w:val="21"/>
                <w:lang w:val="en-US" w:eastAsia="zh-CN"/>
              </w:rPr>
              <w:t>16</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12.</w:t>
            </w:r>
            <w:r>
              <w:rPr>
                <w:rFonts w:hint="eastAsia" w:ascii="仿宋_GB2312" w:hAnsi="仿宋_GB2312" w:eastAsia="仿宋_GB2312" w:cs="仿宋_GB2312"/>
                <w:sz w:val="21"/>
                <w:szCs w:val="21"/>
                <w:lang w:val="en-US" w:eastAsia="zh-CN"/>
              </w:rPr>
              <w:t>16</w:t>
            </w: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301</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99</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其他工资福利支出</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26.03</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26.03</w:t>
            </w: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302</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仿宋_GB2312" w:eastAsia="仿宋_GB2312" w:cs="仿宋_GB2312"/>
                <w:color w:val="000000"/>
                <w:sz w:val="21"/>
                <w:szCs w:val="21"/>
              </w:rPr>
            </w:pP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商品和服务支出</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22.26</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22.26</w:t>
            </w: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302</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01</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办公费</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5.32</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5.32</w:t>
            </w: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302</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08</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取暖费</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10.07</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10.07</w:t>
            </w: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302</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16</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培训费</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1.23</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1.23</w:t>
            </w: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302</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28</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工会经费</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1.64</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1.64</w:t>
            </w:r>
          </w:p>
        </w:tc>
      </w:tr>
      <w:tr>
        <w:tblPrEx>
          <w:tblLayout w:type="fixed"/>
          <w:tblCellMar>
            <w:top w:w="0" w:type="dxa"/>
            <w:left w:w="0" w:type="dxa"/>
            <w:bottom w:w="0" w:type="dxa"/>
            <w:right w:w="0" w:type="dxa"/>
          </w:tblCellMar>
        </w:tblPrEx>
        <w:trPr>
          <w:trHeight w:val="291"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302</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31</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公务用车运行维护费</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4.00</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4.00</w:t>
            </w: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303</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_GB2312" w:hAnsi="仿宋_GB2312" w:eastAsia="仿宋_GB2312" w:cs="仿宋_GB2312"/>
                <w:color w:val="000000"/>
                <w:sz w:val="21"/>
                <w:szCs w:val="21"/>
              </w:rPr>
            </w:pP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对个人和家庭的补助</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1.02</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1.02</w:t>
            </w: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303</w:t>
            </w: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02</w:t>
            </w: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退休费</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1.02</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1.02</w:t>
            </w: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p>
        </w:tc>
      </w:tr>
      <w:tr>
        <w:tblPrEx>
          <w:tblLayout w:type="fixed"/>
          <w:tblCellMar>
            <w:top w:w="0" w:type="dxa"/>
            <w:left w:w="0" w:type="dxa"/>
            <w:bottom w:w="0" w:type="dxa"/>
            <w:right w:w="0" w:type="dxa"/>
          </w:tblCellMar>
        </w:tblPrEx>
        <w:trPr>
          <w:trHeight w:val="360" w:hRule="atLeast"/>
        </w:trPr>
        <w:tc>
          <w:tcPr>
            <w:tcW w:w="5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7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仿宋_GB2312" w:hAnsi="仿宋_GB2312" w:eastAsia="仿宋_GB2312" w:cs="仿宋_GB2312"/>
                <w:color w:val="000000"/>
                <w:kern w:val="0"/>
                <w:sz w:val="21"/>
                <w:szCs w:val="21"/>
              </w:rPr>
            </w:pPr>
          </w:p>
        </w:tc>
        <w:tc>
          <w:tcPr>
            <w:tcW w:w="29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b w:val="0"/>
                <w:bCs w:val="0"/>
                <w:color w:val="000000"/>
                <w:kern w:val="0"/>
                <w:sz w:val="21"/>
                <w:szCs w:val="21"/>
              </w:rPr>
              <w:t>合计</w:t>
            </w:r>
          </w:p>
        </w:tc>
        <w:tc>
          <w:tcPr>
            <w:tcW w:w="17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right"/>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sz w:val="21"/>
                <w:szCs w:val="21"/>
              </w:rPr>
              <w:t>218.2</w:t>
            </w:r>
            <w:r>
              <w:rPr>
                <w:rFonts w:hint="eastAsia" w:ascii="仿宋_GB2312" w:hAnsi="仿宋_GB2312" w:eastAsia="仿宋_GB2312" w:cs="仿宋_GB2312"/>
                <w:sz w:val="21"/>
                <w:szCs w:val="21"/>
                <w:lang w:val="en-US" w:eastAsia="zh-CN"/>
              </w:rPr>
              <w:t>7</w:t>
            </w:r>
          </w:p>
        </w:tc>
        <w:tc>
          <w:tcPr>
            <w:tcW w:w="135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196.0</w:t>
            </w:r>
            <w:r>
              <w:rPr>
                <w:rFonts w:hint="eastAsia" w:ascii="仿宋_GB2312" w:hAnsi="仿宋_GB2312" w:eastAsia="仿宋_GB2312" w:cs="仿宋_GB2312"/>
                <w:sz w:val="21"/>
                <w:szCs w:val="21"/>
                <w:lang w:val="en-US" w:eastAsia="zh-CN"/>
              </w:rPr>
              <w:t>1</w:t>
            </w:r>
          </w:p>
        </w:tc>
        <w:tc>
          <w:tcPr>
            <w:tcW w:w="1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22.26</w:t>
            </w:r>
          </w:p>
        </w:tc>
      </w:tr>
    </w:tbl>
    <w:p/>
    <w:p/>
    <w:p/>
    <w:p/>
    <w:p/>
    <w:p/>
    <w:p>
      <w:pPr>
        <w:widowControl/>
        <w:jc w:val="left"/>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表七：</w:t>
      </w:r>
    </w:p>
    <w:tbl>
      <w:tblPr>
        <w:tblStyle w:val="8"/>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426"/>
        <w:gridCol w:w="489"/>
        <w:gridCol w:w="1138"/>
        <w:gridCol w:w="970"/>
        <w:gridCol w:w="500"/>
        <w:gridCol w:w="591"/>
        <w:gridCol w:w="684"/>
        <w:gridCol w:w="456"/>
        <w:gridCol w:w="78"/>
        <w:gridCol w:w="381"/>
        <w:gridCol w:w="578"/>
        <w:gridCol w:w="514"/>
        <w:gridCol w:w="578"/>
        <w:gridCol w:w="397"/>
        <w:gridCol w:w="397"/>
        <w:gridCol w:w="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9116" w:type="dxa"/>
            <w:gridSpan w:val="17"/>
            <w:tcBorders>
              <w:top w:val="nil"/>
              <w:left w:val="nil"/>
              <w:bottom w:val="nil"/>
              <w:right w:val="nil"/>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项目支出情况表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5863" w:type="dxa"/>
            <w:gridSpan w:val="10"/>
            <w:tcBorders>
              <w:top w:val="nil"/>
              <w:left w:val="nil"/>
              <w:bottom w:val="single" w:color="auto" w:sz="4" w:space="0"/>
              <w:right w:val="nil"/>
            </w:tcBorders>
            <w:vAlign w:val="center"/>
          </w:tcPr>
          <w:p>
            <w:pPr>
              <w:widowControl/>
              <w:jc w:val="left"/>
              <w:rPr>
                <w:rFonts w:hint="eastAsia" w:ascii="仿宋_GB2312" w:hAnsi="宋体" w:eastAsia="仿宋_GB2312" w:cs="仿宋_GB2312"/>
                <w:color w:val="000000"/>
                <w:kern w:val="0"/>
                <w:sz w:val="24"/>
                <w:szCs w:val="24"/>
                <w:lang w:eastAsia="zh-CN"/>
              </w:rPr>
            </w:pPr>
            <w:r>
              <w:rPr>
                <w:rFonts w:hint="eastAsia" w:ascii="仿宋_GB2312" w:hAnsi="宋体" w:eastAsia="仿宋_GB2312" w:cs="仿宋_GB2312"/>
                <w:color w:val="000000"/>
                <w:kern w:val="0"/>
                <w:sz w:val="24"/>
                <w:szCs w:val="24"/>
              </w:rPr>
              <w:t>编制部门：</w:t>
            </w:r>
            <w:r>
              <w:rPr>
                <w:rFonts w:hint="eastAsia" w:ascii="仿宋_GB2312" w:hAnsi="宋体" w:eastAsia="仿宋_GB2312" w:cs="仿宋_GB2312"/>
                <w:kern w:val="0"/>
                <w:sz w:val="24"/>
                <w:szCs w:val="24"/>
                <w:lang w:eastAsia="zh-CN"/>
              </w:rPr>
              <w:t>吉木萨尔县交通运输局</w:t>
            </w:r>
          </w:p>
        </w:tc>
        <w:tc>
          <w:tcPr>
            <w:tcW w:w="3253" w:type="dxa"/>
            <w:gridSpan w:val="7"/>
            <w:tcBorders>
              <w:top w:val="nil"/>
              <w:left w:val="nil"/>
              <w:bottom w:val="single" w:color="auto" w:sz="4" w:space="0"/>
              <w:right w:val="nil"/>
            </w:tcBorders>
            <w:vAlign w:val="center"/>
          </w:tcPr>
          <w:p>
            <w:pPr>
              <w:widowControl/>
              <w:ind w:firstLine="960" w:firstLineChars="400"/>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446" w:type="dxa"/>
            <w:gridSpan w:val="3"/>
            <w:tcBorders>
              <w:top w:val="single" w:color="auto" w:sz="4" w:space="0"/>
            </w:tcBorders>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科</w:t>
            </w:r>
            <w:r>
              <w:rPr>
                <w:rFonts w:ascii="仿宋_GB2312" w:hAnsi="宋体" w:eastAsia="仿宋_GB2312" w:cs="仿宋_GB2312"/>
                <w:b/>
                <w:bCs/>
                <w:kern w:val="0"/>
                <w:sz w:val="18"/>
                <w:szCs w:val="18"/>
              </w:rPr>
              <w:t xml:space="preserve"> </w:t>
            </w:r>
            <w:r>
              <w:rPr>
                <w:rFonts w:hint="eastAsia" w:ascii="仿宋_GB2312" w:hAnsi="宋体" w:eastAsia="仿宋_GB2312" w:cs="仿宋_GB2312"/>
                <w:b/>
                <w:bCs/>
                <w:kern w:val="0"/>
                <w:sz w:val="18"/>
                <w:szCs w:val="18"/>
              </w:rPr>
              <w:t>目</w:t>
            </w:r>
            <w:r>
              <w:rPr>
                <w:rFonts w:ascii="仿宋_GB2312" w:hAnsi="宋体" w:eastAsia="仿宋_GB2312" w:cs="仿宋_GB2312"/>
                <w:b/>
                <w:bCs/>
                <w:kern w:val="0"/>
                <w:sz w:val="18"/>
                <w:szCs w:val="18"/>
              </w:rPr>
              <w:t xml:space="preserve"> </w:t>
            </w:r>
            <w:r>
              <w:rPr>
                <w:rFonts w:hint="eastAsia" w:ascii="仿宋_GB2312" w:hAnsi="宋体" w:eastAsia="仿宋_GB2312" w:cs="仿宋_GB2312"/>
                <w:b/>
                <w:bCs/>
                <w:kern w:val="0"/>
                <w:sz w:val="18"/>
                <w:szCs w:val="18"/>
              </w:rPr>
              <w:t>编</w:t>
            </w:r>
            <w:r>
              <w:rPr>
                <w:rFonts w:ascii="仿宋_GB2312" w:hAnsi="宋体" w:eastAsia="仿宋_GB2312" w:cs="仿宋_GB2312"/>
                <w:b/>
                <w:bCs/>
                <w:kern w:val="0"/>
                <w:sz w:val="18"/>
                <w:szCs w:val="18"/>
              </w:rPr>
              <w:t xml:space="preserve"> </w:t>
            </w:r>
            <w:r>
              <w:rPr>
                <w:rFonts w:hint="eastAsia" w:ascii="仿宋_GB2312" w:hAnsi="宋体" w:eastAsia="仿宋_GB2312" w:cs="仿宋_GB2312"/>
                <w:b/>
                <w:bCs/>
                <w:kern w:val="0"/>
                <w:sz w:val="18"/>
                <w:szCs w:val="18"/>
              </w:rPr>
              <w:t>码</w:t>
            </w:r>
          </w:p>
        </w:tc>
        <w:tc>
          <w:tcPr>
            <w:tcW w:w="1138" w:type="dxa"/>
            <w:vMerge w:val="restart"/>
            <w:tcBorders>
              <w:top w:val="single" w:color="auto" w:sz="4" w:space="0"/>
            </w:tcBorders>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科目</w:t>
            </w:r>
          </w:p>
        </w:tc>
        <w:tc>
          <w:tcPr>
            <w:tcW w:w="970" w:type="dxa"/>
            <w:vMerge w:val="restart"/>
            <w:tcBorders>
              <w:top w:val="single" w:color="auto" w:sz="4" w:space="0"/>
            </w:tcBorders>
            <w:vAlign w:val="center"/>
          </w:tcPr>
          <w:p>
            <w:pPr>
              <w:jc w:val="center"/>
              <w:rPr>
                <w:rFonts w:ascii="Calibri" w:hAnsi="Calibri" w:cs="Calibri"/>
                <w:sz w:val="24"/>
                <w:szCs w:val="24"/>
              </w:rPr>
            </w:pPr>
            <w:r>
              <w:rPr>
                <w:rFonts w:hint="eastAsia" w:ascii="仿宋_GB2312" w:hAnsi="宋体" w:eastAsia="仿宋_GB2312" w:cs="仿宋_GB2312"/>
                <w:b/>
                <w:bCs/>
                <w:kern w:val="0"/>
                <w:sz w:val="24"/>
                <w:szCs w:val="24"/>
              </w:rPr>
              <w:t>项目名称</w:t>
            </w:r>
          </w:p>
        </w:tc>
        <w:tc>
          <w:tcPr>
            <w:tcW w:w="500" w:type="dxa"/>
            <w:vMerge w:val="restart"/>
            <w:tcBorders>
              <w:top w:val="single" w:color="auto" w:sz="4" w:space="0"/>
            </w:tcBorders>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项目支出合计</w:t>
            </w:r>
          </w:p>
        </w:tc>
        <w:tc>
          <w:tcPr>
            <w:tcW w:w="591" w:type="dxa"/>
            <w:vMerge w:val="restart"/>
            <w:tcBorders>
              <w:top w:val="single" w:color="auto" w:sz="4" w:space="0"/>
            </w:tcBorders>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工资福利支出</w:t>
            </w:r>
          </w:p>
        </w:tc>
        <w:tc>
          <w:tcPr>
            <w:tcW w:w="684" w:type="dxa"/>
            <w:vMerge w:val="restart"/>
            <w:tcBorders>
              <w:top w:val="single" w:color="auto" w:sz="4" w:space="0"/>
            </w:tcBorders>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商品和服务支出</w:t>
            </w:r>
          </w:p>
        </w:tc>
        <w:tc>
          <w:tcPr>
            <w:tcW w:w="456" w:type="dxa"/>
            <w:vMerge w:val="restart"/>
            <w:tcBorders>
              <w:top w:val="single" w:color="auto" w:sz="4" w:space="0"/>
            </w:tcBorders>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对个人和家庭的补助</w:t>
            </w:r>
          </w:p>
        </w:tc>
        <w:tc>
          <w:tcPr>
            <w:tcW w:w="459" w:type="dxa"/>
            <w:gridSpan w:val="2"/>
            <w:vMerge w:val="restart"/>
            <w:tcBorders>
              <w:top w:val="single" w:color="auto" w:sz="4" w:space="0"/>
            </w:tcBorders>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债务利息及费用支出</w:t>
            </w:r>
          </w:p>
        </w:tc>
        <w:tc>
          <w:tcPr>
            <w:tcW w:w="578" w:type="dxa"/>
            <w:vMerge w:val="restart"/>
            <w:tcBorders>
              <w:top w:val="single" w:color="auto" w:sz="4" w:space="0"/>
            </w:tcBorders>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资本性支出（基本建设）</w:t>
            </w:r>
          </w:p>
        </w:tc>
        <w:tc>
          <w:tcPr>
            <w:tcW w:w="514" w:type="dxa"/>
            <w:vMerge w:val="restart"/>
            <w:tcBorders>
              <w:top w:val="single" w:color="auto" w:sz="4" w:space="0"/>
            </w:tcBorders>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资本性支出</w:t>
            </w:r>
          </w:p>
        </w:tc>
        <w:tc>
          <w:tcPr>
            <w:tcW w:w="578" w:type="dxa"/>
            <w:vMerge w:val="restart"/>
            <w:tcBorders>
              <w:top w:val="single" w:color="auto" w:sz="4" w:space="0"/>
            </w:tcBorders>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对企业补助（基本建设）</w:t>
            </w:r>
          </w:p>
        </w:tc>
        <w:tc>
          <w:tcPr>
            <w:tcW w:w="397" w:type="dxa"/>
            <w:vMerge w:val="restart"/>
            <w:tcBorders>
              <w:top w:val="single" w:color="auto" w:sz="4" w:space="0"/>
            </w:tcBorders>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对企业补助</w:t>
            </w:r>
          </w:p>
        </w:tc>
        <w:tc>
          <w:tcPr>
            <w:tcW w:w="397" w:type="dxa"/>
            <w:vMerge w:val="restart"/>
            <w:tcBorders>
              <w:top w:val="single" w:color="auto" w:sz="4" w:space="0"/>
            </w:tcBorders>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对社会保障基金补助</w:t>
            </w:r>
          </w:p>
        </w:tc>
        <w:tc>
          <w:tcPr>
            <w:tcW w:w="408" w:type="dxa"/>
            <w:vMerge w:val="restart"/>
            <w:tcBorders>
              <w:top w:val="single" w:color="auto" w:sz="4" w:space="0"/>
            </w:tcBorders>
            <w:vAlign w:val="center"/>
          </w:tcPr>
          <w:p>
            <w:pPr>
              <w:widowControl/>
              <w:jc w:val="center"/>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31" w:type="dxa"/>
            <w:vAlign w:val="center"/>
          </w:tcPr>
          <w:p>
            <w:pPr>
              <w:widowControl/>
              <w:jc w:val="left"/>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类</w:t>
            </w:r>
          </w:p>
        </w:tc>
        <w:tc>
          <w:tcPr>
            <w:tcW w:w="426" w:type="dxa"/>
            <w:vAlign w:val="center"/>
          </w:tcPr>
          <w:p>
            <w:pPr>
              <w:widowControl/>
              <w:jc w:val="left"/>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款</w:t>
            </w:r>
          </w:p>
        </w:tc>
        <w:tc>
          <w:tcPr>
            <w:tcW w:w="489" w:type="dxa"/>
            <w:vAlign w:val="center"/>
          </w:tcPr>
          <w:p>
            <w:pPr>
              <w:widowControl/>
              <w:jc w:val="left"/>
              <w:outlineLvl w:val="1"/>
              <w:rPr>
                <w:rFonts w:ascii="仿宋_GB2312" w:hAnsi="宋体" w:eastAsia="仿宋_GB2312"/>
                <w:b/>
                <w:bCs/>
                <w:kern w:val="0"/>
                <w:sz w:val="18"/>
                <w:szCs w:val="18"/>
              </w:rPr>
            </w:pPr>
            <w:r>
              <w:rPr>
                <w:rFonts w:hint="eastAsia" w:ascii="仿宋_GB2312" w:hAnsi="宋体" w:eastAsia="仿宋_GB2312" w:cs="仿宋_GB2312"/>
                <w:b/>
                <w:bCs/>
                <w:kern w:val="0"/>
                <w:sz w:val="18"/>
                <w:szCs w:val="18"/>
              </w:rPr>
              <w:t>项</w:t>
            </w:r>
          </w:p>
        </w:tc>
        <w:tc>
          <w:tcPr>
            <w:tcW w:w="1138" w:type="dxa"/>
            <w:vMerge w:val="continue"/>
            <w:vAlign w:val="center"/>
          </w:tcPr>
          <w:p>
            <w:pPr>
              <w:widowControl/>
              <w:jc w:val="left"/>
              <w:outlineLvl w:val="1"/>
              <w:rPr>
                <w:rFonts w:ascii="仿宋_GB2312" w:hAnsi="宋体" w:eastAsia="仿宋_GB2312"/>
                <w:b/>
                <w:bCs/>
                <w:kern w:val="0"/>
                <w:sz w:val="18"/>
                <w:szCs w:val="18"/>
              </w:rPr>
            </w:pPr>
          </w:p>
        </w:tc>
        <w:tc>
          <w:tcPr>
            <w:tcW w:w="970" w:type="dxa"/>
            <w:vMerge w:val="continue"/>
          </w:tcPr>
          <w:p>
            <w:pPr>
              <w:widowControl/>
              <w:jc w:val="left"/>
              <w:outlineLvl w:val="1"/>
              <w:rPr>
                <w:rFonts w:ascii="仿宋_GB2312" w:hAnsi="宋体" w:eastAsia="仿宋_GB2312"/>
                <w:b/>
                <w:bCs/>
                <w:kern w:val="0"/>
                <w:sz w:val="18"/>
                <w:szCs w:val="18"/>
              </w:rPr>
            </w:pPr>
          </w:p>
        </w:tc>
        <w:tc>
          <w:tcPr>
            <w:tcW w:w="500" w:type="dxa"/>
            <w:vMerge w:val="continue"/>
          </w:tcPr>
          <w:p>
            <w:pPr>
              <w:widowControl/>
              <w:jc w:val="left"/>
              <w:outlineLvl w:val="1"/>
              <w:rPr>
                <w:rFonts w:ascii="仿宋_GB2312" w:hAnsi="宋体" w:eastAsia="仿宋_GB2312"/>
                <w:b/>
                <w:bCs/>
                <w:kern w:val="0"/>
                <w:sz w:val="18"/>
                <w:szCs w:val="18"/>
              </w:rPr>
            </w:pPr>
          </w:p>
        </w:tc>
        <w:tc>
          <w:tcPr>
            <w:tcW w:w="591" w:type="dxa"/>
            <w:vMerge w:val="continue"/>
          </w:tcPr>
          <w:p>
            <w:pPr>
              <w:widowControl/>
              <w:jc w:val="left"/>
              <w:outlineLvl w:val="1"/>
              <w:rPr>
                <w:rFonts w:ascii="仿宋_GB2312" w:hAnsi="宋体" w:eastAsia="仿宋_GB2312"/>
                <w:b/>
                <w:bCs/>
                <w:kern w:val="0"/>
                <w:sz w:val="18"/>
                <w:szCs w:val="18"/>
              </w:rPr>
            </w:pPr>
          </w:p>
        </w:tc>
        <w:tc>
          <w:tcPr>
            <w:tcW w:w="684" w:type="dxa"/>
            <w:vMerge w:val="continue"/>
          </w:tcPr>
          <w:p>
            <w:pPr>
              <w:widowControl/>
              <w:jc w:val="left"/>
              <w:outlineLvl w:val="1"/>
              <w:rPr>
                <w:rFonts w:ascii="仿宋_GB2312" w:hAnsi="宋体" w:eastAsia="仿宋_GB2312"/>
                <w:b/>
                <w:bCs/>
                <w:kern w:val="0"/>
                <w:sz w:val="18"/>
                <w:szCs w:val="18"/>
              </w:rPr>
            </w:pPr>
          </w:p>
        </w:tc>
        <w:tc>
          <w:tcPr>
            <w:tcW w:w="456" w:type="dxa"/>
            <w:vMerge w:val="continue"/>
          </w:tcPr>
          <w:p>
            <w:pPr>
              <w:widowControl/>
              <w:jc w:val="left"/>
              <w:outlineLvl w:val="1"/>
              <w:rPr>
                <w:rFonts w:ascii="仿宋_GB2312" w:hAnsi="宋体" w:eastAsia="仿宋_GB2312"/>
                <w:b/>
                <w:bCs/>
                <w:kern w:val="0"/>
                <w:sz w:val="18"/>
                <w:szCs w:val="18"/>
              </w:rPr>
            </w:pPr>
          </w:p>
        </w:tc>
        <w:tc>
          <w:tcPr>
            <w:tcW w:w="459" w:type="dxa"/>
            <w:gridSpan w:val="2"/>
            <w:vMerge w:val="continue"/>
          </w:tcPr>
          <w:p>
            <w:pPr>
              <w:widowControl/>
              <w:jc w:val="left"/>
              <w:outlineLvl w:val="1"/>
              <w:rPr>
                <w:rFonts w:ascii="仿宋_GB2312" w:hAnsi="宋体" w:eastAsia="仿宋_GB2312"/>
                <w:b/>
                <w:bCs/>
                <w:kern w:val="0"/>
                <w:sz w:val="18"/>
                <w:szCs w:val="18"/>
              </w:rPr>
            </w:pPr>
          </w:p>
        </w:tc>
        <w:tc>
          <w:tcPr>
            <w:tcW w:w="578" w:type="dxa"/>
            <w:vMerge w:val="continue"/>
          </w:tcPr>
          <w:p>
            <w:pPr>
              <w:widowControl/>
              <w:jc w:val="left"/>
              <w:outlineLvl w:val="1"/>
              <w:rPr>
                <w:rFonts w:ascii="仿宋_GB2312" w:hAnsi="宋体" w:eastAsia="仿宋_GB2312"/>
                <w:b/>
                <w:bCs/>
                <w:kern w:val="0"/>
                <w:sz w:val="18"/>
                <w:szCs w:val="18"/>
              </w:rPr>
            </w:pPr>
          </w:p>
        </w:tc>
        <w:tc>
          <w:tcPr>
            <w:tcW w:w="514" w:type="dxa"/>
            <w:vMerge w:val="continue"/>
          </w:tcPr>
          <w:p>
            <w:pPr>
              <w:widowControl/>
              <w:jc w:val="left"/>
              <w:outlineLvl w:val="1"/>
              <w:rPr>
                <w:rFonts w:ascii="仿宋_GB2312" w:hAnsi="宋体" w:eastAsia="仿宋_GB2312"/>
                <w:b/>
                <w:bCs/>
                <w:kern w:val="0"/>
                <w:sz w:val="18"/>
                <w:szCs w:val="18"/>
              </w:rPr>
            </w:pPr>
          </w:p>
        </w:tc>
        <w:tc>
          <w:tcPr>
            <w:tcW w:w="578" w:type="dxa"/>
            <w:vMerge w:val="continue"/>
          </w:tcPr>
          <w:p>
            <w:pPr>
              <w:widowControl/>
              <w:jc w:val="left"/>
              <w:outlineLvl w:val="1"/>
              <w:rPr>
                <w:rFonts w:ascii="仿宋_GB2312" w:hAnsi="宋体" w:eastAsia="仿宋_GB2312"/>
                <w:b/>
                <w:bCs/>
                <w:kern w:val="0"/>
                <w:sz w:val="18"/>
                <w:szCs w:val="18"/>
              </w:rPr>
            </w:pPr>
          </w:p>
        </w:tc>
        <w:tc>
          <w:tcPr>
            <w:tcW w:w="397" w:type="dxa"/>
            <w:vMerge w:val="continue"/>
          </w:tcPr>
          <w:p>
            <w:pPr>
              <w:widowControl/>
              <w:jc w:val="left"/>
              <w:outlineLvl w:val="1"/>
              <w:rPr>
                <w:rFonts w:ascii="仿宋_GB2312" w:hAnsi="宋体" w:eastAsia="仿宋_GB2312"/>
                <w:b/>
                <w:bCs/>
                <w:kern w:val="0"/>
                <w:sz w:val="18"/>
                <w:szCs w:val="18"/>
              </w:rPr>
            </w:pPr>
          </w:p>
        </w:tc>
        <w:tc>
          <w:tcPr>
            <w:tcW w:w="397" w:type="dxa"/>
            <w:vMerge w:val="continue"/>
          </w:tcPr>
          <w:p>
            <w:pPr>
              <w:widowControl/>
              <w:jc w:val="left"/>
              <w:outlineLvl w:val="1"/>
              <w:rPr>
                <w:rFonts w:ascii="仿宋_GB2312" w:hAnsi="宋体" w:eastAsia="仿宋_GB2312"/>
                <w:b/>
                <w:bCs/>
                <w:kern w:val="0"/>
                <w:sz w:val="18"/>
                <w:szCs w:val="18"/>
              </w:rPr>
            </w:pPr>
          </w:p>
        </w:tc>
        <w:tc>
          <w:tcPr>
            <w:tcW w:w="408" w:type="dxa"/>
            <w:vMerge w:val="continue"/>
          </w:tcPr>
          <w:p>
            <w:pPr>
              <w:widowControl/>
              <w:jc w:val="left"/>
              <w:outlineLvl w:val="1"/>
              <w:rPr>
                <w:rFonts w:ascii="仿宋_GB2312" w:hAnsi="宋体" w:eastAsia="仿宋_GB2312"/>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vAlign w:val="center"/>
          </w:tcPr>
          <w:p>
            <w:pPr>
              <w:widowControl/>
              <w:jc w:val="center"/>
              <w:textAlignment w:val="center"/>
              <w:rPr>
                <w:rFonts w:ascii="宋体"/>
                <w:color w:val="000000"/>
                <w:kern w:val="0"/>
                <w:sz w:val="18"/>
                <w:szCs w:val="18"/>
              </w:rPr>
            </w:pPr>
          </w:p>
        </w:tc>
        <w:tc>
          <w:tcPr>
            <w:tcW w:w="426" w:type="dxa"/>
            <w:vAlign w:val="center"/>
          </w:tcPr>
          <w:p>
            <w:pPr>
              <w:widowControl/>
              <w:jc w:val="center"/>
              <w:textAlignment w:val="center"/>
              <w:rPr>
                <w:rFonts w:ascii="宋体"/>
                <w:color w:val="000000"/>
                <w:kern w:val="0"/>
                <w:sz w:val="18"/>
                <w:szCs w:val="18"/>
              </w:rPr>
            </w:pPr>
          </w:p>
        </w:tc>
        <w:tc>
          <w:tcPr>
            <w:tcW w:w="489" w:type="dxa"/>
            <w:vAlign w:val="center"/>
          </w:tcPr>
          <w:p>
            <w:pPr>
              <w:widowControl/>
              <w:jc w:val="center"/>
              <w:textAlignment w:val="center"/>
              <w:rPr>
                <w:rFonts w:ascii="宋体"/>
                <w:color w:val="000000"/>
                <w:kern w:val="0"/>
                <w:sz w:val="18"/>
                <w:szCs w:val="18"/>
              </w:rPr>
            </w:pPr>
          </w:p>
        </w:tc>
        <w:tc>
          <w:tcPr>
            <w:tcW w:w="1138" w:type="dxa"/>
            <w:vAlign w:val="center"/>
          </w:tcPr>
          <w:p>
            <w:pPr>
              <w:widowControl/>
              <w:jc w:val="left"/>
              <w:textAlignment w:val="center"/>
              <w:rPr>
                <w:rFonts w:ascii="宋体"/>
                <w:color w:val="000000"/>
                <w:sz w:val="20"/>
                <w:szCs w:val="20"/>
              </w:rPr>
            </w:pPr>
          </w:p>
        </w:tc>
        <w:tc>
          <w:tcPr>
            <w:tcW w:w="970" w:type="dxa"/>
            <w:vAlign w:val="center"/>
          </w:tcPr>
          <w:p>
            <w:pPr>
              <w:widowControl/>
              <w:jc w:val="left"/>
              <w:textAlignment w:val="center"/>
              <w:rPr>
                <w:rFonts w:ascii="宋体"/>
                <w:color w:val="000000"/>
                <w:sz w:val="20"/>
                <w:szCs w:val="20"/>
              </w:rPr>
            </w:pPr>
          </w:p>
        </w:tc>
        <w:tc>
          <w:tcPr>
            <w:tcW w:w="500" w:type="dxa"/>
            <w:vAlign w:val="center"/>
          </w:tcPr>
          <w:p>
            <w:pPr>
              <w:widowControl/>
              <w:jc w:val="right"/>
              <w:textAlignment w:val="center"/>
              <w:rPr>
                <w:rFonts w:ascii="宋体"/>
                <w:color w:val="000000"/>
                <w:kern w:val="0"/>
                <w:sz w:val="18"/>
                <w:szCs w:val="18"/>
              </w:rPr>
            </w:pPr>
          </w:p>
        </w:tc>
        <w:tc>
          <w:tcPr>
            <w:tcW w:w="591" w:type="dxa"/>
            <w:vAlign w:val="center"/>
          </w:tcPr>
          <w:p>
            <w:pPr>
              <w:widowControl/>
              <w:jc w:val="right"/>
              <w:textAlignment w:val="center"/>
              <w:rPr>
                <w:rFonts w:ascii="宋体"/>
                <w:color w:val="000000"/>
                <w:kern w:val="0"/>
                <w:sz w:val="18"/>
                <w:szCs w:val="18"/>
              </w:rPr>
            </w:pPr>
          </w:p>
        </w:tc>
        <w:tc>
          <w:tcPr>
            <w:tcW w:w="684" w:type="dxa"/>
            <w:vAlign w:val="center"/>
          </w:tcPr>
          <w:p>
            <w:pPr>
              <w:widowControl/>
              <w:jc w:val="right"/>
              <w:textAlignment w:val="center"/>
              <w:rPr>
                <w:rFonts w:ascii="宋体"/>
                <w:color w:val="000000"/>
                <w:sz w:val="18"/>
                <w:szCs w:val="18"/>
              </w:rPr>
            </w:pPr>
          </w:p>
        </w:tc>
        <w:tc>
          <w:tcPr>
            <w:tcW w:w="456" w:type="dxa"/>
            <w:vAlign w:val="center"/>
          </w:tcPr>
          <w:p>
            <w:pPr>
              <w:jc w:val="right"/>
              <w:rPr>
                <w:rFonts w:ascii="宋体"/>
                <w:color w:val="000000"/>
                <w:kern w:val="0"/>
                <w:sz w:val="20"/>
                <w:szCs w:val="20"/>
              </w:rPr>
            </w:pPr>
          </w:p>
        </w:tc>
        <w:tc>
          <w:tcPr>
            <w:tcW w:w="459" w:type="dxa"/>
            <w:gridSpan w:val="2"/>
            <w:vAlign w:val="center"/>
          </w:tcPr>
          <w:p>
            <w:pPr>
              <w:jc w:val="right"/>
              <w:rPr>
                <w:rFonts w:ascii="宋体"/>
                <w:color w:val="000000"/>
                <w:kern w:val="0"/>
                <w:sz w:val="20"/>
                <w:szCs w:val="20"/>
              </w:rPr>
            </w:pPr>
          </w:p>
        </w:tc>
        <w:tc>
          <w:tcPr>
            <w:tcW w:w="578" w:type="dxa"/>
            <w:vAlign w:val="center"/>
          </w:tcPr>
          <w:p>
            <w:pPr>
              <w:jc w:val="right"/>
              <w:rPr>
                <w:rFonts w:ascii="宋体"/>
                <w:color w:val="000000"/>
                <w:kern w:val="0"/>
                <w:sz w:val="20"/>
                <w:szCs w:val="20"/>
              </w:rPr>
            </w:pPr>
          </w:p>
        </w:tc>
        <w:tc>
          <w:tcPr>
            <w:tcW w:w="514" w:type="dxa"/>
            <w:vAlign w:val="center"/>
          </w:tcPr>
          <w:p>
            <w:pPr>
              <w:widowControl/>
              <w:jc w:val="right"/>
              <w:textAlignment w:val="center"/>
              <w:rPr>
                <w:rFonts w:ascii="宋体"/>
                <w:color w:val="000000"/>
                <w:kern w:val="0"/>
                <w:sz w:val="20"/>
                <w:szCs w:val="20"/>
              </w:rPr>
            </w:pPr>
          </w:p>
        </w:tc>
        <w:tc>
          <w:tcPr>
            <w:tcW w:w="578"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408" w:type="dxa"/>
          </w:tcPr>
          <w:p>
            <w:pPr>
              <w:widowControl/>
              <w:jc w:val="center"/>
              <w:textAlignment w:val="center"/>
              <w:rPr>
                <w:rFonts w:ascii="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vAlign w:val="center"/>
          </w:tcPr>
          <w:p>
            <w:pPr>
              <w:widowControl/>
              <w:jc w:val="center"/>
              <w:textAlignment w:val="center"/>
              <w:rPr>
                <w:rFonts w:ascii="宋体"/>
                <w:color w:val="000000"/>
                <w:kern w:val="0"/>
                <w:sz w:val="18"/>
                <w:szCs w:val="18"/>
              </w:rPr>
            </w:pPr>
          </w:p>
        </w:tc>
        <w:tc>
          <w:tcPr>
            <w:tcW w:w="426" w:type="dxa"/>
            <w:vAlign w:val="center"/>
          </w:tcPr>
          <w:p>
            <w:pPr>
              <w:widowControl/>
              <w:jc w:val="center"/>
              <w:textAlignment w:val="center"/>
              <w:rPr>
                <w:rFonts w:ascii="宋体"/>
                <w:color w:val="000000"/>
                <w:kern w:val="0"/>
                <w:sz w:val="18"/>
                <w:szCs w:val="18"/>
              </w:rPr>
            </w:pPr>
          </w:p>
        </w:tc>
        <w:tc>
          <w:tcPr>
            <w:tcW w:w="489" w:type="dxa"/>
            <w:vAlign w:val="center"/>
          </w:tcPr>
          <w:p>
            <w:pPr>
              <w:widowControl/>
              <w:jc w:val="center"/>
              <w:textAlignment w:val="center"/>
              <w:rPr>
                <w:rFonts w:ascii="宋体"/>
                <w:color w:val="000000"/>
                <w:kern w:val="0"/>
                <w:sz w:val="18"/>
                <w:szCs w:val="18"/>
              </w:rPr>
            </w:pPr>
          </w:p>
        </w:tc>
        <w:tc>
          <w:tcPr>
            <w:tcW w:w="1138" w:type="dxa"/>
            <w:vAlign w:val="center"/>
          </w:tcPr>
          <w:p>
            <w:pPr>
              <w:widowControl/>
              <w:textAlignment w:val="center"/>
              <w:rPr>
                <w:rFonts w:ascii="宋体"/>
                <w:color w:val="000000"/>
                <w:kern w:val="0"/>
                <w:sz w:val="18"/>
                <w:szCs w:val="18"/>
              </w:rPr>
            </w:pPr>
          </w:p>
        </w:tc>
        <w:tc>
          <w:tcPr>
            <w:tcW w:w="970" w:type="dxa"/>
            <w:vAlign w:val="center"/>
          </w:tcPr>
          <w:p>
            <w:pPr>
              <w:widowControl/>
              <w:jc w:val="left"/>
              <w:textAlignment w:val="center"/>
              <w:rPr>
                <w:rFonts w:ascii="宋体"/>
                <w:color w:val="000000"/>
                <w:sz w:val="20"/>
                <w:szCs w:val="20"/>
              </w:rPr>
            </w:pPr>
          </w:p>
        </w:tc>
        <w:tc>
          <w:tcPr>
            <w:tcW w:w="500" w:type="dxa"/>
            <w:vAlign w:val="center"/>
          </w:tcPr>
          <w:p>
            <w:pPr>
              <w:widowControl/>
              <w:jc w:val="right"/>
              <w:textAlignment w:val="center"/>
              <w:rPr>
                <w:rFonts w:ascii="宋体"/>
                <w:color w:val="000000"/>
                <w:kern w:val="0"/>
                <w:sz w:val="18"/>
                <w:szCs w:val="18"/>
              </w:rPr>
            </w:pPr>
          </w:p>
        </w:tc>
        <w:tc>
          <w:tcPr>
            <w:tcW w:w="591" w:type="dxa"/>
            <w:vAlign w:val="center"/>
          </w:tcPr>
          <w:p>
            <w:pPr>
              <w:widowControl/>
              <w:jc w:val="right"/>
              <w:textAlignment w:val="center"/>
              <w:rPr>
                <w:rFonts w:ascii="宋体"/>
                <w:color w:val="000000"/>
                <w:kern w:val="0"/>
                <w:sz w:val="18"/>
                <w:szCs w:val="18"/>
              </w:rPr>
            </w:pPr>
          </w:p>
        </w:tc>
        <w:tc>
          <w:tcPr>
            <w:tcW w:w="684" w:type="dxa"/>
            <w:vAlign w:val="center"/>
          </w:tcPr>
          <w:p>
            <w:pPr>
              <w:widowControl/>
              <w:jc w:val="right"/>
              <w:textAlignment w:val="center"/>
              <w:rPr>
                <w:rFonts w:ascii="宋体"/>
                <w:color w:val="000000"/>
                <w:sz w:val="18"/>
                <w:szCs w:val="18"/>
              </w:rPr>
            </w:pPr>
          </w:p>
        </w:tc>
        <w:tc>
          <w:tcPr>
            <w:tcW w:w="456" w:type="dxa"/>
            <w:vAlign w:val="center"/>
          </w:tcPr>
          <w:p>
            <w:pPr>
              <w:widowControl/>
              <w:jc w:val="center"/>
              <w:textAlignment w:val="center"/>
              <w:rPr>
                <w:rFonts w:ascii="宋体"/>
                <w:color w:val="000000"/>
                <w:kern w:val="0"/>
                <w:sz w:val="20"/>
                <w:szCs w:val="20"/>
              </w:rPr>
            </w:pPr>
          </w:p>
        </w:tc>
        <w:tc>
          <w:tcPr>
            <w:tcW w:w="459" w:type="dxa"/>
            <w:gridSpan w:val="2"/>
            <w:vAlign w:val="center"/>
          </w:tcPr>
          <w:p>
            <w:pPr>
              <w:widowControl/>
              <w:jc w:val="center"/>
              <w:textAlignment w:val="center"/>
              <w:rPr>
                <w:rFonts w:ascii="宋体"/>
                <w:color w:val="000000"/>
                <w:kern w:val="0"/>
                <w:sz w:val="20"/>
                <w:szCs w:val="20"/>
              </w:rPr>
            </w:pPr>
          </w:p>
        </w:tc>
        <w:tc>
          <w:tcPr>
            <w:tcW w:w="578" w:type="dxa"/>
            <w:vAlign w:val="center"/>
          </w:tcPr>
          <w:p>
            <w:pPr>
              <w:widowControl/>
              <w:jc w:val="center"/>
              <w:textAlignment w:val="center"/>
              <w:rPr>
                <w:rFonts w:ascii="宋体"/>
                <w:color w:val="000000"/>
                <w:kern w:val="0"/>
                <w:sz w:val="20"/>
                <w:szCs w:val="20"/>
              </w:rPr>
            </w:pPr>
          </w:p>
        </w:tc>
        <w:tc>
          <w:tcPr>
            <w:tcW w:w="514" w:type="dxa"/>
            <w:vAlign w:val="center"/>
          </w:tcPr>
          <w:p>
            <w:pPr>
              <w:widowControl/>
              <w:jc w:val="center"/>
              <w:textAlignment w:val="center"/>
              <w:rPr>
                <w:rFonts w:ascii="宋体"/>
                <w:color w:val="000000"/>
                <w:kern w:val="0"/>
                <w:sz w:val="20"/>
                <w:szCs w:val="20"/>
              </w:rPr>
            </w:pPr>
          </w:p>
        </w:tc>
        <w:tc>
          <w:tcPr>
            <w:tcW w:w="578"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408" w:type="dxa"/>
          </w:tcPr>
          <w:p>
            <w:pPr>
              <w:widowControl/>
              <w:jc w:val="center"/>
              <w:textAlignment w:val="center"/>
              <w:rPr>
                <w:rFonts w:ascii="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vAlign w:val="center"/>
          </w:tcPr>
          <w:p>
            <w:pPr>
              <w:widowControl/>
              <w:jc w:val="center"/>
              <w:textAlignment w:val="center"/>
              <w:rPr>
                <w:rFonts w:ascii="宋体"/>
                <w:color w:val="000000"/>
                <w:kern w:val="0"/>
                <w:sz w:val="20"/>
                <w:szCs w:val="20"/>
              </w:rPr>
            </w:pPr>
          </w:p>
        </w:tc>
        <w:tc>
          <w:tcPr>
            <w:tcW w:w="426" w:type="dxa"/>
            <w:vAlign w:val="center"/>
          </w:tcPr>
          <w:p>
            <w:pPr>
              <w:widowControl/>
              <w:jc w:val="center"/>
              <w:textAlignment w:val="center"/>
              <w:rPr>
                <w:rFonts w:ascii="宋体"/>
                <w:color w:val="000000"/>
                <w:kern w:val="0"/>
                <w:sz w:val="20"/>
                <w:szCs w:val="20"/>
              </w:rPr>
            </w:pPr>
          </w:p>
        </w:tc>
        <w:tc>
          <w:tcPr>
            <w:tcW w:w="489" w:type="dxa"/>
            <w:vAlign w:val="center"/>
          </w:tcPr>
          <w:p>
            <w:pPr>
              <w:widowControl/>
              <w:jc w:val="center"/>
              <w:textAlignment w:val="center"/>
              <w:rPr>
                <w:rFonts w:ascii="宋体"/>
                <w:color w:val="000000"/>
                <w:kern w:val="0"/>
                <w:sz w:val="20"/>
                <w:szCs w:val="20"/>
              </w:rPr>
            </w:pPr>
          </w:p>
        </w:tc>
        <w:tc>
          <w:tcPr>
            <w:tcW w:w="1138" w:type="dxa"/>
            <w:vAlign w:val="center"/>
          </w:tcPr>
          <w:p>
            <w:pPr>
              <w:widowControl/>
              <w:jc w:val="center"/>
              <w:textAlignment w:val="center"/>
              <w:rPr>
                <w:rFonts w:ascii="宋体"/>
                <w:color w:val="000000"/>
                <w:kern w:val="0"/>
                <w:sz w:val="20"/>
                <w:szCs w:val="20"/>
              </w:rPr>
            </w:pPr>
          </w:p>
        </w:tc>
        <w:tc>
          <w:tcPr>
            <w:tcW w:w="970" w:type="dxa"/>
            <w:vAlign w:val="center"/>
          </w:tcPr>
          <w:p>
            <w:pPr>
              <w:widowControl/>
              <w:jc w:val="center"/>
              <w:textAlignment w:val="center"/>
              <w:rPr>
                <w:rFonts w:ascii="宋体"/>
                <w:color w:val="000000"/>
                <w:kern w:val="0"/>
                <w:sz w:val="20"/>
                <w:szCs w:val="20"/>
              </w:rPr>
            </w:pPr>
          </w:p>
        </w:tc>
        <w:tc>
          <w:tcPr>
            <w:tcW w:w="500" w:type="dxa"/>
            <w:vAlign w:val="center"/>
          </w:tcPr>
          <w:p>
            <w:pPr>
              <w:widowControl/>
              <w:jc w:val="center"/>
              <w:textAlignment w:val="center"/>
              <w:rPr>
                <w:rFonts w:ascii="宋体"/>
                <w:color w:val="000000"/>
                <w:kern w:val="0"/>
                <w:sz w:val="20"/>
                <w:szCs w:val="20"/>
              </w:rPr>
            </w:pPr>
          </w:p>
        </w:tc>
        <w:tc>
          <w:tcPr>
            <w:tcW w:w="591" w:type="dxa"/>
            <w:vAlign w:val="center"/>
          </w:tcPr>
          <w:p>
            <w:pPr>
              <w:widowControl/>
              <w:jc w:val="center"/>
              <w:textAlignment w:val="center"/>
              <w:rPr>
                <w:rFonts w:ascii="宋体"/>
                <w:color w:val="000000"/>
                <w:kern w:val="0"/>
                <w:sz w:val="20"/>
                <w:szCs w:val="20"/>
              </w:rPr>
            </w:pPr>
          </w:p>
        </w:tc>
        <w:tc>
          <w:tcPr>
            <w:tcW w:w="684" w:type="dxa"/>
            <w:vAlign w:val="center"/>
          </w:tcPr>
          <w:p>
            <w:pPr>
              <w:widowControl/>
              <w:jc w:val="center"/>
              <w:textAlignment w:val="center"/>
              <w:rPr>
                <w:rFonts w:ascii="宋体"/>
                <w:color w:val="000000"/>
                <w:kern w:val="0"/>
                <w:sz w:val="20"/>
                <w:szCs w:val="20"/>
              </w:rPr>
            </w:pPr>
          </w:p>
        </w:tc>
        <w:tc>
          <w:tcPr>
            <w:tcW w:w="456" w:type="dxa"/>
            <w:vAlign w:val="center"/>
          </w:tcPr>
          <w:p>
            <w:pPr>
              <w:widowControl/>
              <w:jc w:val="center"/>
              <w:textAlignment w:val="center"/>
              <w:rPr>
                <w:rFonts w:ascii="宋体"/>
                <w:color w:val="000000"/>
                <w:kern w:val="0"/>
                <w:sz w:val="20"/>
                <w:szCs w:val="20"/>
              </w:rPr>
            </w:pPr>
          </w:p>
        </w:tc>
        <w:tc>
          <w:tcPr>
            <w:tcW w:w="459" w:type="dxa"/>
            <w:gridSpan w:val="2"/>
            <w:vAlign w:val="center"/>
          </w:tcPr>
          <w:p>
            <w:pPr>
              <w:widowControl/>
              <w:jc w:val="center"/>
              <w:textAlignment w:val="center"/>
              <w:rPr>
                <w:rFonts w:ascii="宋体"/>
                <w:color w:val="000000"/>
                <w:kern w:val="0"/>
                <w:sz w:val="20"/>
                <w:szCs w:val="20"/>
              </w:rPr>
            </w:pPr>
          </w:p>
        </w:tc>
        <w:tc>
          <w:tcPr>
            <w:tcW w:w="578" w:type="dxa"/>
            <w:vAlign w:val="center"/>
          </w:tcPr>
          <w:p>
            <w:pPr>
              <w:widowControl/>
              <w:jc w:val="center"/>
              <w:textAlignment w:val="center"/>
              <w:rPr>
                <w:rFonts w:ascii="宋体"/>
                <w:color w:val="000000"/>
                <w:kern w:val="0"/>
                <w:sz w:val="20"/>
                <w:szCs w:val="20"/>
              </w:rPr>
            </w:pPr>
          </w:p>
        </w:tc>
        <w:tc>
          <w:tcPr>
            <w:tcW w:w="514" w:type="dxa"/>
            <w:vAlign w:val="center"/>
          </w:tcPr>
          <w:p>
            <w:pPr>
              <w:widowControl/>
              <w:jc w:val="center"/>
              <w:textAlignment w:val="center"/>
              <w:rPr>
                <w:rFonts w:ascii="宋体"/>
                <w:color w:val="000000"/>
                <w:kern w:val="0"/>
                <w:sz w:val="20"/>
                <w:szCs w:val="20"/>
              </w:rPr>
            </w:pPr>
          </w:p>
        </w:tc>
        <w:tc>
          <w:tcPr>
            <w:tcW w:w="578"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408" w:type="dxa"/>
          </w:tcPr>
          <w:p>
            <w:pPr>
              <w:widowControl/>
              <w:jc w:val="center"/>
              <w:textAlignment w:val="center"/>
              <w:rPr>
                <w:rFonts w:ascii="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vAlign w:val="center"/>
          </w:tcPr>
          <w:p>
            <w:pPr>
              <w:widowControl/>
              <w:jc w:val="center"/>
              <w:textAlignment w:val="center"/>
              <w:rPr>
                <w:rFonts w:ascii="宋体"/>
                <w:color w:val="000000"/>
                <w:kern w:val="0"/>
                <w:sz w:val="20"/>
                <w:szCs w:val="20"/>
              </w:rPr>
            </w:pPr>
          </w:p>
        </w:tc>
        <w:tc>
          <w:tcPr>
            <w:tcW w:w="426" w:type="dxa"/>
            <w:vAlign w:val="center"/>
          </w:tcPr>
          <w:p>
            <w:pPr>
              <w:widowControl/>
              <w:jc w:val="center"/>
              <w:textAlignment w:val="center"/>
              <w:rPr>
                <w:rFonts w:ascii="宋体"/>
                <w:color w:val="000000"/>
                <w:kern w:val="0"/>
                <w:sz w:val="20"/>
                <w:szCs w:val="20"/>
              </w:rPr>
            </w:pPr>
          </w:p>
        </w:tc>
        <w:tc>
          <w:tcPr>
            <w:tcW w:w="489" w:type="dxa"/>
            <w:vAlign w:val="center"/>
          </w:tcPr>
          <w:p>
            <w:pPr>
              <w:widowControl/>
              <w:jc w:val="center"/>
              <w:textAlignment w:val="center"/>
              <w:rPr>
                <w:rFonts w:ascii="宋体"/>
                <w:color w:val="000000"/>
                <w:kern w:val="0"/>
                <w:sz w:val="20"/>
                <w:szCs w:val="20"/>
              </w:rPr>
            </w:pPr>
          </w:p>
        </w:tc>
        <w:tc>
          <w:tcPr>
            <w:tcW w:w="1138" w:type="dxa"/>
            <w:vAlign w:val="center"/>
          </w:tcPr>
          <w:p>
            <w:pPr>
              <w:widowControl/>
              <w:jc w:val="center"/>
              <w:textAlignment w:val="center"/>
              <w:rPr>
                <w:rFonts w:ascii="宋体"/>
                <w:color w:val="000000"/>
                <w:kern w:val="0"/>
                <w:sz w:val="20"/>
                <w:szCs w:val="20"/>
              </w:rPr>
            </w:pPr>
          </w:p>
        </w:tc>
        <w:tc>
          <w:tcPr>
            <w:tcW w:w="970" w:type="dxa"/>
            <w:vAlign w:val="center"/>
          </w:tcPr>
          <w:p>
            <w:pPr>
              <w:widowControl/>
              <w:jc w:val="center"/>
              <w:textAlignment w:val="center"/>
              <w:rPr>
                <w:rFonts w:ascii="宋体"/>
                <w:color w:val="000000"/>
                <w:kern w:val="0"/>
                <w:sz w:val="20"/>
                <w:szCs w:val="20"/>
              </w:rPr>
            </w:pPr>
          </w:p>
        </w:tc>
        <w:tc>
          <w:tcPr>
            <w:tcW w:w="500" w:type="dxa"/>
            <w:vAlign w:val="center"/>
          </w:tcPr>
          <w:p>
            <w:pPr>
              <w:widowControl/>
              <w:jc w:val="center"/>
              <w:textAlignment w:val="center"/>
              <w:rPr>
                <w:rFonts w:ascii="宋体"/>
                <w:color w:val="000000"/>
                <w:kern w:val="0"/>
                <w:sz w:val="20"/>
                <w:szCs w:val="20"/>
              </w:rPr>
            </w:pPr>
          </w:p>
        </w:tc>
        <w:tc>
          <w:tcPr>
            <w:tcW w:w="591" w:type="dxa"/>
            <w:vAlign w:val="center"/>
          </w:tcPr>
          <w:p>
            <w:pPr>
              <w:widowControl/>
              <w:jc w:val="center"/>
              <w:textAlignment w:val="center"/>
              <w:rPr>
                <w:rFonts w:ascii="宋体"/>
                <w:color w:val="000000"/>
                <w:kern w:val="0"/>
                <w:sz w:val="20"/>
                <w:szCs w:val="20"/>
              </w:rPr>
            </w:pPr>
          </w:p>
        </w:tc>
        <w:tc>
          <w:tcPr>
            <w:tcW w:w="684" w:type="dxa"/>
            <w:vAlign w:val="center"/>
          </w:tcPr>
          <w:p>
            <w:pPr>
              <w:widowControl/>
              <w:jc w:val="center"/>
              <w:textAlignment w:val="center"/>
              <w:rPr>
                <w:rFonts w:ascii="宋体"/>
                <w:color w:val="000000"/>
                <w:kern w:val="0"/>
                <w:sz w:val="20"/>
                <w:szCs w:val="20"/>
              </w:rPr>
            </w:pPr>
          </w:p>
        </w:tc>
        <w:tc>
          <w:tcPr>
            <w:tcW w:w="456" w:type="dxa"/>
            <w:vAlign w:val="center"/>
          </w:tcPr>
          <w:p>
            <w:pPr>
              <w:widowControl/>
              <w:jc w:val="center"/>
              <w:textAlignment w:val="center"/>
              <w:rPr>
                <w:rFonts w:ascii="宋体"/>
                <w:color w:val="000000"/>
                <w:kern w:val="0"/>
                <w:sz w:val="20"/>
                <w:szCs w:val="20"/>
              </w:rPr>
            </w:pPr>
          </w:p>
        </w:tc>
        <w:tc>
          <w:tcPr>
            <w:tcW w:w="459" w:type="dxa"/>
            <w:gridSpan w:val="2"/>
            <w:vAlign w:val="center"/>
          </w:tcPr>
          <w:p>
            <w:pPr>
              <w:widowControl/>
              <w:jc w:val="center"/>
              <w:textAlignment w:val="center"/>
              <w:rPr>
                <w:rFonts w:ascii="宋体"/>
                <w:color w:val="000000"/>
                <w:kern w:val="0"/>
                <w:sz w:val="20"/>
                <w:szCs w:val="20"/>
              </w:rPr>
            </w:pPr>
          </w:p>
        </w:tc>
        <w:tc>
          <w:tcPr>
            <w:tcW w:w="578" w:type="dxa"/>
            <w:vAlign w:val="center"/>
          </w:tcPr>
          <w:p>
            <w:pPr>
              <w:widowControl/>
              <w:jc w:val="center"/>
              <w:textAlignment w:val="center"/>
              <w:rPr>
                <w:rFonts w:ascii="宋体"/>
                <w:color w:val="000000"/>
                <w:kern w:val="0"/>
                <w:sz w:val="20"/>
                <w:szCs w:val="20"/>
              </w:rPr>
            </w:pPr>
          </w:p>
        </w:tc>
        <w:tc>
          <w:tcPr>
            <w:tcW w:w="514" w:type="dxa"/>
            <w:vAlign w:val="center"/>
          </w:tcPr>
          <w:p>
            <w:pPr>
              <w:widowControl/>
              <w:jc w:val="center"/>
              <w:textAlignment w:val="center"/>
              <w:rPr>
                <w:rFonts w:ascii="宋体"/>
                <w:color w:val="000000"/>
                <w:kern w:val="0"/>
                <w:sz w:val="20"/>
                <w:szCs w:val="20"/>
              </w:rPr>
            </w:pPr>
          </w:p>
        </w:tc>
        <w:tc>
          <w:tcPr>
            <w:tcW w:w="578"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408" w:type="dxa"/>
          </w:tcPr>
          <w:p>
            <w:pPr>
              <w:widowControl/>
              <w:jc w:val="center"/>
              <w:textAlignment w:val="center"/>
              <w:rPr>
                <w:rFonts w:ascii="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vAlign w:val="center"/>
          </w:tcPr>
          <w:p>
            <w:pPr>
              <w:widowControl/>
              <w:jc w:val="center"/>
              <w:textAlignment w:val="center"/>
              <w:rPr>
                <w:rFonts w:ascii="宋体"/>
                <w:color w:val="000000"/>
                <w:kern w:val="0"/>
                <w:sz w:val="20"/>
                <w:szCs w:val="20"/>
              </w:rPr>
            </w:pPr>
          </w:p>
        </w:tc>
        <w:tc>
          <w:tcPr>
            <w:tcW w:w="426" w:type="dxa"/>
            <w:vAlign w:val="center"/>
          </w:tcPr>
          <w:p>
            <w:pPr>
              <w:widowControl/>
              <w:jc w:val="center"/>
              <w:textAlignment w:val="center"/>
              <w:rPr>
                <w:rFonts w:ascii="宋体"/>
                <w:color w:val="000000"/>
                <w:kern w:val="0"/>
                <w:sz w:val="20"/>
                <w:szCs w:val="20"/>
              </w:rPr>
            </w:pPr>
          </w:p>
        </w:tc>
        <w:tc>
          <w:tcPr>
            <w:tcW w:w="489" w:type="dxa"/>
            <w:vAlign w:val="center"/>
          </w:tcPr>
          <w:p>
            <w:pPr>
              <w:widowControl/>
              <w:jc w:val="center"/>
              <w:textAlignment w:val="center"/>
              <w:rPr>
                <w:rFonts w:ascii="宋体"/>
                <w:color w:val="000000"/>
                <w:kern w:val="0"/>
                <w:sz w:val="20"/>
                <w:szCs w:val="20"/>
              </w:rPr>
            </w:pPr>
          </w:p>
        </w:tc>
        <w:tc>
          <w:tcPr>
            <w:tcW w:w="1138" w:type="dxa"/>
            <w:vAlign w:val="center"/>
          </w:tcPr>
          <w:p>
            <w:pPr>
              <w:widowControl/>
              <w:jc w:val="center"/>
              <w:textAlignment w:val="center"/>
              <w:rPr>
                <w:rFonts w:ascii="宋体"/>
                <w:color w:val="000000"/>
                <w:kern w:val="0"/>
                <w:sz w:val="20"/>
                <w:szCs w:val="20"/>
              </w:rPr>
            </w:pPr>
          </w:p>
        </w:tc>
        <w:tc>
          <w:tcPr>
            <w:tcW w:w="970" w:type="dxa"/>
            <w:vAlign w:val="center"/>
          </w:tcPr>
          <w:p>
            <w:pPr>
              <w:widowControl/>
              <w:jc w:val="center"/>
              <w:textAlignment w:val="center"/>
              <w:rPr>
                <w:rFonts w:ascii="宋体"/>
                <w:color w:val="000000"/>
                <w:kern w:val="0"/>
                <w:sz w:val="20"/>
                <w:szCs w:val="20"/>
              </w:rPr>
            </w:pPr>
          </w:p>
        </w:tc>
        <w:tc>
          <w:tcPr>
            <w:tcW w:w="500" w:type="dxa"/>
            <w:vAlign w:val="center"/>
          </w:tcPr>
          <w:p>
            <w:pPr>
              <w:widowControl/>
              <w:jc w:val="center"/>
              <w:textAlignment w:val="center"/>
              <w:rPr>
                <w:rFonts w:ascii="宋体"/>
                <w:color w:val="000000"/>
                <w:kern w:val="0"/>
                <w:sz w:val="20"/>
                <w:szCs w:val="20"/>
              </w:rPr>
            </w:pPr>
          </w:p>
        </w:tc>
        <w:tc>
          <w:tcPr>
            <w:tcW w:w="591" w:type="dxa"/>
            <w:vAlign w:val="center"/>
          </w:tcPr>
          <w:p>
            <w:pPr>
              <w:widowControl/>
              <w:jc w:val="center"/>
              <w:textAlignment w:val="center"/>
              <w:rPr>
                <w:rFonts w:ascii="宋体"/>
                <w:color w:val="000000"/>
                <w:kern w:val="0"/>
                <w:sz w:val="20"/>
                <w:szCs w:val="20"/>
              </w:rPr>
            </w:pPr>
          </w:p>
        </w:tc>
        <w:tc>
          <w:tcPr>
            <w:tcW w:w="684" w:type="dxa"/>
            <w:vAlign w:val="center"/>
          </w:tcPr>
          <w:p>
            <w:pPr>
              <w:widowControl/>
              <w:jc w:val="center"/>
              <w:textAlignment w:val="center"/>
              <w:rPr>
                <w:rFonts w:ascii="宋体"/>
                <w:color w:val="000000"/>
                <w:kern w:val="0"/>
                <w:sz w:val="20"/>
                <w:szCs w:val="20"/>
              </w:rPr>
            </w:pPr>
          </w:p>
        </w:tc>
        <w:tc>
          <w:tcPr>
            <w:tcW w:w="456" w:type="dxa"/>
            <w:vAlign w:val="center"/>
          </w:tcPr>
          <w:p>
            <w:pPr>
              <w:widowControl/>
              <w:jc w:val="center"/>
              <w:textAlignment w:val="center"/>
              <w:rPr>
                <w:rFonts w:ascii="宋体"/>
                <w:color w:val="000000"/>
                <w:kern w:val="0"/>
                <w:sz w:val="20"/>
                <w:szCs w:val="20"/>
              </w:rPr>
            </w:pPr>
          </w:p>
        </w:tc>
        <w:tc>
          <w:tcPr>
            <w:tcW w:w="459" w:type="dxa"/>
            <w:gridSpan w:val="2"/>
            <w:vAlign w:val="center"/>
          </w:tcPr>
          <w:p>
            <w:pPr>
              <w:widowControl/>
              <w:jc w:val="center"/>
              <w:textAlignment w:val="center"/>
              <w:rPr>
                <w:rFonts w:ascii="宋体"/>
                <w:color w:val="000000"/>
                <w:kern w:val="0"/>
                <w:sz w:val="20"/>
                <w:szCs w:val="20"/>
              </w:rPr>
            </w:pPr>
          </w:p>
        </w:tc>
        <w:tc>
          <w:tcPr>
            <w:tcW w:w="578" w:type="dxa"/>
            <w:vAlign w:val="center"/>
          </w:tcPr>
          <w:p>
            <w:pPr>
              <w:widowControl/>
              <w:jc w:val="center"/>
              <w:textAlignment w:val="center"/>
              <w:rPr>
                <w:rFonts w:ascii="宋体"/>
                <w:color w:val="000000"/>
                <w:kern w:val="0"/>
                <w:sz w:val="20"/>
                <w:szCs w:val="20"/>
              </w:rPr>
            </w:pPr>
          </w:p>
        </w:tc>
        <w:tc>
          <w:tcPr>
            <w:tcW w:w="514" w:type="dxa"/>
            <w:vAlign w:val="center"/>
          </w:tcPr>
          <w:p>
            <w:pPr>
              <w:widowControl/>
              <w:jc w:val="center"/>
              <w:textAlignment w:val="center"/>
              <w:rPr>
                <w:rFonts w:ascii="宋体"/>
                <w:color w:val="000000"/>
                <w:kern w:val="0"/>
                <w:sz w:val="20"/>
                <w:szCs w:val="20"/>
              </w:rPr>
            </w:pPr>
          </w:p>
        </w:tc>
        <w:tc>
          <w:tcPr>
            <w:tcW w:w="578"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408" w:type="dxa"/>
          </w:tcPr>
          <w:p>
            <w:pPr>
              <w:widowControl/>
              <w:jc w:val="center"/>
              <w:textAlignment w:val="center"/>
              <w:rPr>
                <w:rFonts w:ascii="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vAlign w:val="center"/>
          </w:tcPr>
          <w:p>
            <w:pPr>
              <w:widowControl/>
              <w:jc w:val="center"/>
              <w:textAlignment w:val="center"/>
              <w:rPr>
                <w:rFonts w:ascii="宋体"/>
                <w:color w:val="000000"/>
                <w:kern w:val="0"/>
                <w:sz w:val="20"/>
                <w:szCs w:val="20"/>
              </w:rPr>
            </w:pPr>
          </w:p>
        </w:tc>
        <w:tc>
          <w:tcPr>
            <w:tcW w:w="426" w:type="dxa"/>
            <w:vAlign w:val="center"/>
          </w:tcPr>
          <w:p>
            <w:pPr>
              <w:widowControl/>
              <w:jc w:val="center"/>
              <w:textAlignment w:val="center"/>
              <w:rPr>
                <w:rFonts w:ascii="宋体"/>
                <w:color w:val="000000"/>
                <w:kern w:val="0"/>
                <w:sz w:val="20"/>
                <w:szCs w:val="20"/>
              </w:rPr>
            </w:pPr>
          </w:p>
        </w:tc>
        <w:tc>
          <w:tcPr>
            <w:tcW w:w="489" w:type="dxa"/>
            <w:vAlign w:val="center"/>
          </w:tcPr>
          <w:p>
            <w:pPr>
              <w:widowControl/>
              <w:jc w:val="center"/>
              <w:textAlignment w:val="center"/>
              <w:rPr>
                <w:rFonts w:ascii="宋体"/>
                <w:color w:val="000000"/>
                <w:kern w:val="0"/>
                <w:sz w:val="20"/>
                <w:szCs w:val="20"/>
              </w:rPr>
            </w:pPr>
          </w:p>
        </w:tc>
        <w:tc>
          <w:tcPr>
            <w:tcW w:w="1138" w:type="dxa"/>
            <w:vAlign w:val="center"/>
          </w:tcPr>
          <w:p>
            <w:pPr>
              <w:widowControl/>
              <w:jc w:val="center"/>
              <w:textAlignment w:val="center"/>
              <w:rPr>
                <w:rFonts w:ascii="宋体"/>
                <w:color w:val="000000"/>
                <w:kern w:val="0"/>
                <w:sz w:val="20"/>
                <w:szCs w:val="20"/>
              </w:rPr>
            </w:pPr>
          </w:p>
        </w:tc>
        <w:tc>
          <w:tcPr>
            <w:tcW w:w="970" w:type="dxa"/>
            <w:vAlign w:val="center"/>
          </w:tcPr>
          <w:p>
            <w:pPr>
              <w:widowControl/>
              <w:jc w:val="center"/>
              <w:textAlignment w:val="center"/>
              <w:rPr>
                <w:rFonts w:ascii="宋体"/>
                <w:color w:val="000000"/>
                <w:kern w:val="0"/>
                <w:sz w:val="20"/>
                <w:szCs w:val="20"/>
              </w:rPr>
            </w:pPr>
          </w:p>
        </w:tc>
        <w:tc>
          <w:tcPr>
            <w:tcW w:w="500" w:type="dxa"/>
            <w:vAlign w:val="center"/>
          </w:tcPr>
          <w:p>
            <w:pPr>
              <w:widowControl/>
              <w:jc w:val="center"/>
              <w:textAlignment w:val="center"/>
              <w:rPr>
                <w:rFonts w:ascii="宋体"/>
                <w:color w:val="000000"/>
                <w:kern w:val="0"/>
                <w:sz w:val="20"/>
                <w:szCs w:val="20"/>
              </w:rPr>
            </w:pPr>
          </w:p>
        </w:tc>
        <w:tc>
          <w:tcPr>
            <w:tcW w:w="591" w:type="dxa"/>
            <w:vAlign w:val="center"/>
          </w:tcPr>
          <w:p>
            <w:pPr>
              <w:widowControl/>
              <w:jc w:val="center"/>
              <w:textAlignment w:val="center"/>
              <w:rPr>
                <w:rFonts w:ascii="宋体"/>
                <w:color w:val="000000"/>
                <w:kern w:val="0"/>
                <w:sz w:val="20"/>
                <w:szCs w:val="20"/>
              </w:rPr>
            </w:pPr>
          </w:p>
        </w:tc>
        <w:tc>
          <w:tcPr>
            <w:tcW w:w="684" w:type="dxa"/>
            <w:vAlign w:val="center"/>
          </w:tcPr>
          <w:p>
            <w:pPr>
              <w:widowControl/>
              <w:jc w:val="center"/>
              <w:textAlignment w:val="center"/>
              <w:rPr>
                <w:rFonts w:ascii="宋体"/>
                <w:color w:val="000000"/>
                <w:kern w:val="0"/>
                <w:sz w:val="20"/>
                <w:szCs w:val="20"/>
              </w:rPr>
            </w:pPr>
          </w:p>
        </w:tc>
        <w:tc>
          <w:tcPr>
            <w:tcW w:w="456" w:type="dxa"/>
            <w:vAlign w:val="center"/>
          </w:tcPr>
          <w:p>
            <w:pPr>
              <w:widowControl/>
              <w:jc w:val="center"/>
              <w:textAlignment w:val="center"/>
              <w:rPr>
                <w:rFonts w:ascii="宋体"/>
                <w:color w:val="000000"/>
                <w:kern w:val="0"/>
                <w:sz w:val="20"/>
                <w:szCs w:val="20"/>
              </w:rPr>
            </w:pPr>
          </w:p>
        </w:tc>
        <w:tc>
          <w:tcPr>
            <w:tcW w:w="459" w:type="dxa"/>
            <w:gridSpan w:val="2"/>
            <w:vAlign w:val="center"/>
          </w:tcPr>
          <w:p>
            <w:pPr>
              <w:widowControl/>
              <w:jc w:val="center"/>
              <w:textAlignment w:val="center"/>
              <w:rPr>
                <w:rFonts w:ascii="宋体"/>
                <w:color w:val="000000"/>
                <w:kern w:val="0"/>
                <w:sz w:val="20"/>
                <w:szCs w:val="20"/>
              </w:rPr>
            </w:pPr>
          </w:p>
        </w:tc>
        <w:tc>
          <w:tcPr>
            <w:tcW w:w="578" w:type="dxa"/>
            <w:vAlign w:val="center"/>
          </w:tcPr>
          <w:p>
            <w:pPr>
              <w:widowControl/>
              <w:jc w:val="center"/>
              <w:textAlignment w:val="center"/>
              <w:rPr>
                <w:rFonts w:ascii="宋体"/>
                <w:color w:val="000000"/>
                <w:kern w:val="0"/>
                <w:sz w:val="20"/>
                <w:szCs w:val="20"/>
              </w:rPr>
            </w:pPr>
          </w:p>
        </w:tc>
        <w:tc>
          <w:tcPr>
            <w:tcW w:w="514" w:type="dxa"/>
          </w:tcPr>
          <w:p>
            <w:pPr>
              <w:widowControl/>
              <w:jc w:val="center"/>
              <w:textAlignment w:val="center"/>
              <w:rPr>
                <w:rFonts w:ascii="宋体"/>
                <w:color w:val="000000"/>
                <w:kern w:val="0"/>
                <w:sz w:val="20"/>
                <w:szCs w:val="20"/>
              </w:rPr>
            </w:pPr>
          </w:p>
        </w:tc>
        <w:tc>
          <w:tcPr>
            <w:tcW w:w="578"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408" w:type="dxa"/>
          </w:tcPr>
          <w:p>
            <w:pPr>
              <w:widowControl/>
              <w:jc w:val="center"/>
              <w:textAlignment w:val="center"/>
              <w:rPr>
                <w:rFonts w:ascii="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vAlign w:val="center"/>
          </w:tcPr>
          <w:p>
            <w:pPr>
              <w:widowControl/>
              <w:jc w:val="center"/>
              <w:textAlignment w:val="center"/>
              <w:rPr>
                <w:rFonts w:ascii="宋体"/>
                <w:color w:val="000000"/>
                <w:kern w:val="0"/>
                <w:sz w:val="20"/>
                <w:szCs w:val="20"/>
              </w:rPr>
            </w:pPr>
          </w:p>
        </w:tc>
        <w:tc>
          <w:tcPr>
            <w:tcW w:w="426" w:type="dxa"/>
            <w:vAlign w:val="center"/>
          </w:tcPr>
          <w:p>
            <w:pPr>
              <w:widowControl/>
              <w:jc w:val="center"/>
              <w:textAlignment w:val="center"/>
              <w:rPr>
                <w:rFonts w:ascii="宋体"/>
                <w:color w:val="000000"/>
                <w:kern w:val="0"/>
                <w:sz w:val="20"/>
                <w:szCs w:val="20"/>
              </w:rPr>
            </w:pPr>
          </w:p>
        </w:tc>
        <w:tc>
          <w:tcPr>
            <w:tcW w:w="489" w:type="dxa"/>
            <w:vAlign w:val="center"/>
          </w:tcPr>
          <w:p>
            <w:pPr>
              <w:widowControl/>
              <w:jc w:val="center"/>
              <w:textAlignment w:val="center"/>
              <w:rPr>
                <w:rFonts w:ascii="宋体"/>
                <w:color w:val="000000"/>
                <w:kern w:val="0"/>
                <w:sz w:val="20"/>
                <w:szCs w:val="20"/>
              </w:rPr>
            </w:pPr>
          </w:p>
        </w:tc>
        <w:tc>
          <w:tcPr>
            <w:tcW w:w="1138" w:type="dxa"/>
            <w:vAlign w:val="center"/>
          </w:tcPr>
          <w:p>
            <w:pPr>
              <w:widowControl/>
              <w:jc w:val="center"/>
              <w:textAlignment w:val="center"/>
              <w:rPr>
                <w:rFonts w:ascii="宋体"/>
                <w:color w:val="000000"/>
                <w:kern w:val="0"/>
                <w:sz w:val="20"/>
                <w:szCs w:val="20"/>
              </w:rPr>
            </w:pPr>
          </w:p>
        </w:tc>
        <w:tc>
          <w:tcPr>
            <w:tcW w:w="970" w:type="dxa"/>
            <w:vAlign w:val="center"/>
          </w:tcPr>
          <w:p>
            <w:pPr>
              <w:widowControl/>
              <w:jc w:val="center"/>
              <w:textAlignment w:val="center"/>
              <w:rPr>
                <w:rFonts w:ascii="宋体"/>
                <w:color w:val="000000"/>
                <w:kern w:val="0"/>
                <w:sz w:val="20"/>
                <w:szCs w:val="20"/>
              </w:rPr>
            </w:pPr>
          </w:p>
        </w:tc>
        <w:tc>
          <w:tcPr>
            <w:tcW w:w="500" w:type="dxa"/>
            <w:vAlign w:val="center"/>
          </w:tcPr>
          <w:p>
            <w:pPr>
              <w:widowControl/>
              <w:jc w:val="center"/>
              <w:textAlignment w:val="center"/>
              <w:rPr>
                <w:rFonts w:ascii="宋体"/>
                <w:color w:val="000000"/>
                <w:kern w:val="0"/>
                <w:sz w:val="20"/>
                <w:szCs w:val="20"/>
              </w:rPr>
            </w:pPr>
          </w:p>
        </w:tc>
        <w:tc>
          <w:tcPr>
            <w:tcW w:w="591" w:type="dxa"/>
            <w:vAlign w:val="center"/>
          </w:tcPr>
          <w:p>
            <w:pPr>
              <w:widowControl/>
              <w:jc w:val="center"/>
              <w:textAlignment w:val="center"/>
              <w:rPr>
                <w:rFonts w:ascii="宋体"/>
                <w:color w:val="000000"/>
                <w:kern w:val="0"/>
                <w:sz w:val="20"/>
                <w:szCs w:val="20"/>
              </w:rPr>
            </w:pPr>
          </w:p>
        </w:tc>
        <w:tc>
          <w:tcPr>
            <w:tcW w:w="684" w:type="dxa"/>
            <w:vAlign w:val="center"/>
          </w:tcPr>
          <w:p>
            <w:pPr>
              <w:widowControl/>
              <w:jc w:val="center"/>
              <w:textAlignment w:val="center"/>
              <w:rPr>
                <w:rFonts w:ascii="宋体"/>
                <w:color w:val="000000"/>
                <w:kern w:val="0"/>
                <w:sz w:val="20"/>
                <w:szCs w:val="20"/>
              </w:rPr>
            </w:pPr>
          </w:p>
        </w:tc>
        <w:tc>
          <w:tcPr>
            <w:tcW w:w="456" w:type="dxa"/>
            <w:vAlign w:val="center"/>
          </w:tcPr>
          <w:p>
            <w:pPr>
              <w:widowControl/>
              <w:jc w:val="center"/>
              <w:textAlignment w:val="center"/>
              <w:rPr>
                <w:rFonts w:ascii="宋体"/>
                <w:color w:val="000000"/>
                <w:kern w:val="0"/>
                <w:sz w:val="20"/>
                <w:szCs w:val="20"/>
              </w:rPr>
            </w:pPr>
          </w:p>
        </w:tc>
        <w:tc>
          <w:tcPr>
            <w:tcW w:w="459" w:type="dxa"/>
            <w:gridSpan w:val="2"/>
            <w:vAlign w:val="center"/>
          </w:tcPr>
          <w:p>
            <w:pPr>
              <w:widowControl/>
              <w:jc w:val="center"/>
              <w:textAlignment w:val="center"/>
              <w:rPr>
                <w:rFonts w:ascii="宋体"/>
                <w:color w:val="000000"/>
                <w:kern w:val="0"/>
                <w:sz w:val="20"/>
                <w:szCs w:val="20"/>
              </w:rPr>
            </w:pPr>
          </w:p>
        </w:tc>
        <w:tc>
          <w:tcPr>
            <w:tcW w:w="578" w:type="dxa"/>
            <w:vAlign w:val="center"/>
          </w:tcPr>
          <w:p>
            <w:pPr>
              <w:widowControl/>
              <w:jc w:val="center"/>
              <w:textAlignment w:val="center"/>
              <w:rPr>
                <w:rFonts w:ascii="宋体"/>
                <w:color w:val="000000"/>
                <w:kern w:val="0"/>
                <w:sz w:val="20"/>
                <w:szCs w:val="20"/>
              </w:rPr>
            </w:pPr>
          </w:p>
        </w:tc>
        <w:tc>
          <w:tcPr>
            <w:tcW w:w="514" w:type="dxa"/>
          </w:tcPr>
          <w:p>
            <w:pPr>
              <w:widowControl/>
              <w:jc w:val="center"/>
              <w:textAlignment w:val="center"/>
              <w:rPr>
                <w:rFonts w:ascii="宋体"/>
                <w:color w:val="000000"/>
                <w:kern w:val="0"/>
                <w:sz w:val="20"/>
                <w:szCs w:val="20"/>
              </w:rPr>
            </w:pPr>
          </w:p>
        </w:tc>
        <w:tc>
          <w:tcPr>
            <w:tcW w:w="578"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408" w:type="dxa"/>
          </w:tcPr>
          <w:p>
            <w:pPr>
              <w:widowControl/>
              <w:jc w:val="center"/>
              <w:textAlignment w:val="center"/>
              <w:rPr>
                <w:rFonts w:ascii="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vAlign w:val="center"/>
          </w:tcPr>
          <w:p>
            <w:pPr>
              <w:widowControl/>
              <w:jc w:val="center"/>
              <w:textAlignment w:val="center"/>
              <w:rPr>
                <w:rFonts w:ascii="宋体"/>
                <w:color w:val="000000"/>
                <w:kern w:val="0"/>
                <w:sz w:val="20"/>
                <w:szCs w:val="20"/>
              </w:rPr>
            </w:pPr>
          </w:p>
        </w:tc>
        <w:tc>
          <w:tcPr>
            <w:tcW w:w="426" w:type="dxa"/>
            <w:vAlign w:val="center"/>
          </w:tcPr>
          <w:p>
            <w:pPr>
              <w:widowControl/>
              <w:jc w:val="center"/>
              <w:textAlignment w:val="center"/>
              <w:rPr>
                <w:rFonts w:ascii="宋体"/>
                <w:color w:val="000000"/>
                <w:kern w:val="0"/>
                <w:sz w:val="20"/>
                <w:szCs w:val="20"/>
              </w:rPr>
            </w:pPr>
          </w:p>
        </w:tc>
        <w:tc>
          <w:tcPr>
            <w:tcW w:w="489" w:type="dxa"/>
            <w:vAlign w:val="center"/>
          </w:tcPr>
          <w:p>
            <w:pPr>
              <w:widowControl/>
              <w:jc w:val="center"/>
              <w:textAlignment w:val="center"/>
              <w:rPr>
                <w:rFonts w:ascii="宋体"/>
                <w:color w:val="000000"/>
                <w:kern w:val="0"/>
                <w:sz w:val="20"/>
                <w:szCs w:val="20"/>
              </w:rPr>
            </w:pPr>
          </w:p>
        </w:tc>
        <w:tc>
          <w:tcPr>
            <w:tcW w:w="1138" w:type="dxa"/>
            <w:vAlign w:val="center"/>
          </w:tcPr>
          <w:p>
            <w:pPr>
              <w:widowControl/>
              <w:jc w:val="center"/>
              <w:textAlignment w:val="center"/>
              <w:rPr>
                <w:rFonts w:ascii="宋体"/>
                <w:color w:val="000000"/>
                <w:kern w:val="0"/>
                <w:sz w:val="20"/>
                <w:szCs w:val="20"/>
              </w:rPr>
            </w:pPr>
          </w:p>
        </w:tc>
        <w:tc>
          <w:tcPr>
            <w:tcW w:w="970" w:type="dxa"/>
            <w:vAlign w:val="center"/>
          </w:tcPr>
          <w:p>
            <w:pPr>
              <w:widowControl/>
              <w:jc w:val="center"/>
              <w:textAlignment w:val="center"/>
              <w:rPr>
                <w:rFonts w:ascii="宋体"/>
                <w:color w:val="000000"/>
                <w:kern w:val="0"/>
                <w:sz w:val="20"/>
                <w:szCs w:val="20"/>
              </w:rPr>
            </w:pPr>
          </w:p>
        </w:tc>
        <w:tc>
          <w:tcPr>
            <w:tcW w:w="500" w:type="dxa"/>
            <w:vAlign w:val="center"/>
          </w:tcPr>
          <w:p>
            <w:pPr>
              <w:widowControl/>
              <w:jc w:val="center"/>
              <w:textAlignment w:val="center"/>
              <w:rPr>
                <w:rFonts w:ascii="宋体"/>
                <w:color w:val="000000"/>
                <w:kern w:val="0"/>
                <w:sz w:val="20"/>
                <w:szCs w:val="20"/>
              </w:rPr>
            </w:pPr>
          </w:p>
        </w:tc>
        <w:tc>
          <w:tcPr>
            <w:tcW w:w="591" w:type="dxa"/>
            <w:vAlign w:val="center"/>
          </w:tcPr>
          <w:p>
            <w:pPr>
              <w:widowControl/>
              <w:jc w:val="center"/>
              <w:textAlignment w:val="center"/>
              <w:rPr>
                <w:rFonts w:ascii="宋体"/>
                <w:color w:val="000000"/>
                <w:kern w:val="0"/>
                <w:sz w:val="20"/>
                <w:szCs w:val="20"/>
              </w:rPr>
            </w:pPr>
          </w:p>
        </w:tc>
        <w:tc>
          <w:tcPr>
            <w:tcW w:w="684" w:type="dxa"/>
            <w:vAlign w:val="center"/>
          </w:tcPr>
          <w:p>
            <w:pPr>
              <w:widowControl/>
              <w:jc w:val="center"/>
              <w:textAlignment w:val="center"/>
              <w:rPr>
                <w:rFonts w:ascii="宋体"/>
                <w:color w:val="000000"/>
                <w:kern w:val="0"/>
                <w:sz w:val="20"/>
                <w:szCs w:val="20"/>
              </w:rPr>
            </w:pPr>
          </w:p>
        </w:tc>
        <w:tc>
          <w:tcPr>
            <w:tcW w:w="456" w:type="dxa"/>
            <w:vAlign w:val="center"/>
          </w:tcPr>
          <w:p>
            <w:pPr>
              <w:widowControl/>
              <w:jc w:val="center"/>
              <w:textAlignment w:val="center"/>
              <w:rPr>
                <w:rFonts w:ascii="宋体"/>
                <w:color w:val="000000"/>
                <w:kern w:val="0"/>
                <w:sz w:val="20"/>
                <w:szCs w:val="20"/>
              </w:rPr>
            </w:pPr>
          </w:p>
        </w:tc>
        <w:tc>
          <w:tcPr>
            <w:tcW w:w="459" w:type="dxa"/>
            <w:gridSpan w:val="2"/>
            <w:vAlign w:val="center"/>
          </w:tcPr>
          <w:p>
            <w:pPr>
              <w:widowControl/>
              <w:jc w:val="center"/>
              <w:textAlignment w:val="center"/>
              <w:rPr>
                <w:rFonts w:ascii="宋体"/>
                <w:color w:val="000000"/>
                <w:kern w:val="0"/>
                <w:sz w:val="20"/>
                <w:szCs w:val="20"/>
              </w:rPr>
            </w:pPr>
          </w:p>
        </w:tc>
        <w:tc>
          <w:tcPr>
            <w:tcW w:w="578" w:type="dxa"/>
            <w:vAlign w:val="center"/>
          </w:tcPr>
          <w:p>
            <w:pPr>
              <w:widowControl/>
              <w:jc w:val="center"/>
              <w:textAlignment w:val="center"/>
              <w:rPr>
                <w:rFonts w:ascii="宋体"/>
                <w:color w:val="000000"/>
                <w:kern w:val="0"/>
                <w:sz w:val="20"/>
                <w:szCs w:val="20"/>
              </w:rPr>
            </w:pPr>
          </w:p>
        </w:tc>
        <w:tc>
          <w:tcPr>
            <w:tcW w:w="514" w:type="dxa"/>
          </w:tcPr>
          <w:p>
            <w:pPr>
              <w:widowControl/>
              <w:jc w:val="center"/>
              <w:textAlignment w:val="center"/>
              <w:rPr>
                <w:rFonts w:ascii="宋体"/>
                <w:color w:val="000000"/>
                <w:kern w:val="0"/>
                <w:sz w:val="20"/>
                <w:szCs w:val="20"/>
              </w:rPr>
            </w:pPr>
          </w:p>
        </w:tc>
        <w:tc>
          <w:tcPr>
            <w:tcW w:w="578"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408" w:type="dxa"/>
          </w:tcPr>
          <w:p>
            <w:pPr>
              <w:widowControl/>
              <w:jc w:val="center"/>
              <w:textAlignment w:val="center"/>
              <w:rPr>
                <w:rFonts w:ascii="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vAlign w:val="center"/>
          </w:tcPr>
          <w:p>
            <w:pPr>
              <w:widowControl/>
              <w:jc w:val="center"/>
              <w:textAlignment w:val="center"/>
              <w:rPr>
                <w:rFonts w:ascii="宋体"/>
                <w:color w:val="000000"/>
                <w:kern w:val="0"/>
                <w:sz w:val="20"/>
                <w:szCs w:val="20"/>
              </w:rPr>
            </w:pPr>
          </w:p>
        </w:tc>
        <w:tc>
          <w:tcPr>
            <w:tcW w:w="426" w:type="dxa"/>
            <w:vAlign w:val="center"/>
          </w:tcPr>
          <w:p>
            <w:pPr>
              <w:widowControl/>
              <w:jc w:val="center"/>
              <w:textAlignment w:val="center"/>
              <w:rPr>
                <w:rFonts w:ascii="宋体"/>
                <w:color w:val="000000"/>
                <w:kern w:val="0"/>
                <w:sz w:val="20"/>
                <w:szCs w:val="20"/>
              </w:rPr>
            </w:pPr>
          </w:p>
        </w:tc>
        <w:tc>
          <w:tcPr>
            <w:tcW w:w="489" w:type="dxa"/>
            <w:vAlign w:val="center"/>
          </w:tcPr>
          <w:p>
            <w:pPr>
              <w:widowControl/>
              <w:jc w:val="center"/>
              <w:textAlignment w:val="center"/>
              <w:rPr>
                <w:rFonts w:ascii="宋体"/>
                <w:color w:val="000000"/>
                <w:kern w:val="0"/>
                <w:sz w:val="20"/>
                <w:szCs w:val="20"/>
              </w:rPr>
            </w:pPr>
          </w:p>
        </w:tc>
        <w:tc>
          <w:tcPr>
            <w:tcW w:w="1138" w:type="dxa"/>
            <w:vAlign w:val="center"/>
          </w:tcPr>
          <w:p>
            <w:pPr>
              <w:widowControl/>
              <w:jc w:val="center"/>
              <w:textAlignment w:val="center"/>
              <w:rPr>
                <w:rFonts w:ascii="宋体"/>
                <w:color w:val="000000"/>
                <w:kern w:val="0"/>
                <w:sz w:val="20"/>
                <w:szCs w:val="20"/>
              </w:rPr>
            </w:pPr>
          </w:p>
        </w:tc>
        <w:tc>
          <w:tcPr>
            <w:tcW w:w="970" w:type="dxa"/>
            <w:vAlign w:val="center"/>
          </w:tcPr>
          <w:p>
            <w:pPr>
              <w:widowControl/>
              <w:jc w:val="center"/>
              <w:textAlignment w:val="center"/>
              <w:rPr>
                <w:rFonts w:ascii="宋体"/>
                <w:color w:val="000000"/>
                <w:kern w:val="0"/>
                <w:sz w:val="20"/>
                <w:szCs w:val="20"/>
              </w:rPr>
            </w:pPr>
          </w:p>
        </w:tc>
        <w:tc>
          <w:tcPr>
            <w:tcW w:w="500" w:type="dxa"/>
            <w:vAlign w:val="center"/>
          </w:tcPr>
          <w:p>
            <w:pPr>
              <w:widowControl/>
              <w:jc w:val="center"/>
              <w:textAlignment w:val="center"/>
              <w:rPr>
                <w:rFonts w:ascii="宋体"/>
                <w:color w:val="000000"/>
                <w:kern w:val="0"/>
                <w:sz w:val="20"/>
                <w:szCs w:val="20"/>
              </w:rPr>
            </w:pPr>
          </w:p>
        </w:tc>
        <w:tc>
          <w:tcPr>
            <w:tcW w:w="591" w:type="dxa"/>
            <w:vAlign w:val="center"/>
          </w:tcPr>
          <w:p>
            <w:pPr>
              <w:widowControl/>
              <w:jc w:val="center"/>
              <w:textAlignment w:val="center"/>
              <w:rPr>
                <w:rFonts w:ascii="宋体"/>
                <w:color w:val="000000"/>
                <w:kern w:val="0"/>
                <w:sz w:val="20"/>
                <w:szCs w:val="20"/>
              </w:rPr>
            </w:pPr>
          </w:p>
        </w:tc>
        <w:tc>
          <w:tcPr>
            <w:tcW w:w="684" w:type="dxa"/>
            <w:vAlign w:val="center"/>
          </w:tcPr>
          <w:p>
            <w:pPr>
              <w:widowControl/>
              <w:jc w:val="center"/>
              <w:textAlignment w:val="center"/>
              <w:rPr>
                <w:rFonts w:ascii="宋体"/>
                <w:color w:val="000000"/>
                <w:kern w:val="0"/>
                <w:sz w:val="20"/>
                <w:szCs w:val="20"/>
              </w:rPr>
            </w:pPr>
          </w:p>
        </w:tc>
        <w:tc>
          <w:tcPr>
            <w:tcW w:w="456" w:type="dxa"/>
            <w:vAlign w:val="center"/>
          </w:tcPr>
          <w:p>
            <w:pPr>
              <w:widowControl/>
              <w:jc w:val="center"/>
              <w:textAlignment w:val="center"/>
              <w:rPr>
                <w:rFonts w:ascii="宋体"/>
                <w:color w:val="000000"/>
                <w:kern w:val="0"/>
                <w:sz w:val="20"/>
                <w:szCs w:val="20"/>
              </w:rPr>
            </w:pPr>
          </w:p>
        </w:tc>
        <w:tc>
          <w:tcPr>
            <w:tcW w:w="459" w:type="dxa"/>
            <w:gridSpan w:val="2"/>
            <w:vAlign w:val="center"/>
          </w:tcPr>
          <w:p>
            <w:pPr>
              <w:widowControl/>
              <w:jc w:val="center"/>
              <w:textAlignment w:val="center"/>
              <w:rPr>
                <w:rFonts w:ascii="宋体"/>
                <w:color w:val="000000"/>
                <w:kern w:val="0"/>
                <w:sz w:val="20"/>
                <w:szCs w:val="20"/>
              </w:rPr>
            </w:pPr>
          </w:p>
        </w:tc>
        <w:tc>
          <w:tcPr>
            <w:tcW w:w="578" w:type="dxa"/>
            <w:vAlign w:val="center"/>
          </w:tcPr>
          <w:p>
            <w:pPr>
              <w:widowControl/>
              <w:jc w:val="center"/>
              <w:textAlignment w:val="center"/>
              <w:rPr>
                <w:rFonts w:ascii="宋体"/>
                <w:color w:val="000000"/>
                <w:kern w:val="0"/>
                <w:sz w:val="20"/>
                <w:szCs w:val="20"/>
              </w:rPr>
            </w:pPr>
          </w:p>
        </w:tc>
        <w:tc>
          <w:tcPr>
            <w:tcW w:w="514" w:type="dxa"/>
            <w:vAlign w:val="center"/>
          </w:tcPr>
          <w:p>
            <w:pPr>
              <w:widowControl/>
              <w:jc w:val="center"/>
              <w:textAlignment w:val="center"/>
              <w:rPr>
                <w:rFonts w:ascii="宋体"/>
                <w:color w:val="000000"/>
                <w:kern w:val="0"/>
                <w:sz w:val="20"/>
                <w:szCs w:val="20"/>
              </w:rPr>
            </w:pPr>
          </w:p>
        </w:tc>
        <w:tc>
          <w:tcPr>
            <w:tcW w:w="578"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397" w:type="dxa"/>
          </w:tcPr>
          <w:p>
            <w:pPr>
              <w:widowControl/>
              <w:jc w:val="center"/>
              <w:textAlignment w:val="center"/>
              <w:rPr>
                <w:rFonts w:ascii="宋体"/>
                <w:color w:val="000000"/>
                <w:kern w:val="0"/>
                <w:sz w:val="20"/>
                <w:szCs w:val="20"/>
              </w:rPr>
            </w:pPr>
          </w:p>
        </w:tc>
        <w:tc>
          <w:tcPr>
            <w:tcW w:w="408" w:type="dxa"/>
          </w:tcPr>
          <w:p>
            <w:pPr>
              <w:widowControl/>
              <w:jc w:val="center"/>
              <w:textAlignment w:val="center"/>
              <w:rPr>
                <w:rFonts w:ascii="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vAlign w:val="center"/>
          </w:tcPr>
          <w:p>
            <w:pPr>
              <w:widowControl/>
              <w:jc w:val="center"/>
              <w:textAlignment w:val="center"/>
              <w:rPr>
                <w:rFonts w:ascii="仿宋_GB2312" w:hAnsi="宋体" w:eastAsia="仿宋_GB2312"/>
                <w:kern w:val="0"/>
                <w:sz w:val="32"/>
                <w:szCs w:val="32"/>
              </w:rPr>
            </w:pPr>
          </w:p>
        </w:tc>
        <w:tc>
          <w:tcPr>
            <w:tcW w:w="426" w:type="dxa"/>
            <w:vAlign w:val="center"/>
          </w:tcPr>
          <w:p>
            <w:pPr>
              <w:jc w:val="center"/>
              <w:rPr>
                <w:rFonts w:ascii="仿宋_GB2312" w:hAnsi="宋体" w:eastAsia="仿宋_GB2312"/>
                <w:kern w:val="0"/>
                <w:sz w:val="32"/>
                <w:szCs w:val="32"/>
              </w:rPr>
            </w:pPr>
          </w:p>
        </w:tc>
        <w:tc>
          <w:tcPr>
            <w:tcW w:w="489" w:type="dxa"/>
            <w:vAlign w:val="center"/>
          </w:tcPr>
          <w:p>
            <w:pPr>
              <w:jc w:val="center"/>
              <w:rPr>
                <w:rFonts w:ascii="仿宋_GB2312" w:hAnsi="宋体" w:eastAsia="仿宋_GB2312"/>
                <w:kern w:val="0"/>
                <w:sz w:val="32"/>
                <w:szCs w:val="32"/>
              </w:rPr>
            </w:pPr>
          </w:p>
        </w:tc>
        <w:tc>
          <w:tcPr>
            <w:tcW w:w="1138" w:type="dxa"/>
            <w:vAlign w:val="center"/>
          </w:tcPr>
          <w:p>
            <w:pPr>
              <w:widowControl/>
              <w:jc w:val="left"/>
              <w:textAlignment w:val="center"/>
              <w:rPr>
                <w:rFonts w:ascii="仿宋_GB2312" w:hAnsi="宋体" w:eastAsia="仿宋_GB2312"/>
                <w:kern w:val="0"/>
                <w:sz w:val="32"/>
                <w:szCs w:val="32"/>
              </w:rPr>
            </w:pPr>
          </w:p>
        </w:tc>
        <w:tc>
          <w:tcPr>
            <w:tcW w:w="970" w:type="dxa"/>
            <w:vAlign w:val="center"/>
          </w:tcPr>
          <w:p>
            <w:pPr>
              <w:jc w:val="left"/>
              <w:rPr>
                <w:rFonts w:ascii="仿宋_GB2312" w:hAnsi="宋体" w:eastAsia="仿宋_GB2312"/>
                <w:kern w:val="0"/>
                <w:sz w:val="32"/>
                <w:szCs w:val="32"/>
              </w:rPr>
            </w:pPr>
          </w:p>
        </w:tc>
        <w:tc>
          <w:tcPr>
            <w:tcW w:w="500" w:type="dxa"/>
            <w:vAlign w:val="center"/>
          </w:tcPr>
          <w:p>
            <w:pPr>
              <w:widowControl/>
              <w:jc w:val="right"/>
              <w:textAlignment w:val="center"/>
              <w:rPr>
                <w:rFonts w:ascii="仿宋_GB2312" w:hAnsi="宋体" w:eastAsia="仿宋_GB2312"/>
                <w:kern w:val="0"/>
                <w:sz w:val="32"/>
                <w:szCs w:val="32"/>
              </w:rPr>
            </w:pPr>
          </w:p>
        </w:tc>
        <w:tc>
          <w:tcPr>
            <w:tcW w:w="591" w:type="dxa"/>
            <w:vAlign w:val="center"/>
          </w:tcPr>
          <w:p>
            <w:pPr>
              <w:widowControl/>
              <w:jc w:val="right"/>
              <w:textAlignment w:val="center"/>
              <w:rPr>
                <w:rFonts w:ascii="仿宋_GB2312" w:hAnsi="宋体" w:eastAsia="仿宋_GB2312"/>
                <w:kern w:val="0"/>
                <w:sz w:val="32"/>
                <w:szCs w:val="32"/>
              </w:rPr>
            </w:pPr>
          </w:p>
        </w:tc>
        <w:tc>
          <w:tcPr>
            <w:tcW w:w="684" w:type="dxa"/>
            <w:vAlign w:val="center"/>
          </w:tcPr>
          <w:p>
            <w:pPr>
              <w:widowControl/>
              <w:jc w:val="right"/>
              <w:textAlignment w:val="center"/>
              <w:rPr>
                <w:rFonts w:ascii="仿宋_GB2312" w:hAnsi="宋体" w:eastAsia="仿宋_GB2312"/>
                <w:kern w:val="0"/>
                <w:sz w:val="32"/>
                <w:szCs w:val="32"/>
              </w:rPr>
            </w:pPr>
          </w:p>
        </w:tc>
        <w:tc>
          <w:tcPr>
            <w:tcW w:w="456" w:type="dxa"/>
            <w:vAlign w:val="center"/>
          </w:tcPr>
          <w:p>
            <w:pPr>
              <w:widowControl/>
              <w:jc w:val="right"/>
              <w:textAlignment w:val="center"/>
              <w:rPr>
                <w:rFonts w:ascii="仿宋_GB2312" w:hAnsi="宋体" w:eastAsia="仿宋_GB2312"/>
                <w:kern w:val="0"/>
                <w:sz w:val="32"/>
                <w:szCs w:val="32"/>
              </w:rPr>
            </w:pPr>
          </w:p>
        </w:tc>
        <w:tc>
          <w:tcPr>
            <w:tcW w:w="459" w:type="dxa"/>
            <w:gridSpan w:val="2"/>
            <w:vAlign w:val="center"/>
          </w:tcPr>
          <w:p>
            <w:pPr>
              <w:jc w:val="right"/>
              <w:rPr>
                <w:rFonts w:ascii="仿宋_GB2312" w:hAnsi="宋体" w:eastAsia="仿宋_GB2312"/>
                <w:kern w:val="0"/>
                <w:sz w:val="32"/>
                <w:szCs w:val="32"/>
              </w:rPr>
            </w:pPr>
          </w:p>
        </w:tc>
        <w:tc>
          <w:tcPr>
            <w:tcW w:w="578" w:type="dxa"/>
            <w:vAlign w:val="center"/>
          </w:tcPr>
          <w:p>
            <w:pPr>
              <w:jc w:val="right"/>
              <w:rPr>
                <w:rFonts w:ascii="仿宋_GB2312" w:hAnsi="宋体" w:eastAsia="仿宋_GB2312"/>
                <w:kern w:val="0"/>
                <w:sz w:val="32"/>
                <w:szCs w:val="32"/>
              </w:rPr>
            </w:pPr>
          </w:p>
        </w:tc>
        <w:tc>
          <w:tcPr>
            <w:tcW w:w="514" w:type="dxa"/>
            <w:vAlign w:val="center"/>
          </w:tcPr>
          <w:p>
            <w:pPr>
              <w:jc w:val="right"/>
              <w:rPr>
                <w:rFonts w:ascii="仿宋_GB2312" w:hAnsi="宋体" w:eastAsia="仿宋_GB2312"/>
                <w:kern w:val="0"/>
                <w:sz w:val="32"/>
                <w:szCs w:val="32"/>
              </w:rPr>
            </w:pPr>
          </w:p>
        </w:tc>
        <w:tc>
          <w:tcPr>
            <w:tcW w:w="578" w:type="dxa"/>
          </w:tcPr>
          <w:p>
            <w:pPr>
              <w:widowControl/>
              <w:jc w:val="left"/>
              <w:outlineLvl w:val="1"/>
              <w:rPr>
                <w:rFonts w:ascii="仿宋_GB2312" w:hAnsi="宋体" w:eastAsia="仿宋_GB2312"/>
                <w:kern w:val="0"/>
                <w:sz w:val="32"/>
                <w:szCs w:val="32"/>
              </w:rPr>
            </w:pPr>
          </w:p>
        </w:tc>
        <w:tc>
          <w:tcPr>
            <w:tcW w:w="397" w:type="dxa"/>
          </w:tcPr>
          <w:p>
            <w:pPr>
              <w:widowControl/>
              <w:jc w:val="left"/>
              <w:outlineLvl w:val="1"/>
              <w:rPr>
                <w:rFonts w:ascii="仿宋_GB2312" w:hAnsi="宋体" w:eastAsia="仿宋_GB2312"/>
                <w:kern w:val="0"/>
                <w:sz w:val="32"/>
                <w:szCs w:val="32"/>
              </w:rPr>
            </w:pPr>
          </w:p>
        </w:tc>
        <w:tc>
          <w:tcPr>
            <w:tcW w:w="397" w:type="dxa"/>
          </w:tcPr>
          <w:p>
            <w:pPr>
              <w:widowControl/>
              <w:jc w:val="left"/>
              <w:outlineLvl w:val="1"/>
              <w:rPr>
                <w:rFonts w:ascii="仿宋_GB2312" w:hAnsi="宋体" w:eastAsia="仿宋_GB2312"/>
                <w:kern w:val="0"/>
                <w:sz w:val="32"/>
                <w:szCs w:val="32"/>
              </w:rPr>
            </w:pPr>
          </w:p>
        </w:tc>
        <w:tc>
          <w:tcPr>
            <w:tcW w:w="408" w:type="dxa"/>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vAlign w:val="center"/>
          </w:tcPr>
          <w:p>
            <w:pPr>
              <w:jc w:val="center"/>
              <w:rPr>
                <w:rFonts w:ascii="仿宋_GB2312" w:hAnsi="宋体" w:eastAsia="仿宋_GB2312"/>
                <w:kern w:val="0"/>
                <w:sz w:val="32"/>
                <w:szCs w:val="32"/>
              </w:rPr>
            </w:pPr>
          </w:p>
        </w:tc>
        <w:tc>
          <w:tcPr>
            <w:tcW w:w="426" w:type="dxa"/>
            <w:vAlign w:val="center"/>
          </w:tcPr>
          <w:p>
            <w:pPr>
              <w:widowControl/>
              <w:jc w:val="center"/>
              <w:textAlignment w:val="center"/>
              <w:rPr>
                <w:rFonts w:ascii="仿宋_GB2312" w:hAnsi="宋体" w:eastAsia="仿宋_GB2312"/>
                <w:kern w:val="0"/>
                <w:sz w:val="32"/>
                <w:szCs w:val="32"/>
              </w:rPr>
            </w:pPr>
          </w:p>
        </w:tc>
        <w:tc>
          <w:tcPr>
            <w:tcW w:w="489" w:type="dxa"/>
            <w:vAlign w:val="center"/>
          </w:tcPr>
          <w:p>
            <w:pPr>
              <w:jc w:val="center"/>
              <w:rPr>
                <w:rFonts w:ascii="仿宋_GB2312" w:hAnsi="宋体" w:eastAsia="仿宋_GB2312"/>
                <w:kern w:val="0"/>
                <w:sz w:val="32"/>
                <w:szCs w:val="32"/>
              </w:rPr>
            </w:pPr>
          </w:p>
        </w:tc>
        <w:tc>
          <w:tcPr>
            <w:tcW w:w="1138" w:type="dxa"/>
            <w:vAlign w:val="center"/>
          </w:tcPr>
          <w:p>
            <w:pPr>
              <w:widowControl/>
              <w:jc w:val="left"/>
              <w:textAlignment w:val="center"/>
              <w:rPr>
                <w:rFonts w:ascii="仿宋_GB2312" w:hAnsi="宋体" w:eastAsia="仿宋_GB2312"/>
                <w:kern w:val="0"/>
                <w:sz w:val="32"/>
                <w:szCs w:val="32"/>
              </w:rPr>
            </w:pPr>
          </w:p>
        </w:tc>
        <w:tc>
          <w:tcPr>
            <w:tcW w:w="970" w:type="dxa"/>
            <w:vAlign w:val="center"/>
          </w:tcPr>
          <w:p>
            <w:pPr>
              <w:jc w:val="left"/>
              <w:rPr>
                <w:rFonts w:ascii="仿宋_GB2312" w:hAnsi="宋体" w:eastAsia="仿宋_GB2312"/>
                <w:kern w:val="0"/>
                <w:sz w:val="32"/>
                <w:szCs w:val="32"/>
              </w:rPr>
            </w:pPr>
          </w:p>
        </w:tc>
        <w:tc>
          <w:tcPr>
            <w:tcW w:w="500" w:type="dxa"/>
            <w:vAlign w:val="center"/>
          </w:tcPr>
          <w:p>
            <w:pPr>
              <w:widowControl/>
              <w:jc w:val="right"/>
              <w:textAlignment w:val="center"/>
              <w:rPr>
                <w:rFonts w:ascii="仿宋_GB2312" w:hAnsi="宋体" w:eastAsia="仿宋_GB2312"/>
                <w:kern w:val="0"/>
                <w:sz w:val="32"/>
                <w:szCs w:val="32"/>
              </w:rPr>
            </w:pPr>
          </w:p>
        </w:tc>
        <w:tc>
          <w:tcPr>
            <w:tcW w:w="591" w:type="dxa"/>
            <w:vAlign w:val="center"/>
          </w:tcPr>
          <w:p>
            <w:pPr>
              <w:widowControl/>
              <w:jc w:val="right"/>
              <w:textAlignment w:val="center"/>
              <w:rPr>
                <w:rFonts w:ascii="仿宋_GB2312" w:hAnsi="宋体" w:eastAsia="仿宋_GB2312"/>
                <w:kern w:val="0"/>
                <w:sz w:val="32"/>
                <w:szCs w:val="32"/>
              </w:rPr>
            </w:pPr>
          </w:p>
        </w:tc>
        <w:tc>
          <w:tcPr>
            <w:tcW w:w="684" w:type="dxa"/>
            <w:vAlign w:val="center"/>
          </w:tcPr>
          <w:p>
            <w:pPr>
              <w:widowControl/>
              <w:jc w:val="right"/>
              <w:textAlignment w:val="center"/>
              <w:rPr>
                <w:rFonts w:ascii="仿宋_GB2312" w:hAnsi="宋体" w:eastAsia="仿宋_GB2312"/>
                <w:kern w:val="0"/>
                <w:sz w:val="32"/>
                <w:szCs w:val="32"/>
              </w:rPr>
            </w:pPr>
          </w:p>
        </w:tc>
        <w:tc>
          <w:tcPr>
            <w:tcW w:w="456" w:type="dxa"/>
            <w:vAlign w:val="center"/>
          </w:tcPr>
          <w:p>
            <w:pPr>
              <w:widowControl/>
              <w:jc w:val="right"/>
              <w:textAlignment w:val="center"/>
              <w:rPr>
                <w:rFonts w:ascii="仿宋_GB2312" w:hAnsi="宋体" w:eastAsia="仿宋_GB2312"/>
                <w:kern w:val="0"/>
                <w:sz w:val="32"/>
                <w:szCs w:val="32"/>
              </w:rPr>
            </w:pPr>
          </w:p>
        </w:tc>
        <w:tc>
          <w:tcPr>
            <w:tcW w:w="459" w:type="dxa"/>
            <w:gridSpan w:val="2"/>
            <w:vAlign w:val="center"/>
          </w:tcPr>
          <w:p>
            <w:pPr>
              <w:jc w:val="right"/>
              <w:rPr>
                <w:rFonts w:ascii="仿宋_GB2312" w:hAnsi="宋体" w:eastAsia="仿宋_GB2312"/>
                <w:kern w:val="0"/>
                <w:sz w:val="32"/>
                <w:szCs w:val="32"/>
              </w:rPr>
            </w:pPr>
          </w:p>
        </w:tc>
        <w:tc>
          <w:tcPr>
            <w:tcW w:w="578" w:type="dxa"/>
            <w:vAlign w:val="center"/>
          </w:tcPr>
          <w:p>
            <w:pPr>
              <w:jc w:val="right"/>
              <w:rPr>
                <w:rFonts w:ascii="仿宋_GB2312" w:hAnsi="宋体" w:eastAsia="仿宋_GB2312"/>
                <w:kern w:val="0"/>
                <w:sz w:val="32"/>
                <w:szCs w:val="32"/>
              </w:rPr>
            </w:pPr>
          </w:p>
        </w:tc>
        <w:tc>
          <w:tcPr>
            <w:tcW w:w="514" w:type="dxa"/>
            <w:vAlign w:val="center"/>
          </w:tcPr>
          <w:p>
            <w:pPr>
              <w:jc w:val="right"/>
              <w:rPr>
                <w:rFonts w:ascii="仿宋_GB2312" w:hAnsi="宋体" w:eastAsia="仿宋_GB2312"/>
                <w:kern w:val="0"/>
                <w:sz w:val="32"/>
                <w:szCs w:val="32"/>
              </w:rPr>
            </w:pPr>
          </w:p>
        </w:tc>
        <w:tc>
          <w:tcPr>
            <w:tcW w:w="578" w:type="dxa"/>
          </w:tcPr>
          <w:p>
            <w:pPr>
              <w:widowControl/>
              <w:jc w:val="left"/>
              <w:outlineLvl w:val="1"/>
              <w:rPr>
                <w:rFonts w:ascii="仿宋_GB2312" w:hAnsi="宋体" w:eastAsia="仿宋_GB2312"/>
                <w:kern w:val="0"/>
                <w:sz w:val="32"/>
                <w:szCs w:val="32"/>
              </w:rPr>
            </w:pPr>
          </w:p>
        </w:tc>
        <w:tc>
          <w:tcPr>
            <w:tcW w:w="397" w:type="dxa"/>
          </w:tcPr>
          <w:p>
            <w:pPr>
              <w:widowControl/>
              <w:jc w:val="left"/>
              <w:outlineLvl w:val="1"/>
              <w:rPr>
                <w:rFonts w:ascii="仿宋_GB2312" w:hAnsi="宋体" w:eastAsia="仿宋_GB2312"/>
                <w:kern w:val="0"/>
                <w:sz w:val="32"/>
                <w:szCs w:val="32"/>
              </w:rPr>
            </w:pPr>
          </w:p>
        </w:tc>
        <w:tc>
          <w:tcPr>
            <w:tcW w:w="397" w:type="dxa"/>
          </w:tcPr>
          <w:p>
            <w:pPr>
              <w:widowControl/>
              <w:jc w:val="left"/>
              <w:outlineLvl w:val="1"/>
              <w:rPr>
                <w:rFonts w:ascii="仿宋_GB2312" w:hAnsi="宋体" w:eastAsia="仿宋_GB2312"/>
                <w:kern w:val="0"/>
                <w:sz w:val="32"/>
                <w:szCs w:val="32"/>
              </w:rPr>
            </w:pPr>
          </w:p>
        </w:tc>
        <w:tc>
          <w:tcPr>
            <w:tcW w:w="408" w:type="dxa"/>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vAlign w:val="center"/>
          </w:tcPr>
          <w:p>
            <w:pPr>
              <w:jc w:val="center"/>
              <w:rPr>
                <w:rFonts w:ascii="仿宋_GB2312" w:hAnsi="宋体" w:eastAsia="仿宋_GB2312"/>
                <w:kern w:val="0"/>
                <w:sz w:val="32"/>
                <w:szCs w:val="32"/>
              </w:rPr>
            </w:pPr>
          </w:p>
        </w:tc>
        <w:tc>
          <w:tcPr>
            <w:tcW w:w="426" w:type="dxa"/>
            <w:vAlign w:val="center"/>
          </w:tcPr>
          <w:p>
            <w:pPr>
              <w:jc w:val="center"/>
              <w:rPr>
                <w:rFonts w:ascii="仿宋_GB2312" w:hAnsi="宋体" w:eastAsia="仿宋_GB2312"/>
                <w:kern w:val="0"/>
                <w:sz w:val="32"/>
                <w:szCs w:val="32"/>
              </w:rPr>
            </w:pPr>
          </w:p>
        </w:tc>
        <w:tc>
          <w:tcPr>
            <w:tcW w:w="489" w:type="dxa"/>
            <w:vAlign w:val="center"/>
          </w:tcPr>
          <w:p>
            <w:pPr>
              <w:widowControl/>
              <w:jc w:val="center"/>
              <w:textAlignment w:val="center"/>
              <w:rPr>
                <w:rFonts w:ascii="仿宋_GB2312" w:hAnsi="宋体" w:eastAsia="仿宋_GB2312"/>
                <w:kern w:val="0"/>
                <w:sz w:val="32"/>
                <w:szCs w:val="32"/>
              </w:rPr>
            </w:pPr>
          </w:p>
        </w:tc>
        <w:tc>
          <w:tcPr>
            <w:tcW w:w="1138" w:type="dxa"/>
            <w:vAlign w:val="center"/>
          </w:tcPr>
          <w:p>
            <w:pPr>
              <w:widowControl/>
              <w:jc w:val="left"/>
              <w:textAlignment w:val="center"/>
              <w:rPr>
                <w:rFonts w:ascii="仿宋_GB2312" w:hAnsi="宋体" w:eastAsia="仿宋_GB2312"/>
                <w:kern w:val="0"/>
                <w:sz w:val="32"/>
                <w:szCs w:val="32"/>
              </w:rPr>
            </w:pPr>
          </w:p>
        </w:tc>
        <w:tc>
          <w:tcPr>
            <w:tcW w:w="970" w:type="dxa"/>
            <w:vAlign w:val="center"/>
          </w:tcPr>
          <w:p>
            <w:pPr>
              <w:jc w:val="left"/>
              <w:rPr>
                <w:rFonts w:ascii="仿宋_GB2312" w:hAnsi="宋体" w:eastAsia="仿宋_GB2312"/>
                <w:kern w:val="0"/>
                <w:sz w:val="32"/>
                <w:szCs w:val="32"/>
              </w:rPr>
            </w:pPr>
          </w:p>
        </w:tc>
        <w:tc>
          <w:tcPr>
            <w:tcW w:w="500" w:type="dxa"/>
            <w:vAlign w:val="center"/>
          </w:tcPr>
          <w:p>
            <w:pPr>
              <w:widowControl/>
              <w:jc w:val="right"/>
              <w:textAlignment w:val="center"/>
              <w:rPr>
                <w:rFonts w:ascii="仿宋_GB2312" w:hAnsi="宋体" w:eastAsia="仿宋_GB2312"/>
                <w:kern w:val="0"/>
                <w:sz w:val="32"/>
                <w:szCs w:val="32"/>
              </w:rPr>
            </w:pPr>
          </w:p>
        </w:tc>
        <w:tc>
          <w:tcPr>
            <w:tcW w:w="591" w:type="dxa"/>
            <w:vAlign w:val="center"/>
          </w:tcPr>
          <w:p>
            <w:pPr>
              <w:widowControl/>
              <w:jc w:val="right"/>
              <w:textAlignment w:val="center"/>
              <w:rPr>
                <w:rFonts w:ascii="仿宋_GB2312" w:hAnsi="宋体" w:eastAsia="仿宋_GB2312"/>
                <w:kern w:val="0"/>
                <w:sz w:val="32"/>
                <w:szCs w:val="32"/>
              </w:rPr>
            </w:pPr>
          </w:p>
        </w:tc>
        <w:tc>
          <w:tcPr>
            <w:tcW w:w="684" w:type="dxa"/>
            <w:vAlign w:val="center"/>
          </w:tcPr>
          <w:p>
            <w:pPr>
              <w:widowControl/>
              <w:jc w:val="right"/>
              <w:textAlignment w:val="center"/>
              <w:rPr>
                <w:rFonts w:ascii="仿宋_GB2312" w:hAnsi="宋体" w:eastAsia="仿宋_GB2312"/>
                <w:kern w:val="0"/>
                <w:sz w:val="32"/>
                <w:szCs w:val="32"/>
              </w:rPr>
            </w:pPr>
          </w:p>
        </w:tc>
        <w:tc>
          <w:tcPr>
            <w:tcW w:w="456" w:type="dxa"/>
            <w:vAlign w:val="center"/>
          </w:tcPr>
          <w:p>
            <w:pPr>
              <w:widowControl/>
              <w:jc w:val="right"/>
              <w:textAlignment w:val="center"/>
              <w:rPr>
                <w:rFonts w:ascii="仿宋_GB2312" w:hAnsi="宋体" w:eastAsia="仿宋_GB2312"/>
                <w:kern w:val="0"/>
                <w:sz w:val="32"/>
                <w:szCs w:val="32"/>
              </w:rPr>
            </w:pPr>
          </w:p>
        </w:tc>
        <w:tc>
          <w:tcPr>
            <w:tcW w:w="459" w:type="dxa"/>
            <w:gridSpan w:val="2"/>
            <w:vAlign w:val="center"/>
          </w:tcPr>
          <w:p>
            <w:pPr>
              <w:jc w:val="right"/>
              <w:rPr>
                <w:rFonts w:ascii="仿宋_GB2312" w:hAnsi="宋体" w:eastAsia="仿宋_GB2312"/>
                <w:kern w:val="0"/>
                <w:sz w:val="32"/>
                <w:szCs w:val="32"/>
              </w:rPr>
            </w:pPr>
          </w:p>
        </w:tc>
        <w:tc>
          <w:tcPr>
            <w:tcW w:w="578" w:type="dxa"/>
            <w:vAlign w:val="center"/>
          </w:tcPr>
          <w:p>
            <w:pPr>
              <w:jc w:val="right"/>
              <w:rPr>
                <w:rFonts w:ascii="仿宋_GB2312" w:hAnsi="宋体" w:eastAsia="仿宋_GB2312"/>
                <w:kern w:val="0"/>
                <w:sz w:val="32"/>
                <w:szCs w:val="32"/>
              </w:rPr>
            </w:pPr>
          </w:p>
        </w:tc>
        <w:tc>
          <w:tcPr>
            <w:tcW w:w="514" w:type="dxa"/>
            <w:vAlign w:val="center"/>
          </w:tcPr>
          <w:p>
            <w:pPr>
              <w:jc w:val="right"/>
              <w:rPr>
                <w:rFonts w:ascii="仿宋_GB2312" w:hAnsi="宋体" w:eastAsia="仿宋_GB2312"/>
                <w:kern w:val="0"/>
                <w:sz w:val="32"/>
                <w:szCs w:val="32"/>
              </w:rPr>
            </w:pPr>
          </w:p>
        </w:tc>
        <w:tc>
          <w:tcPr>
            <w:tcW w:w="578" w:type="dxa"/>
          </w:tcPr>
          <w:p>
            <w:pPr>
              <w:widowControl/>
              <w:jc w:val="left"/>
              <w:outlineLvl w:val="1"/>
              <w:rPr>
                <w:rFonts w:ascii="仿宋_GB2312" w:hAnsi="宋体" w:eastAsia="仿宋_GB2312"/>
                <w:kern w:val="0"/>
                <w:sz w:val="32"/>
                <w:szCs w:val="32"/>
              </w:rPr>
            </w:pPr>
          </w:p>
        </w:tc>
        <w:tc>
          <w:tcPr>
            <w:tcW w:w="397" w:type="dxa"/>
          </w:tcPr>
          <w:p>
            <w:pPr>
              <w:widowControl/>
              <w:jc w:val="left"/>
              <w:outlineLvl w:val="1"/>
              <w:rPr>
                <w:rFonts w:ascii="仿宋_GB2312" w:hAnsi="宋体" w:eastAsia="仿宋_GB2312"/>
                <w:kern w:val="0"/>
                <w:sz w:val="32"/>
                <w:szCs w:val="32"/>
              </w:rPr>
            </w:pPr>
          </w:p>
        </w:tc>
        <w:tc>
          <w:tcPr>
            <w:tcW w:w="397" w:type="dxa"/>
          </w:tcPr>
          <w:p>
            <w:pPr>
              <w:widowControl/>
              <w:jc w:val="left"/>
              <w:outlineLvl w:val="1"/>
              <w:rPr>
                <w:rFonts w:ascii="仿宋_GB2312" w:hAnsi="宋体" w:eastAsia="仿宋_GB2312"/>
                <w:kern w:val="0"/>
                <w:sz w:val="32"/>
                <w:szCs w:val="32"/>
              </w:rPr>
            </w:pPr>
          </w:p>
        </w:tc>
        <w:tc>
          <w:tcPr>
            <w:tcW w:w="408" w:type="dxa"/>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tcPr>
          <w:p>
            <w:pPr>
              <w:widowControl/>
              <w:jc w:val="left"/>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　</w:t>
            </w:r>
          </w:p>
        </w:tc>
        <w:tc>
          <w:tcPr>
            <w:tcW w:w="426" w:type="dxa"/>
          </w:tcPr>
          <w:p>
            <w:pPr>
              <w:widowControl/>
              <w:jc w:val="left"/>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　</w:t>
            </w:r>
          </w:p>
        </w:tc>
        <w:tc>
          <w:tcPr>
            <w:tcW w:w="489" w:type="dxa"/>
          </w:tcPr>
          <w:p>
            <w:pPr>
              <w:widowControl/>
              <w:jc w:val="left"/>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　</w:t>
            </w:r>
          </w:p>
        </w:tc>
        <w:tc>
          <w:tcPr>
            <w:tcW w:w="1138" w:type="dxa"/>
          </w:tcPr>
          <w:p>
            <w:pPr>
              <w:widowControl/>
              <w:jc w:val="left"/>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　</w:t>
            </w:r>
          </w:p>
        </w:tc>
        <w:tc>
          <w:tcPr>
            <w:tcW w:w="970" w:type="dxa"/>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cs="仿宋_GB2312"/>
                <w:kern w:val="0"/>
              </w:rPr>
              <w:t>合计</w:t>
            </w:r>
          </w:p>
        </w:tc>
        <w:tc>
          <w:tcPr>
            <w:tcW w:w="500" w:type="dxa"/>
            <w:vAlign w:val="center"/>
          </w:tcPr>
          <w:p>
            <w:pPr>
              <w:widowControl/>
              <w:jc w:val="right"/>
              <w:textAlignment w:val="center"/>
              <w:rPr>
                <w:rFonts w:ascii="仿宋_GB2312" w:hAnsi="宋体" w:eastAsia="仿宋_GB2312"/>
                <w:kern w:val="0"/>
              </w:rPr>
            </w:pPr>
          </w:p>
        </w:tc>
        <w:tc>
          <w:tcPr>
            <w:tcW w:w="591" w:type="dxa"/>
            <w:vAlign w:val="center"/>
          </w:tcPr>
          <w:p>
            <w:pPr>
              <w:widowControl/>
              <w:jc w:val="right"/>
              <w:textAlignment w:val="center"/>
              <w:rPr>
                <w:rFonts w:ascii="仿宋_GB2312" w:hAnsi="宋体" w:eastAsia="仿宋_GB2312"/>
                <w:kern w:val="0"/>
                <w:sz w:val="32"/>
                <w:szCs w:val="32"/>
              </w:rPr>
            </w:pPr>
          </w:p>
        </w:tc>
        <w:tc>
          <w:tcPr>
            <w:tcW w:w="684" w:type="dxa"/>
            <w:vAlign w:val="center"/>
          </w:tcPr>
          <w:p>
            <w:pPr>
              <w:widowControl/>
              <w:jc w:val="right"/>
              <w:textAlignment w:val="center"/>
              <w:rPr>
                <w:rFonts w:ascii="宋体"/>
                <w:color w:val="000000"/>
                <w:kern w:val="0"/>
                <w:sz w:val="18"/>
                <w:szCs w:val="18"/>
              </w:rPr>
            </w:pPr>
          </w:p>
        </w:tc>
        <w:tc>
          <w:tcPr>
            <w:tcW w:w="456" w:type="dxa"/>
            <w:vAlign w:val="center"/>
          </w:tcPr>
          <w:p>
            <w:pPr>
              <w:widowControl/>
              <w:jc w:val="right"/>
              <w:textAlignment w:val="center"/>
              <w:rPr>
                <w:rFonts w:ascii="宋体"/>
                <w:color w:val="000000"/>
                <w:kern w:val="0"/>
                <w:sz w:val="18"/>
                <w:szCs w:val="18"/>
              </w:rPr>
            </w:pPr>
          </w:p>
        </w:tc>
        <w:tc>
          <w:tcPr>
            <w:tcW w:w="459" w:type="dxa"/>
            <w:gridSpan w:val="2"/>
            <w:vAlign w:val="center"/>
          </w:tcPr>
          <w:p>
            <w:pPr>
              <w:jc w:val="right"/>
              <w:rPr>
                <w:rFonts w:ascii="仿宋_GB2312" w:hAnsi="宋体" w:eastAsia="仿宋_GB2312"/>
                <w:kern w:val="0"/>
              </w:rPr>
            </w:pPr>
          </w:p>
        </w:tc>
        <w:tc>
          <w:tcPr>
            <w:tcW w:w="578" w:type="dxa"/>
            <w:vAlign w:val="center"/>
          </w:tcPr>
          <w:p>
            <w:pPr>
              <w:jc w:val="right"/>
              <w:rPr>
                <w:rFonts w:ascii="仿宋_GB2312" w:hAnsi="宋体" w:eastAsia="仿宋_GB2312"/>
                <w:kern w:val="0"/>
              </w:rPr>
            </w:pPr>
          </w:p>
        </w:tc>
        <w:tc>
          <w:tcPr>
            <w:tcW w:w="514" w:type="dxa"/>
            <w:vAlign w:val="center"/>
          </w:tcPr>
          <w:p>
            <w:pPr>
              <w:widowControl/>
              <w:jc w:val="right"/>
              <w:textAlignment w:val="center"/>
              <w:rPr>
                <w:rFonts w:ascii="仿宋_GB2312" w:hAnsi="宋体" w:eastAsia="仿宋_GB2312"/>
                <w:kern w:val="0"/>
              </w:rPr>
            </w:pPr>
          </w:p>
        </w:tc>
        <w:tc>
          <w:tcPr>
            <w:tcW w:w="578" w:type="dxa"/>
            <w:vAlign w:val="center"/>
          </w:tcPr>
          <w:p>
            <w:pPr>
              <w:widowControl/>
              <w:textAlignment w:val="center"/>
              <w:rPr>
                <w:rFonts w:ascii="仿宋_GB2312" w:hAnsi="宋体" w:eastAsia="仿宋_GB2312"/>
                <w:kern w:val="0"/>
                <w:sz w:val="32"/>
                <w:szCs w:val="32"/>
              </w:rPr>
            </w:pPr>
          </w:p>
        </w:tc>
        <w:tc>
          <w:tcPr>
            <w:tcW w:w="397" w:type="dxa"/>
          </w:tcPr>
          <w:p>
            <w:pPr>
              <w:widowControl/>
              <w:jc w:val="left"/>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　</w:t>
            </w:r>
          </w:p>
        </w:tc>
        <w:tc>
          <w:tcPr>
            <w:tcW w:w="397" w:type="dxa"/>
          </w:tcPr>
          <w:p>
            <w:pPr>
              <w:widowControl/>
              <w:jc w:val="left"/>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　</w:t>
            </w:r>
          </w:p>
        </w:tc>
        <w:tc>
          <w:tcPr>
            <w:tcW w:w="408" w:type="dxa"/>
          </w:tcPr>
          <w:p>
            <w:pPr>
              <w:widowControl/>
              <w:jc w:val="left"/>
              <w:outlineLvl w:val="1"/>
              <w:rPr>
                <w:rFonts w:ascii="仿宋_GB2312" w:hAnsi="宋体" w:eastAsia="仿宋_GB2312"/>
                <w:kern w:val="0"/>
                <w:sz w:val="32"/>
                <w:szCs w:val="32"/>
              </w:rPr>
            </w:pPr>
            <w:r>
              <w:rPr>
                <w:rFonts w:hint="eastAsia" w:ascii="仿宋_GB2312" w:hAnsi="宋体" w:eastAsia="仿宋_GB2312" w:cs="仿宋_GB2312"/>
                <w:kern w:val="0"/>
                <w:sz w:val="32"/>
                <w:szCs w:val="32"/>
              </w:rPr>
              <w:t>　</w:t>
            </w:r>
          </w:p>
        </w:tc>
      </w:tr>
    </w:tbl>
    <w:p>
      <w:pPr>
        <w:widowControl/>
        <w:ind w:left="843" w:hanging="843" w:hangingChars="300"/>
        <w:outlineLvl w:val="1"/>
        <w:rPr>
          <w:rFonts w:hint="eastAsia" w:ascii="仿宋_GB2312" w:hAnsi="宋体" w:eastAsia="仿宋_GB2312"/>
          <w:b/>
          <w:bCs/>
          <w:kern w:val="0"/>
          <w:sz w:val="28"/>
          <w:szCs w:val="28"/>
          <w:lang w:eastAsia="zh-CN"/>
        </w:rPr>
      </w:pPr>
      <w:r>
        <w:rPr>
          <w:rFonts w:hint="eastAsia" w:ascii="仿宋_GB2312" w:hAnsi="宋体" w:eastAsia="仿宋_GB2312" w:cs="仿宋_GB2312"/>
          <w:b/>
          <w:bCs/>
          <w:kern w:val="0"/>
          <w:sz w:val="28"/>
          <w:szCs w:val="28"/>
        </w:rPr>
        <w:t>备注：</w:t>
      </w:r>
      <w:r>
        <w:rPr>
          <w:rFonts w:hint="eastAsia" w:ascii="仿宋_GB2312" w:hAnsi="宋体" w:eastAsia="仿宋_GB2312" w:cs="仿宋_GB2312"/>
          <w:b/>
          <w:bCs/>
          <w:kern w:val="0"/>
          <w:sz w:val="28"/>
          <w:szCs w:val="28"/>
          <w:lang w:eastAsia="zh-CN"/>
        </w:rPr>
        <w:t>吉木萨尔县交通运输局</w:t>
      </w:r>
      <w:r>
        <w:rPr>
          <w:rFonts w:hint="eastAsia" w:ascii="仿宋_GB2312" w:hAnsi="宋体" w:eastAsia="仿宋_GB2312"/>
          <w:b/>
          <w:kern w:val="0"/>
          <w:sz w:val="28"/>
          <w:szCs w:val="32"/>
        </w:rPr>
        <w:t>2020年未安排项目支出预算。</w:t>
      </w:r>
      <w:r>
        <w:rPr>
          <w:rFonts w:hint="eastAsia" w:ascii="仿宋_GB2312" w:hAnsi="宋体" w:eastAsia="仿宋_GB2312"/>
          <w:b/>
          <w:kern w:val="0"/>
          <w:sz w:val="28"/>
          <w:szCs w:val="32"/>
          <w:lang w:eastAsia="zh-CN"/>
        </w:rPr>
        <w:t>项目支出情况表为空表。</w:t>
      </w:r>
    </w:p>
    <w:p>
      <w:pPr>
        <w:widowControl/>
        <w:jc w:val="left"/>
        <w:outlineLvl w:val="1"/>
        <w:rPr>
          <w:rFonts w:ascii="仿宋_GB2312" w:hAnsi="宋体" w:eastAsia="仿宋_GB2312"/>
          <w:b/>
          <w:bCs/>
          <w:kern w:val="0"/>
          <w:sz w:val="32"/>
          <w:szCs w:val="32"/>
        </w:rPr>
      </w:pPr>
      <w:r>
        <w:rPr>
          <w:rFonts w:ascii="仿宋_GB2312" w:hAnsi="宋体" w:eastAsia="仿宋_GB2312"/>
          <w:b/>
          <w:bCs/>
          <w:kern w:val="0"/>
          <w:sz w:val="32"/>
          <w:szCs w:val="32"/>
        </w:rPr>
        <w:br w:type="page"/>
      </w:r>
      <w:r>
        <w:rPr>
          <w:rFonts w:hint="eastAsia" w:ascii="仿宋_GB2312" w:hAnsi="宋体" w:eastAsia="仿宋_GB2312" w:cs="仿宋_GB2312"/>
          <w:b/>
          <w:bCs/>
          <w:kern w:val="0"/>
          <w:sz w:val="32"/>
          <w:szCs w:val="32"/>
        </w:rPr>
        <w:t>表八：</w:t>
      </w:r>
    </w:p>
    <w:p>
      <w:pPr>
        <w:widowControl/>
        <w:jc w:val="left"/>
        <w:outlineLvl w:val="1"/>
        <w:rPr>
          <w:rFonts w:ascii="仿宋_GB2312" w:hAnsi="宋体" w:eastAsia="仿宋_GB2312"/>
          <w:b/>
          <w:bCs/>
          <w:kern w:val="0"/>
          <w:sz w:val="32"/>
          <w:szCs w:val="32"/>
        </w:rPr>
      </w:pPr>
    </w:p>
    <w:p>
      <w:pPr>
        <w:widowControl/>
        <w:jc w:val="center"/>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一般公共预算“三公”经费支出情况表</w:t>
      </w:r>
    </w:p>
    <w:p>
      <w:pPr>
        <w:widowControl/>
        <w:jc w:val="center"/>
        <w:outlineLvl w:val="1"/>
        <w:rPr>
          <w:rFonts w:ascii="仿宋_GB2312" w:hAnsi="宋体" w:eastAsia="仿宋_GB2312"/>
          <w:b/>
          <w:bCs/>
          <w:kern w:val="0"/>
          <w:sz w:val="32"/>
          <w:szCs w:val="32"/>
        </w:rPr>
      </w:pPr>
    </w:p>
    <w:p>
      <w:pPr>
        <w:widowControl/>
        <w:jc w:val="left"/>
        <w:outlineLvl w:val="1"/>
        <w:rPr>
          <w:rFonts w:ascii="仿宋_GB2312" w:hAnsi="宋体" w:eastAsia="仿宋_GB2312"/>
          <w:kern w:val="0"/>
          <w:sz w:val="24"/>
          <w:szCs w:val="24"/>
        </w:rPr>
      </w:pPr>
      <w:r>
        <w:rPr>
          <w:rFonts w:hint="eastAsia" w:ascii="仿宋_GB2312" w:hAnsi="宋体" w:eastAsia="仿宋_GB2312" w:cs="仿宋_GB2312"/>
          <w:kern w:val="0"/>
          <w:sz w:val="24"/>
          <w:szCs w:val="24"/>
        </w:rPr>
        <w:t>编制</w:t>
      </w:r>
      <w:r>
        <w:rPr>
          <w:rFonts w:hint="eastAsia" w:ascii="仿宋_GB2312" w:hAnsi="宋体" w:eastAsia="仿宋_GB2312" w:cs="仿宋_GB2312"/>
          <w:kern w:val="0"/>
          <w:sz w:val="24"/>
          <w:szCs w:val="24"/>
          <w:lang w:eastAsia="zh-CN"/>
        </w:rPr>
        <w:t>部门</w:t>
      </w:r>
      <w:r>
        <w:rPr>
          <w:rFonts w:hint="eastAsia" w:ascii="仿宋_GB2312" w:hAnsi="宋体" w:eastAsia="仿宋_GB2312" w:cs="仿宋_GB2312"/>
          <w:kern w:val="0"/>
          <w:sz w:val="24"/>
          <w:szCs w:val="24"/>
        </w:rPr>
        <w:t>：</w:t>
      </w:r>
      <w:r>
        <w:rPr>
          <w:rFonts w:hint="eastAsia" w:ascii="仿宋_GB2312" w:hAnsi="宋体" w:eastAsia="仿宋_GB2312" w:cs="仿宋_GB2312"/>
          <w:kern w:val="0"/>
          <w:sz w:val="24"/>
          <w:szCs w:val="24"/>
          <w:lang w:eastAsia="zh-CN"/>
        </w:rPr>
        <w:t>吉木萨尔县交通运输局</w:t>
      </w:r>
      <w:r>
        <w:rPr>
          <w:rFonts w:ascii="仿宋_GB2312" w:hAnsi="宋体" w:eastAsia="仿宋_GB2312" w:cs="仿宋_GB2312"/>
          <w:kern w:val="0"/>
          <w:sz w:val="24"/>
          <w:szCs w:val="24"/>
        </w:rPr>
        <w:t xml:space="preserve">                                   </w:t>
      </w:r>
      <w:r>
        <w:rPr>
          <w:rFonts w:hint="eastAsia" w:ascii="仿宋_GB2312" w:hAnsi="宋体" w:eastAsia="仿宋_GB2312" w:cs="仿宋_GB2312"/>
          <w:kern w:val="0"/>
          <w:sz w:val="24"/>
          <w:szCs w:val="24"/>
        </w:rPr>
        <w:t>单位：万元</w:t>
      </w:r>
    </w:p>
    <w:tbl>
      <w:tblPr>
        <w:tblStyle w:val="8"/>
        <w:tblW w:w="9240" w:type="dxa"/>
        <w:tblInd w:w="-106" w:type="dxa"/>
        <w:tblLayout w:type="fixed"/>
        <w:tblCellMar>
          <w:top w:w="0" w:type="dxa"/>
          <w:left w:w="108" w:type="dxa"/>
          <w:bottom w:w="0" w:type="dxa"/>
          <w:right w:w="108" w:type="dxa"/>
        </w:tblCellMar>
      </w:tblPr>
      <w:tblGrid>
        <w:gridCol w:w="1575"/>
        <w:gridCol w:w="1417"/>
        <w:gridCol w:w="1559"/>
        <w:gridCol w:w="1418"/>
        <w:gridCol w:w="1559"/>
        <w:gridCol w:w="1712"/>
      </w:tblGrid>
      <w:tr>
        <w:tblPrEx>
          <w:tblLayout w:type="fixed"/>
          <w:tblCellMar>
            <w:top w:w="0" w:type="dxa"/>
            <w:left w:w="108" w:type="dxa"/>
            <w:bottom w:w="0" w:type="dxa"/>
            <w:right w:w="108" w:type="dxa"/>
          </w:tblCellMar>
        </w:tblPrEx>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22"/>
                <w:szCs w:val="22"/>
              </w:rPr>
            </w:pPr>
            <w:r>
              <w:rPr>
                <w:rFonts w:hint="eastAsia" w:ascii="仿宋_GB2312" w:hAnsi="宋体" w:eastAsia="仿宋_GB2312" w:cs="仿宋_GB2312"/>
                <w:b/>
                <w:bCs/>
                <w:color w:val="000000"/>
                <w:kern w:val="0"/>
                <w:sz w:val="22"/>
                <w:szCs w:val="22"/>
              </w:rPr>
              <w:t>合计</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22"/>
                <w:szCs w:val="22"/>
              </w:rPr>
            </w:pPr>
            <w:r>
              <w:rPr>
                <w:rFonts w:hint="eastAsia" w:ascii="仿宋_GB2312" w:hAnsi="宋体" w:eastAsia="仿宋_GB2312" w:cs="仿宋_GB2312"/>
                <w:b/>
                <w:bCs/>
                <w:color w:val="000000"/>
                <w:kern w:val="0"/>
                <w:sz w:val="22"/>
                <w:szCs w:val="22"/>
              </w:rPr>
              <w:t>因公出国（境）费</w:t>
            </w:r>
          </w:p>
        </w:tc>
        <w:tc>
          <w:tcPr>
            <w:tcW w:w="4536"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22"/>
                <w:szCs w:val="22"/>
              </w:rPr>
            </w:pPr>
            <w:r>
              <w:rPr>
                <w:rFonts w:hint="eastAsia" w:ascii="仿宋_GB2312" w:hAnsi="宋体" w:eastAsia="仿宋_GB2312" w:cs="仿宋_GB2312"/>
                <w:b/>
                <w:bCs/>
                <w:color w:val="000000"/>
                <w:kern w:val="0"/>
                <w:sz w:val="22"/>
                <w:szCs w:val="22"/>
              </w:rPr>
              <w:t>公务用车购置及运行费</w:t>
            </w:r>
          </w:p>
        </w:tc>
        <w:tc>
          <w:tcPr>
            <w:tcW w:w="171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b/>
                <w:bCs/>
                <w:color w:val="000000"/>
                <w:kern w:val="0"/>
                <w:sz w:val="22"/>
                <w:szCs w:val="22"/>
              </w:rPr>
            </w:pPr>
            <w:r>
              <w:rPr>
                <w:rFonts w:hint="eastAsia" w:ascii="宋体" w:hAnsi="宋体" w:cs="宋体"/>
                <w:b/>
                <w:bCs/>
                <w:color w:val="000000"/>
                <w:kern w:val="0"/>
                <w:sz w:val="22"/>
                <w:szCs w:val="22"/>
              </w:rPr>
              <w:t>公务接待费</w:t>
            </w:r>
          </w:p>
        </w:tc>
      </w:tr>
      <w:tr>
        <w:tblPrEx>
          <w:tblLayout w:type="fixed"/>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b/>
                <w:bCs/>
                <w:color w:val="000000"/>
                <w:kern w:val="0"/>
                <w:sz w:val="22"/>
                <w:szCs w:val="22"/>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b/>
                <w:bCs/>
                <w:color w:val="000000"/>
                <w:kern w:val="0"/>
                <w:sz w:val="22"/>
                <w:szCs w:val="22"/>
              </w:rPr>
            </w:pP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22"/>
                <w:szCs w:val="22"/>
              </w:rPr>
            </w:pPr>
            <w:r>
              <w:rPr>
                <w:rFonts w:hint="eastAsia" w:ascii="仿宋_GB2312" w:hAnsi="宋体" w:eastAsia="仿宋_GB2312" w:cs="仿宋_GB2312"/>
                <w:b/>
                <w:bCs/>
                <w:color w:val="000000"/>
                <w:kern w:val="0"/>
                <w:sz w:val="22"/>
                <w:szCs w:val="22"/>
              </w:rPr>
              <w:t>小计</w:t>
            </w:r>
          </w:p>
        </w:tc>
        <w:tc>
          <w:tcPr>
            <w:tcW w:w="1418"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22"/>
                <w:szCs w:val="22"/>
              </w:rPr>
            </w:pPr>
            <w:r>
              <w:rPr>
                <w:rFonts w:hint="eastAsia" w:ascii="仿宋_GB2312" w:hAnsi="宋体" w:eastAsia="仿宋_GB2312" w:cs="仿宋_GB2312"/>
                <w:b/>
                <w:bCs/>
                <w:color w:val="000000"/>
                <w:kern w:val="0"/>
                <w:sz w:val="22"/>
                <w:szCs w:val="22"/>
              </w:rPr>
              <w:t>公务用车购置费</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22"/>
                <w:szCs w:val="22"/>
              </w:rPr>
            </w:pPr>
            <w:r>
              <w:rPr>
                <w:rFonts w:hint="eastAsia" w:ascii="仿宋_GB2312" w:hAnsi="宋体" w:eastAsia="仿宋_GB2312" w:cs="仿宋_GB2312"/>
                <w:b/>
                <w:bCs/>
                <w:color w:val="000000"/>
                <w:kern w:val="0"/>
                <w:sz w:val="22"/>
                <w:szCs w:val="22"/>
              </w:rPr>
              <w:t>公务用车运行费</w:t>
            </w:r>
          </w:p>
        </w:tc>
        <w:tc>
          <w:tcPr>
            <w:tcW w:w="17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b/>
                <w:bCs/>
                <w:color w:val="000000"/>
                <w:kern w:val="0"/>
                <w:sz w:val="22"/>
                <w:szCs w:val="22"/>
              </w:rPr>
            </w:pPr>
          </w:p>
        </w:tc>
      </w:tr>
      <w:tr>
        <w:tblPrEx>
          <w:tblLayout w:type="fixed"/>
          <w:tblCellMar>
            <w:top w:w="0" w:type="dxa"/>
            <w:left w:w="108" w:type="dxa"/>
            <w:bottom w:w="0" w:type="dxa"/>
            <w:right w:w="108" w:type="dxa"/>
          </w:tblCellMar>
        </w:tblPrEx>
        <w:trPr>
          <w:trHeight w:val="567" w:hRule="exact"/>
        </w:trPr>
        <w:tc>
          <w:tcPr>
            <w:tcW w:w="1575" w:type="dxa"/>
            <w:tcBorders>
              <w:top w:val="nil"/>
              <w:left w:val="single" w:color="auto" w:sz="4" w:space="0"/>
              <w:bottom w:val="single" w:color="auto" w:sz="4" w:space="0"/>
              <w:right w:val="single" w:color="auto" w:sz="4" w:space="0"/>
            </w:tcBorders>
            <w:vAlign w:val="center"/>
          </w:tcPr>
          <w:p>
            <w:pPr>
              <w:widowControl/>
              <w:jc w:val="center"/>
              <w:textAlignment w:val="bottom"/>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rPr>
              <w:t>4</w:t>
            </w:r>
            <w:r>
              <w:rPr>
                <w:rFonts w:hint="eastAsia" w:ascii="仿宋_GB2312" w:hAnsi="仿宋_GB2312" w:eastAsia="仿宋_GB2312" w:cs="仿宋_GB2312"/>
                <w:color w:val="000000"/>
                <w:kern w:val="0"/>
                <w:sz w:val="21"/>
                <w:szCs w:val="21"/>
                <w:lang w:val="en-US" w:eastAsia="zh-CN"/>
              </w:rPr>
              <w:t>.00</w:t>
            </w:r>
          </w:p>
        </w:tc>
        <w:tc>
          <w:tcPr>
            <w:tcW w:w="1417" w:type="dxa"/>
            <w:tcBorders>
              <w:top w:val="nil"/>
              <w:left w:val="nil"/>
              <w:bottom w:val="single" w:color="auto" w:sz="4" w:space="0"/>
              <w:right w:val="single" w:color="auto" w:sz="4" w:space="0"/>
            </w:tcBorders>
            <w:vAlign w:val="center"/>
          </w:tcPr>
          <w:p>
            <w:pPr>
              <w:widowControl/>
              <w:jc w:val="center"/>
              <w:textAlignment w:val="bottom"/>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0.00</w:t>
            </w:r>
          </w:p>
        </w:tc>
        <w:tc>
          <w:tcPr>
            <w:tcW w:w="1559" w:type="dxa"/>
            <w:tcBorders>
              <w:top w:val="nil"/>
              <w:left w:val="nil"/>
              <w:bottom w:val="single" w:color="auto" w:sz="4" w:space="0"/>
              <w:right w:val="single" w:color="auto" w:sz="4" w:space="0"/>
            </w:tcBorders>
            <w:vAlign w:val="center"/>
          </w:tcPr>
          <w:p>
            <w:pPr>
              <w:widowControl/>
              <w:jc w:val="center"/>
              <w:textAlignment w:val="bottom"/>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rPr>
              <w:t>4</w:t>
            </w:r>
            <w:r>
              <w:rPr>
                <w:rFonts w:hint="eastAsia" w:ascii="仿宋_GB2312" w:hAnsi="仿宋_GB2312" w:eastAsia="仿宋_GB2312" w:cs="仿宋_GB2312"/>
                <w:color w:val="000000"/>
                <w:kern w:val="0"/>
                <w:sz w:val="21"/>
                <w:szCs w:val="21"/>
                <w:lang w:val="en-US" w:eastAsia="zh-CN"/>
              </w:rPr>
              <w:t>.00</w:t>
            </w:r>
          </w:p>
        </w:tc>
        <w:tc>
          <w:tcPr>
            <w:tcW w:w="1418" w:type="dxa"/>
            <w:tcBorders>
              <w:top w:val="nil"/>
              <w:left w:val="nil"/>
              <w:bottom w:val="single" w:color="auto" w:sz="4" w:space="0"/>
              <w:right w:val="single" w:color="auto" w:sz="4" w:space="0"/>
            </w:tcBorders>
            <w:vAlign w:val="center"/>
          </w:tcPr>
          <w:p>
            <w:pPr>
              <w:widowControl/>
              <w:jc w:val="center"/>
              <w:textAlignment w:val="bottom"/>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0.00</w:t>
            </w:r>
          </w:p>
        </w:tc>
        <w:tc>
          <w:tcPr>
            <w:tcW w:w="1559" w:type="dxa"/>
            <w:tcBorders>
              <w:top w:val="nil"/>
              <w:left w:val="nil"/>
              <w:bottom w:val="single" w:color="auto" w:sz="4" w:space="0"/>
              <w:right w:val="single" w:color="auto" w:sz="4" w:space="0"/>
            </w:tcBorders>
            <w:vAlign w:val="center"/>
          </w:tcPr>
          <w:p>
            <w:pPr>
              <w:widowControl/>
              <w:jc w:val="center"/>
              <w:textAlignment w:val="bottom"/>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rPr>
              <w:t>4</w:t>
            </w:r>
            <w:r>
              <w:rPr>
                <w:rFonts w:hint="eastAsia" w:ascii="仿宋_GB2312" w:hAnsi="仿宋_GB2312" w:eastAsia="仿宋_GB2312" w:cs="仿宋_GB2312"/>
                <w:color w:val="000000"/>
                <w:kern w:val="0"/>
                <w:sz w:val="21"/>
                <w:szCs w:val="21"/>
                <w:lang w:val="en-US" w:eastAsia="zh-CN"/>
              </w:rPr>
              <w:t>.00</w:t>
            </w:r>
          </w:p>
        </w:tc>
        <w:tc>
          <w:tcPr>
            <w:tcW w:w="1712" w:type="dxa"/>
            <w:tcBorders>
              <w:top w:val="nil"/>
              <w:left w:val="nil"/>
              <w:bottom w:val="single" w:color="auto" w:sz="4" w:space="0"/>
              <w:right w:val="single" w:color="auto" w:sz="4" w:space="0"/>
            </w:tcBorders>
            <w:vAlign w:val="center"/>
          </w:tcPr>
          <w:p>
            <w:pPr>
              <w:widowControl/>
              <w:jc w:val="center"/>
              <w:textAlignment w:val="bottom"/>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0.00</w:t>
            </w:r>
          </w:p>
        </w:tc>
      </w:tr>
      <w:tr>
        <w:tblPrEx>
          <w:tblLayout w:type="fixed"/>
          <w:tblCellMar>
            <w:top w:w="0" w:type="dxa"/>
            <w:left w:w="108" w:type="dxa"/>
            <w:bottom w:w="0" w:type="dxa"/>
            <w:right w:w="108" w:type="dxa"/>
          </w:tblCellMar>
        </w:tblPrEx>
        <w:trPr>
          <w:trHeight w:val="567" w:hRule="exact"/>
        </w:trPr>
        <w:tc>
          <w:tcPr>
            <w:tcW w:w="1575"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color w:val="000000"/>
                <w:kern w:val="0"/>
                <w:sz w:val="24"/>
                <w:szCs w:val="24"/>
              </w:rPr>
            </w:pPr>
          </w:p>
        </w:tc>
        <w:tc>
          <w:tcPr>
            <w:tcW w:w="1417"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p>
        </w:tc>
        <w:tc>
          <w:tcPr>
            <w:tcW w:w="1559" w:type="dxa"/>
            <w:tcBorders>
              <w:top w:val="nil"/>
              <w:left w:val="nil"/>
              <w:bottom w:val="single" w:color="auto" w:sz="4" w:space="0"/>
              <w:right w:val="single" w:color="auto" w:sz="4" w:space="0"/>
            </w:tcBorders>
            <w:vAlign w:val="bottom"/>
          </w:tcPr>
          <w:p>
            <w:pPr>
              <w:widowControl/>
              <w:jc w:val="right"/>
              <w:textAlignment w:val="bottom"/>
              <w:rPr>
                <w:rFonts w:ascii="宋体"/>
                <w:color w:val="000000"/>
                <w:kern w:val="0"/>
                <w:sz w:val="18"/>
                <w:szCs w:val="18"/>
              </w:rPr>
            </w:pPr>
          </w:p>
        </w:tc>
        <w:tc>
          <w:tcPr>
            <w:tcW w:w="1418"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559"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712"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r>
      <w:tr>
        <w:tblPrEx>
          <w:tblLayout w:type="fixed"/>
          <w:tblCellMar>
            <w:top w:w="0" w:type="dxa"/>
            <w:left w:w="108" w:type="dxa"/>
            <w:bottom w:w="0" w:type="dxa"/>
            <w:right w:w="108" w:type="dxa"/>
          </w:tblCellMar>
        </w:tblPrEx>
        <w:trPr>
          <w:trHeight w:val="567" w:hRule="exact"/>
        </w:trPr>
        <w:tc>
          <w:tcPr>
            <w:tcW w:w="1575"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color w:val="000000"/>
                <w:kern w:val="0"/>
                <w:sz w:val="24"/>
                <w:szCs w:val="24"/>
              </w:rPr>
            </w:pPr>
          </w:p>
        </w:tc>
        <w:tc>
          <w:tcPr>
            <w:tcW w:w="1417"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p>
        </w:tc>
        <w:tc>
          <w:tcPr>
            <w:tcW w:w="1559" w:type="dxa"/>
            <w:tcBorders>
              <w:top w:val="nil"/>
              <w:left w:val="nil"/>
              <w:bottom w:val="single" w:color="auto" w:sz="4" w:space="0"/>
              <w:right w:val="single" w:color="auto" w:sz="4" w:space="0"/>
            </w:tcBorders>
            <w:vAlign w:val="bottom"/>
          </w:tcPr>
          <w:p>
            <w:pPr>
              <w:widowControl/>
              <w:jc w:val="right"/>
              <w:textAlignment w:val="bottom"/>
              <w:rPr>
                <w:rFonts w:ascii="宋体"/>
                <w:color w:val="000000"/>
                <w:kern w:val="0"/>
                <w:sz w:val="18"/>
                <w:szCs w:val="18"/>
              </w:rPr>
            </w:pPr>
          </w:p>
        </w:tc>
        <w:tc>
          <w:tcPr>
            <w:tcW w:w="1418"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559"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712"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r>
      <w:tr>
        <w:tblPrEx>
          <w:tblLayout w:type="fixed"/>
          <w:tblCellMar>
            <w:top w:w="0" w:type="dxa"/>
            <w:left w:w="108" w:type="dxa"/>
            <w:bottom w:w="0" w:type="dxa"/>
            <w:right w:w="108" w:type="dxa"/>
          </w:tblCellMar>
        </w:tblPrEx>
        <w:trPr>
          <w:trHeight w:val="567" w:hRule="exact"/>
        </w:trPr>
        <w:tc>
          <w:tcPr>
            <w:tcW w:w="1575"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color w:val="000000"/>
                <w:kern w:val="0"/>
                <w:sz w:val="24"/>
                <w:szCs w:val="24"/>
              </w:rPr>
            </w:pPr>
          </w:p>
        </w:tc>
        <w:tc>
          <w:tcPr>
            <w:tcW w:w="1417"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p>
        </w:tc>
        <w:tc>
          <w:tcPr>
            <w:tcW w:w="1418"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p>
        </w:tc>
        <w:tc>
          <w:tcPr>
            <w:tcW w:w="1559"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p>
        </w:tc>
        <w:tc>
          <w:tcPr>
            <w:tcW w:w="1712"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p>
        </w:tc>
      </w:tr>
      <w:tr>
        <w:tblPrEx>
          <w:tblLayout w:type="fixed"/>
          <w:tblCellMar>
            <w:top w:w="0" w:type="dxa"/>
            <w:left w:w="108" w:type="dxa"/>
            <w:bottom w:w="0" w:type="dxa"/>
            <w:right w:w="108" w:type="dxa"/>
          </w:tblCellMar>
        </w:tblPrEx>
        <w:trPr>
          <w:trHeight w:val="555" w:hRule="atLeast"/>
        </w:trPr>
        <w:tc>
          <w:tcPr>
            <w:tcW w:w="1575"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color w:val="000000"/>
                <w:kern w:val="0"/>
                <w:sz w:val="24"/>
                <w:szCs w:val="24"/>
              </w:rPr>
            </w:pPr>
          </w:p>
        </w:tc>
        <w:tc>
          <w:tcPr>
            <w:tcW w:w="1417"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1712"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r>
    </w:tbl>
    <w:p/>
    <w:p/>
    <w:p/>
    <w:p/>
    <w:p/>
    <w:p/>
    <w:p/>
    <w:p/>
    <w:p/>
    <w:p/>
    <w:p/>
    <w:p/>
    <w:p/>
    <w:p/>
    <w:p/>
    <w:p>
      <w:pPr>
        <w:rPr>
          <w:rFonts w:ascii="仿宋_GB2312" w:hAnsi="宋体" w:eastAsia="仿宋_GB2312"/>
          <w:b/>
          <w:bCs/>
          <w:kern w:val="0"/>
          <w:sz w:val="32"/>
          <w:szCs w:val="32"/>
        </w:rPr>
      </w:pPr>
      <w:r>
        <w:br w:type="page"/>
      </w:r>
      <w:r>
        <w:rPr>
          <w:rFonts w:hint="eastAsia" w:ascii="仿宋_GB2312" w:hAnsi="宋体" w:eastAsia="仿宋_GB2312" w:cs="仿宋_GB2312"/>
          <w:b/>
          <w:bCs/>
          <w:kern w:val="0"/>
          <w:sz w:val="32"/>
          <w:szCs w:val="32"/>
        </w:rPr>
        <w:t>表九：</w:t>
      </w:r>
    </w:p>
    <w:p>
      <w:pPr>
        <w:widowControl/>
        <w:jc w:val="center"/>
        <w:outlineLvl w:val="1"/>
        <w:rPr>
          <w:rFonts w:ascii="仿宋_GB2312" w:hAnsi="宋体" w:eastAsia="仿宋_GB2312"/>
          <w:b/>
          <w:bCs/>
          <w:kern w:val="0"/>
          <w:sz w:val="32"/>
          <w:szCs w:val="32"/>
        </w:rPr>
      </w:pPr>
      <w:r>
        <w:rPr>
          <w:rFonts w:hint="eastAsia" w:ascii="仿宋_GB2312" w:hAnsi="宋体" w:eastAsia="仿宋_GB2312" w:cs="仿宋_GB2312"/>
          <w:b/>
          <w:bCs/>
          <w:kern w:val="0"/>
          <w:sz w:val="32"/>
          <w:szCs w:val="32"/>
        </w:rPr>
        <w:t>政府性基金预算支出情况表</w:t>
      </w:r>
    </w:p>
    <w:p>
      <w:pPr>
        <w:widowControl/>
        <w:outlineLvl w:val="1"/>
        <w:rPr>
          <w:rFonts w:ascii="仿宋_GB2312" w:hAnsi="宋体" w:eastAsia="仿宋_GB2312"/>
          <w:kern w:val="0"/>
          <w:sz w:val="24"/>
          <w:szCs w:val="24"/>
        </w:rPr>
      </w:pPr>
      <w:r>
        <w:rPr>
          <w:rFonts w:hint="eastAsia" w:ascii="仿宋_GB2312" w:hAnsi="宋体" w:eastAsia="仿宋_GB2312" w:cs="仿宋_GB2312"/>
          <w:kern w:val="0"/>
          <w:sz w:val="24"/>
          <w:szCs w:val="24"/>
        </w:rPr>
        <w:t>编制</w:t>
      </w:r>
      <w:r>
        <w:rPr>
          <w:rFonts w:hint="eastAsia" w:ascii="仿宋_GB2312" w:hAnsi="宋体" w:eastAsia="仿宋_GB2312" w:cs="仿宋_GB2312"/>
          <w:kern w:val="0"/>
          <w:sz w:val="24"/>
          <w:szCs w:val="24"/>
          <w:lang w:eastAsia="zh-CN"/>
        </w:rPr>
        <w:t>部门</w:t>
      </w:r>
      <w:r>
        <w:rPr>
          <w:rFonts w:hint="eastAsia" w:ascii="仿宋_GB2312" w:hAnsi="宋体" w:eastAsia="仿宋_GB2312" w:cs="仿宋_GB2312"/>
          <w:kern w:val="0"/>
          <w:sz w:val="24"/>
          <w:szCs w:val="24"/>
        </w:rPr>
        <w:t>：</w:t>
      </w:r>
      <w:r>
        <w:rPr>
          <w:rFonts w:hint="eastAsia" w:ascii="仿宋_GB2312" w:hAnsi="宋体" w:eastAsia="仿宋_GB2312" w:cs="仿宋_GB2312"/>
          <w:kern w:val="0"/>
          <w:sz w:val="24"/>
          <w:szCs w:val="24"/>
          <w:lang w:eastAsia="zh-CN"/>
        </w:rPr>
        <w:t>吉木萨尔县交通运输局</w:t>
      </w:r>
      <w:r>
        <w:rPr>
          <w:rFonts w:ascii="仿宋_GB2312" w:hAnsi="宋体" w:eastAsia="仿宋_GB2312" w:cs="仿宋_GB2312"/>
          <w:kern w:val="0"/>
          <w:sz w:val="24"/>
          <w:szCs w:val="24"/>
        </w:rPr>
        <w:t xml:space="preserve">                            </w:t>
      </w:r>
      <w:r>
        <w:rPr>
          <w:rFonts w:hint="eastAsia" w:ascii="仿宋_GB2312" w:hAnsi="宋体" w:eastAsia="仿宋_GB2312" w:cs="仿宋_GB2312"/>
          <w:kern w:val="0"/>
          <w:sz w:val="24"/>
          <w:szCs w:val="24"/>
        </w:rPr>
        <w:t>单位：万元</w:t>
      </w:r>
    </w:p>
    <w:tbl>
      <w:tblPr>
        <w:tblStyle w:val="8"/>
        <w:tblW w:w="9214" w:type="dxa"/>
        <w:tblInd w:w="-106" w:type="dxa"/>
        <w:tblLayout w:type="fixed"/>
        <w:tblCellMar>
          <w:top w:w="0" w:type="dxa"/>
          <w:left w:w="108" w:type="dxa"/>
          <w:bottom w:w="0" w:type="dxa"/>
          <w:right w:w="108" w:type="dxa"/>
        </w:tblCellMar>
      </w:tblPr>
      <w:tblGrid>
        <w:gridCol w:w="585"/>
        <w:gridCol w:w="457"/>
        <w:gridCol w:w="457"/>
        <w:gridCol w:w="2896"/>
        <w:gridCol w:w="1559"/>
        <w:gridCol w:w="1701"/>
        <w:gridCol w:w="1559"/>
      </w:tblGrid>
      <w:tr>
        <w:tblPrEx>
          <w:tblLayout w:type="fixed"/>
          <w:tblCellMar>
            <w:top w:w="0" w:type="dxa"/>
            <w:left w:w="108" w:type="dxa"/>
            <w:bottom w:w="0" w:type="dxa"/>
            <w:right w:w="108" w:type="dxa"/>
          </w:tblCellMar>
        </w:tblPrEx>
        <w:trPr>
          <w:trHeight w:val="465" w:hRule="atLeast"/>
        </w:trPr>
        <w:tc>
          <w:tcPr>
            <w:tcW w:w="439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项</w:t>
            </w:r>
            <w:r>
              <w:rPr>
                <w:rFonts w:ascii="仿宋_GB2312" w:hAnsi="宋体" w:eastAsia="仿宋_GB2312" w:cs="仿宋_GB2312"/>
                <w:b/>
                <w:bCs/>
                <w:color w:val="000000"/>
                <w:kern w:val="0"/>
                <w:sz w:val="24"/>
                <w:szCs w:val="24"/>
              </w:rPr>
              <w:t xml:space="preserve">  </w:t>
            </w:r>
            <w:r>
              <w:rPr>
                <w:rFonts w:hint="eastAsia" w:ascii="仿宋_GB2312" w:hAnsi="宋体" w:eastAsia="仿宋_GB2312" w:cs="仿宋_GB2312"/>
                <w:b/>
                <w:bCs/>
                <w:color w:val="000000"/>
                <w:kern w:val="0"/>
                <w:sz w:val="24"/>
                <w:szCs w:val="24"/>
              </w:rPr>
              <w:t>目</w:t>
            </w:r>
          </w:p>
        </w:tc>
        <w:tc>
          <w:tcPr>
            <w:tcW w:w="4819"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政府性基金预算支出</w:t>
            </w:r>
          </w:p>
        </w:tc>
      </w:tr>
      <w:tr>
        <w:tblPrEx>
          <w:tblLayout w:type="fixed"/>
          <w:tblCellMar>
            <w:top w:w="0" w:type="dxa"/>
            <w:left w:w="108" w:type="dxa"/>
            <w:bottom w:w="0" w:type="dxa"/>
            <w:right w:w="108" w:type="dxa"/>
          </w:tblCellMar>
        </w:tblPrEx>
        <w:trPr>
          <w:trHeight w:val="360" w:hRule="atLeast"/>
        </w:trPr>
        <w:tc>
          <w:tcPr>
            <w:tcW w:w="1499"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18"/>
                <w:szCs w:val="18"/>
              </w:rPr>
            </w:pPr>
            <w:r>
              <w:rPr>
                <w:rFonts w:hint="eastAsia" w:ascii="仿宋_GB2312" w:hAnsi="宋体" w:eastAsia="仿宋_GB2312" w:cs="仿宋_GB2312"/>
                <w:b/>
                <w:bCs/>
                <w:color w:val="000000"/>
                <w:kern w:val="0"/>
                <w:sz w:val="18"/>
                <w:szCs w:val="18"/>
              </w:rPr>
              <w:t>功能分类科目编码</w:t>
            </w:r>
          </w:p>
        </w:tc>
        <w:tc>
          <w:tcPr>
            <w:tcW w:w="289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功能分类科目名称</w:t>
            </w:r>
          </w:p>
        </w:tc>
        <w:tc>
          <w:tcPr>
            <w:tcW w:w="155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小计</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基本支出</w:t>
            </w:r>
          </w:p>
        </w:tc>
        <w:tc>
          <w:tcPr>
            <w:tcW w:w="155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项目支出</w:t>
            </w:r>
          </w:p>
        </w:tc>
      </w:tr>
      <w:tr>
        <w:tblPrEx>
          <w:tblLayout w:type="fixed"/>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类</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款</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b/>
                <w:bCs/>
                <w:color w:val="000000"/>
                <w:kern w:val="0"/>
                <w:sz w:val="24"/>
                <w:szCs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b/>
                <w:bCs/>
                <w:color w:val="000000"/>
                <w:kern w:val="0"/>
                <w:sz w:val="24"/>
                <w:szCs w:val="24"/>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b/>
                <w:bCs/>
                <w:color w:val="000000"/>
                <w:kern w:val="0"/>
                <w:sz w:val="24"/>
                <w:szCs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b/>
                <w:bCs/>
                <w:color w:val="000000"/>
                <w:kern w:val="0"/>
                <w:sz w:val="24"/>
                <w:szCs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457"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457"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2896"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559"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559"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457"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457"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2896"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559"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559"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457"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457"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2896"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559"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559"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457"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457"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2896"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559"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c>
          <w:tcPr>
            <w:tcW w:w="1559" w:type="dxa"/>
            <w:tcBorders>
              <w:top w:val="nil"/>
              <w:left w:val="nil"/>
              <w:bottom w:val="single" w:color="auto" w:sz="4" w:space="0"/>
              <w:right w:val="single" w:color="auto" w:sz="4" w:space="0"/>
            </w:tcBorders>
            <w:vAlign w:val="center"/>
          </w:tcPr>
          <w:p>
            <w:pPr>
              <w:widowControl/>
              <w:jc w:val="right"/>
              <w:textAlignment w:val="bottom"/>
              <w:rPr>
                <w:rFonts w:ascii="宋体"/>
                <w:color w:val="000000"/>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b/>
                <w:bCs/>
                <w:color w:val="000000"/>
                <w:kern w:val="0"/>
                <w:sz w:val="32"/>
                <w:szCs w:val="32"/>
              </w:rPr>
            </w:pPr>
            <w:r>
              <w:rPr>
                <w:rFonts w:hint="eastAsia" w:ascii="仿宋_GB2312" w:hAnsi="宋体" w:eastAsia="仿宋_GB2312" w:cs="仿宋_GB2312"/>
                <w:b/>
                <w:bCs/>
                <w:color w:val="000000"/>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color w:val="000000"/>
                <w:kern w:val="0"/>
                <w:sz w:val="24"/>
                <w:szCs w:val="24"/>
              </w:rPr>
            </w:pPr>
            <w:r>
              <w:rPr>
                <w:rFonts w:hint="eastAsia" w:ascii="宋体" w:hAnsi="宋体" w:cs="宋体"/>
                <w:color w:val="000000"/>
                <w:kern w:val="0"/>
                <w:sz w:val="24"/>
                <w:szCs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olor w:val="000000"/>
                <w:kern w:val="0"/>
                <w:sz w:val="24"/>
                <w:szCs w:val="24"/>
              </w:rPr>
            </w:pPr>
            <w:r>
              <w:rPr>
                <w:rFonts w:hint="eastAsia" w:ascii="仿宋_GB2312" w:hAnsi="宋体" w:eastAsia="仿宋_GB2312" w:cs="仿宋_GB2312"/>
                <w:color w:val="000000"/>
                <w:kern w:val="0"/>
                <w:sz w:val="24"/>
                <w:szCs w:val="24"/>
              </w:rPr>
              <w:t>合计</w:t>
            </w:r>
          </w:p>
        </w:tc>
        <w:tc>
          <w:tcPr>
            <w:tcW w:w="1559" w:type="dxa"/>
            <w:tcBorders>
              <w:top w:val="nil"/>
              <w:left w:val="nil"/>
              <w:bottom w:val="single" w:color="auto" w:sz="4" w:space="0"/>
              <w:right w:val="single" w:color="auto" w:sz="4" w:space="0"/>
            </w:tcBorders>
            <w:vAlign w:val="center"/>
          </w:tcPr>
          <w:p>
            <w:pPr>
              <w:widowControl/>
              <w:jc w:val="right"/>
              <w:textAlignment w:val="center"/>
              <w:rPr>
                <w:rFonts w:ascii="仿宋_GB2312" w:hAnsi="宋体" w:eastAsia="仿宋_GB2312"/>
                <w:color w:val="000000"/>
                <w:kern w:val="0"/>
                <w:sz w:val="24"/>
                <w:szCs w:val="24"/>
              </w:rPr>
            </w:pPr>
          </w:p>
        </w:tc>
        <w:tc>
          <w:tcPr>
            <w:tcW w:w="1701" w:type="dxa"/>
            <w:tcBorders>
              <w:top w:val="nil"/>
              <w:left w:val="nil"/>
              <w:bottom w:val="single" w:color="auto" w:sz="4" w:space="0"/>
              <w:right w:val="single" w:color="auto" w:sz="4" w:space="0"/>
            </w:tcBorders>
            <w:vAlign w:val="center"/>
          </w:tcPr>
          <w:p>
            <w:pPr>
              <w:jc w:val="left"/>
              <w:rPr>
                <w:rFonts w:ascii="仿宋_GB2312" w:hAnsi="宋体" w:eastAsia="仿宋_GB2312"/>
                <w:color w:val="000000"/>
                <w:kern w:val="0"/>
                <w:sz w:val="24"/>
                <w:szCs w:val="24"/>
              </w:rPr>
            </w:pPr>
          </w:p>
        </w:tc>
        <w:tc>
          <w:tcPr>
            <w:tcW w:w="1559" w:type="dxa"/>
            <w:tcBorders>
              <w:top w:val="nil"/>
              <w:left w:val="nil"/>
              <w:bottom w:val="single" w:color="auto" w:sz="4" w:space="0"/>
              <w:right w:val="single" w:color="auto" w:sz="4" w:space="0"/>
            </w:tcBorders>
            <w:vAlign w:val="center"/>
          </w:tcPr>
          <w:p>
            <w:pPr>
              <w:widowControl/>
              <w:jc w:val="right"/>
              <w:textAlignment w:val="center"/>
              <w:rPr>
                <w:rFonts w:ascii="仿宋_GB2312" w:hAnsi="宋体" w:eastAsia="仿宋_GB2312"/>
                <w:color w:val="000000"/>
                <w:kern w:val="0"/>
                <w:sz w:val="24"/>
                <w:szCs w:val="24"/>
              </w:rPr>
            </w:pPr>
          </w:p>
        </w:tc>
      </w:tr>
    </w:tbl>
    <w:p>
      <w:pPr>
        <w:widowControl/>
        <w:ind w:left="843" w:hanging="843" w:hangingChars="300"/>
        <w:outlineLvl w:val="1"/>
        <w:rPr>
          <w:rFonts w:ascii="仿宋_GB2312" w:hAnsi="宋体" w:eastAsia="仿宋_GB2312" w:cs="仿宋_GB2312"/>
          <w:b/>
          <w:bCs/>
          <w:kern w:val="0"/>
          <w:sz w:val="28"/>
          <w:szCs w:val="28"/>
        </w:rPr>
      </w:pPr>
      <w:r>
        <w:rPr>
          <w:rFonts w:hint="eastAsia" w:ascii="仿宋_GB2312" w:hAnsi="宋体" w:eastAsia="仿宋_GB2312" w:cs="仿宋_GB2312"/>
          <w:b/>
          <w:bCs/>
          <w:kern w:val="0"/>
          <w:sz w:val="28"/>
          <w:szCs w:val="28"/>
        </w:rPr>
        <w:t>备注：</w:t>
      </w:r>
      <w:r>
        <w:rPr>
          <w:rFonts w:hint="eastAsia" w:ascii="仿宋_GB2312" w:hAnsi="宋体" w:eastAsia="仿宋_GB2312" w:cs="仿宋_GB2312"/>
          <w:b/>
          <w:bCs/>
          <w:kern w:val="0"/>
          <w:sz w:val="28"/>
          <w:szCs w:val="28"/>
          <w:lang w:eastAsia="zh-CN"/>
        </w:rPr>
        <w:t>吉木萨尔县交通运输局</w:t>
      </w:r>
      <w:r>
        <w:rPr>
          <w:rFonts w:hint="eastAsia" w:ascii="仿宋_GB2312" w:hAnsi="宋体" w:eastAsia="仿宋_GB2312" w:cs="仿宋_GB2312"/>
          <w:b/>
          <w:bCs/>
          <w:kern w:val="0"/>
          <w:sz w:val="28"/>
          <w:szCs w:val="28"/>
        </w:rPr>
        <w:t>2020年没有使用政府性基金预算拨款安排的支出，政府性基金预算支出情况表为空表。</w:t>
      </w:r>
    </w:p>
    <w:p>
      <w:pPr>
        <w:widowControl/>
        <w:outlineLvl w:val="1"/>
        <w:rPr>
          <w:rFonts w:ascii="仿宋_GB2312" w:hAnsi="宋体" w:eastAsia="仿宋_GB2312"/>
          <w:b/>
          <w:bCs/>
          <w:kern w:val="0"/>
          <w:sz w:val="28"/>
          <w:szCs w:val="28"/>
        </w:rPr>
      </w:pPr>
    </w:p>
    <w:p>
      <w:pPr>
        <w:jc w:val="left"/>
        <w:outlineLvl w:val="1"/>
        <w:rPr>
          <w:rFonts w:ascii="仿宋_GB2312" w:hAnsi="宋体" w:eastAsia="仿宋_GB2312"/>
          <w:kern w:val="0"/>
          <w:sz w:val="32"/>
          <w:szCs w:val="32"/>
        </w:rPr>
        <w:sectPr>
          <w:footerReference r:id="rId3" w:type="default"/>
          <w:pgSz w:w="11906" w:h="16838"/>
          <w:pgMar w:top="2098" w:right="1418" w:bottom="1928" w:left="1588" w:header="851" w:footer="992" w:gutter="0"/>
          <w:pgNumType w:fmt="decimal"/>
          <w:cols w:space="720" w:num="1"/>
          <w:docGrid w:linePitch="312" w:charSpace="0"/>
        </w:sectPr>
      </w:pPr>
    </w:p>
    <w:p>
      <w:pPr>
        <w:spacing w:line="600" w:lineRule="exact"/>
        <w:jc w:val="center"/>
        <w:rPr>
          <w:rFonts w:ascii="黑体" w:hAnsi="黑体" w:eastAsia="黑体"/>
          <w:kern w:val="0"/>
          <w:sz w:val="32"/>
          <w:szCs w:val="32"/>
        </w:rPr>
      </w:pPr>
      <w:r>
        <w:rPr>
          <w:rFonts w:hint="eastAsia" w:ascii="黑体" w:hAnsi="黑体" w:eastAsia="黑体" w:cs="黑体"/>
          <w:kern w:val="0"/>
          <w:sz w:val="32"/>
          <w:szCs w:val="32"/>
        </w:rPr>
        <w:t>第三部分</w:t>
      </w:r>
      <w:r>
        <w:rPr>
          <w:rFonts w:ascii="黑体" w:hAnsi="黑体" w:eastAsia="黑体" w:cs="黑体"/>
          <w:kern w:val="0"/>
          <w:sz w:val="32"/>
          <w:szCs w:val="32"/>
        </w:rPr>
        <w:t xml:space="preserve">  2020</w:t>
      </w:r>
      <w:r>
        <w:rPr>
          <w:rFonts w:hint="eastAsia" w:ascii="黑体" w:hAnsi="黑体" w:eastAsia="黑体" w:cs="黑体"/>
          <w:kern w:val="0"/>
          <w:sz w:val="32"/>
          <w:szCs w:val="32"/>
        </w:rPr>
        <w:t>年部门预算情况说明</w:t>
      </w:r>
    </w:p>
    <w:p>
      <w:pPr>
        <w:spacing w:line="600" w:lineRule="exact"/>
        <w:jc w:val="center"/>
        <w:rPr>
          <w:rFonts w:ascii="黑体" w:hAnsi="黑体" w:eastAsia="黑体"/>
          <w:kern w:val="0"/>
          <w:sz w:val="32"/>
          <w:szCs w:val="32"/>
        </w:rPr>
      </w:pPr>
    </w:p>
    <w:p>
      <w:pPr>
        <w:spacing w:line="600" w:lineRule="exact"/>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一、关于</w:t>
      </w:r>
      <w:r>
        <w:rPr>
          <w:rFonts w:hint="eastAsia" w:ascii="仿宋_GB2312" w:hAnsi="仿宋_GB2312" w:eastAsia="仿宋_GB2312" w:cs="仿宋_GB2312"/>
          <w:b/>
          <w:bCs/>
          <w:kern w:val="0"/>
          <w:sz w:val="32"/>
          <w:szCs w:val="32"/>
          <w:lang w:eastAsia="zh-CN"/>
        </w:rPr>
        <w:t>吉木萨尔县交通运输局</w:t>
      </w:r>
      <w:r>
        <w:rPr>
          <w:rFonts w:hint="eastAsia" w:ascii="仿宋_GB2312" w:hAnsi="仿宋_GB2312" w:eastAsia="仿宋_GB2312" w:cs="仿宋_GB2312"/>
          <w:b/>
          <w:bCs/>
          <w:kern w:val="0"/>
          <w:sz w:val="32"/>
          <w:szCs w:val="32"/>
        </w:rPr>
        <w:t>2020年收支预算情况的总体说明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按照全口径预算的原则，</w:t>
      </w:r>
      <w:r>
        <w:rPr>
          <w:rFonts w:hint="eastAsia" w:ascii="仿宋_GB2312" w:hAnsi="仿宋_GB2312" w:eastAsia="仿宋_GB2312" w:cs="仿宋_GB2312"/>
          <w:kern w:val="0"/>
          <w:sz w:val="32"/>
          <w:szCs w:val="32"/>
          <w:lang w:eastAsia="zh-CN"/>
        </w:rPr>
        <w:t>吉木萨尔县交通运输局</w:t>
      </w:r>
      <w:r>
        <w:rPr>
          <w:rFonts w:hint="eastAsia" w:ascii="仿宋_GB2312" w:hAnsi="仿宋_GB2312" w:eastAsia="仿宋_GB2312" w:cs="仿宋_GB2312"/>
          <w:kern w:val="0"/>
          <w:sz w:val="32"/>
          <w:szCs w:val="32"/>
        </w:rPr>
        <w:t>2020年所有收入和支出均纳入部门预算管理。收支总预算218.2</w:t>
      </w: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万元。</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收入预算包括：一般公共预算218.2</w:t>
      </w: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支出预算包括：社会保障和就业支出</w:t>
      </w:r>
      <w:r>
        <w:rPr>
          <w:rFonts w:hint="eastAsia" w:ascii="仿宋_GB2312" w:hAnsi="仿宋_GB2312" w:eastAsia="仿宋_GB2312" w:cs="仿宋_GB2312"/>
          <w:kern w:val="0"/>
          <w:sz w:val="32"/>
          <w:szCs w:val="32"/>
          <w:highlight w:val="none"/>
        </w:rPr>
        <w:t>23.49万元</w:t>
      </w:r>
      <w:r>
        <w:rPr>
          <w:rFonts w:hint="eastAsia" w:ascii="仿宋_GB2312" w:hAnsi="仿宋_GB2312" w:eastAsia="仿宋_GB2312" w:cs="仿宋_GB2312"/>
          <w:kern w:val="0"/>
          <w:sz w:val="32"/>
          <w:szCs w:val="32"/>
        </w:rPr>
        <w:t>、卫生健康支出</w:t>
      </w:r>
      <w:r>
        <w:rPr>
          <w:rFonts w:hint="eastAsia" w:ascii="仿宋_GB2312" w:hAnsi="仿宋_GB2312" w:eastAsia="仿宋_GB2312" w:cs="仿宋_GB2312"/>
          <w:color w:val="000000"/>
          <w:kern w:val="0"/>
          <w:sz w:val="32"/>
          <w:szCs w:val="32"/>
          <w:highlight w:val="none"/>
          <w:lang w:bidi="ar"/>
        </w:rPr>
        <w:t>21.76万元</w:t>
      </w:r>
      <w:r>
        <w:rPr>
          <w:rFonts w:hint="eastAsia" w:ascii="仿宋_GB2312" w:hAnsi="仿宋_GB2312" w:eastAsia="仿宋_GB2312" w:cs="仿宋_GB2312"/>
          <w:kern w:val="0"/>
          <w:sz w:val="32"/>
          <w:szCs w:val="32"/>
        </w:rPr>
        <w:t>、交通运输支出</w:t>
      </w:r>
      <w:r>
        <w:rPr>
          <w:rFonts w:hint="eastAsia" w:ascii="仿宋_GB2312" w:hAnsi="仿宋_GB2312" w:eastAsia="仿宋_GB2312" w:cs="仿宋_GB2312"/>
          <w:color w:val="000000"/>
          <w:kern w:val="0"/>
          <w:sz w:val="32"/>
          <w:szCs w:val="32"/>
          <w:highlight w:val="none"/>
          <w:lang w:bidi="ar"/>
        </w:rPr>
        <w:t>173.02万元</w:t>
      </w:r>
      <w:r>
        <w:rPr>
          <w:rFonts w:hint="eastAsia" w:ascii="仿宋_GB2312" w:hAnsi="仿宋_GB2312" w:eastAsia="仿宋_GB2312" w:cs="仿宋_GB2312"/>
          <w:kern w:val="0"/>
          <w:sz w:val="32"/>
          <w:szCs w:val="32"/>
        </w:rPr>
        <w:t>。</w:t>
      </w:r>
    </w:p>
    <w:p>
      <w:pPr>
        <w:spacing w:line="600" w:lineRule="exact"/>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二、关于</w:t>
      </w:r>
      <w:r>
        <w:rPr>
          <w:rFonts w:hint="eastAsia" w:ascii="仿宋_GB2312" w:hAnsi="仿宋_GB2312" w:eastAsia="仿宋_GB2312" w:cs="仿宋_GB2312"/>
          <w:b/>
          <w:bCs/>
          <w:kern w:val="0"/>
          <w:sz w:val="32"/>
          <w:szCs w:val="32"/>
          <w:lang w:eastAsia="zh-CN"/>
        </w:rPr>
        <w:t>吉木萨尔县交通运输局</w:t>
      </w:r>
      <w:r>
        <w:rPr>
          <w:rFonts w:hint="eastAsia" w:ascii="仿宋_GB2312" w:hAnsi="仿宋_GB2312" w:eastAsia="仿宋_GB2312" w:cs="仿宋_GB2312"/>
          <w:b/>
          <w:bCs/>
          <w:kern w:val="0"/>
          <w:sz w:val="32"/>
          <w:szCs w:val="32"/>
        </w:rPr>
        <w:t>2020年收入预算情况说明</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lang w:eastAsia="zh-CN"/>
        </w:rPr>
        <w:t>吉木萨尔</w:t>
      </w:r>
      <w:r>
        <w:rPr>
          <w:rFonts w:hint="eastAsia" w:ascii="仿宋_GB2312" w:hAnsi="仿宋_GB2312" w:eastAsia="仿宋_GB2312" w:cs="仿宋_GB2312"/>
          <w:kern w:val="0"/>
          <w:sz w:val="32"/>
          <w:szCs w:val="32"/>
          <w:highlight w:val="none"/>
          <w:lang w:eastAsia="zh-CN"/>
        </w:rPr>
        <w:t>县交通运输局</w:t>
      </w:r>
      <w:r>
        <w:rPr>
          <w:rFonts w:hint="eastAsia" w:ascii="仿宋_GB2312" w:hAnsi="仿宋_GB2312" w:eastAsia="仿宋_GB2312" w:cs="仿宋_GB2312"/>
          <w:kern w:val="0"/>
          <w:sz w:val="32"/>
          <w:szCs w:val="32"/>
          <w:highlight w:val="none"/>
        </w:rPr>
        <w:t>收入预算218.2</w:t>
      </w:r>
      <w:r>
        <w:rPr>
          <w:rFonts w:hint="eastAsia" w:ascii="仿宋_GB2312" w:hAnsi="仿宋_GB2312" w:eastAsia="仿宋_GB2312" w:cs="仿宋_GB2312"/>
          <w:kern w:val="0"/>
          <w:sz w:val="32"/>
          <w:szCs w:val="32"/>
          <w:highlight w:val="none"/>
          <w:lang w:val="en-US" w:eastAsia="zh-CN"/>
        </w:rPr>
        <w:t>7</w:t>
      </w:r>
      <w:r>
        <w:rPr>
          <w:rFonts w:hint="eastAsia" w:ascii="仿宋_GB2312" w:hAnsi="仿宋_GB2312" w:eastAsia="仿宋_GB2312" w:cs="仿宋_GB2312"/>
          <w:kern w:val="0"/>
          <w:sz w:val="32"/>
          <w:szCs w:val="32"/>
          <w:highlight w:val="none"/>
        </w:rPr>
        <w:t>万元，其中：</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一般公共预算218.2</w:t>
      </w:r>
      <w:r>
        <w:rPr>
          <w:rFonts w:hint="eastAsia" w:ascii="仿宋_GB2312" w:hAnsi="仿宋_GB2312" w:eastAsia="仿宋_GB2312" w:cs="仿宋_GB2312"/>
          <w:kern w:val="0"/>
          <w:sz w:val="32"/>
          <w:szCs w:val="32"/>
          <w:highlight w:val="none"/>
          <w:lang w:val="en-US" w:eastAsia="zh-CN"/>
        </w:rPr>
        <w:t>7</w:t>
      </w:r>
      <w:r>
        <w:rPr>
          <w:rFonts w:hint="eastAsia" w:ascii="仿宋_GB2312" w:hAnsi="仿宋_GB2312" w:eastAsia="仿宋_GB2312" w:cs="仿宋_GB2312"/>
          <w:kern w:val="0"/>
          <w:sz w:val="32"/>
          <w:szCs w:val="32"/>
          <w:highlight w:val="none"/>
        </w:rPr>
        <w:t>万元，占100%，比上年</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13.05</w:t>
      </w:r>
      <w:r>
        <w:rPr>
          <w:rFonts w:hint="eastAsia" w:ascii="仿宋_GB2312" w:hAnsi="仿宋_GB2312" w:eastAsia="仿宋_GB2312" w:cs="仿宋_GB2312"/>
          <w:kern w:val="0"/>
          <w:sz w:val="32"/>
          <w:szCs w:val="32"/>
          <w:highlight w:val="none"/>
        </w:rPr>
        <w:t>万元，主要原因是</w:t>
      </w:r>
      <w:r>
        <w:rPr>
          <w:rFonts w:hint="eastAsia" w:ascii="仿宋_GB2312" w:hAnsi="仿宋_GB2312" w:eastAsia="仿宋_GB2312" w:cs="仿宋_GB2312"/>
          <w:kern w:val="0"/>
          <w:sz w:val="32"/>
          <w:szCs w:val="32"/>
          <w:highlight w:val="none"/>
          <w:lang w:eastAsia="zh-CN"/>
        </w:rPr>
        <w:t>本年度人员减少，工资及社保经费减少</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政府性基金预算未安排。</w:t>
      </w:r>
    </w:p>
    <w:p>
      <w:pPr>
        <w:spacing w:line="600" w:lineRule="exact"/>
        <w:ind w:firstLine="643" w:firstLineChars="200"/>
        <w:rPr>
          <w:rFonts w:hint="eastAsia" w:ascii="仿宋_GB2312" w:hAnsi="仿宋_GB2312" w:eastAsia="仿宋_GB2312" w:cs="仿宋_GB2312"/>
          <w:b/>
          <w:bCs/>
          <w:kern w:val="0"/>
          <w:sz w:val="32"/>
          <w:szCs w:val="32"/>
          <w:highlight w:val="none"/>
        </w:rPr>
      </w:pPr>
      <w:r>
        <w:rPr>
          <w:rFonts w:hint="eastAsia" w:ascii="仿宋_GB2312" w:hAnsi="仿宋_GB2312" w:eastAsia="仿宋_GB2312" w:cs="仿宋_GB2312"/>
          <w:b/>
          <w:bCs/>
          <w:kern w:val="0"/>
          <w:sz w:val="32"/>
          <w:szCs w:val="32"/>
          <w:highlight w:val="none"/>
        </w:rPr>
        <w:t>三、关于</w:t>
      </w:r>
      <w:r>
        <w:rPr>
          <w:rFonts w:hint="eastAsia" w:ascii="仿宋_GB2312" w:hAnsi="仿宋_GB2312" w:eastAsia="仿宋_GB2312" w:cs="仿宋_GB2312"/>
          <w:b/>
          <w:bCs/>
          <w:kern w:val="0"/>
          <w:sz w:val="32"/>
          <w:szCs w:val="32"/>
          <w:highlight w:val="none"/>
          <w:lang w:eastAsia="zh-CN"/>
        </w:rPr>
        <w:t>吉木萨尔县交通运输局</w:t>
      </w:r>
      <w:r>
        <w:rPr>
          <w:rFonts w:hint="eastAsia" w:ascii="仿宋_GB2312" w:hAnsi="仿宋_GB2312" w:eastAsia="仿宋_GB2312" w:cs="仿宋_GB2312"/>
          <w:b/>
          <w:bCs/>
          <w:kern w:val="0"/>
          <w:sz w:val="32"/>
          <w:szCs w:val="32"/>
          <w:highlight w:val="none"/>
        </w:rPr>
        <w:t>2020年支出预算情况说明</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吉木萨尔县交通运输局</w:t>
      </w:r>
      <w:r>
        <w:rPr>
          <w:rFonts w:hint="eastAsia" w:ascii="仿宋_GB2312" w:hAnsi="仿宋_GB2312" w:eastAsia="仿宋_GB2312" w:cs="仿宋_GB2312"/>
          <w:kern w:val="0"/>
          <w:sz w:val="32"/>
          <w:szCs w:val="32"/>
          <w:highlight w:val="none"/>
        </w:rPr>
        <w:t>2020年支出预算218.2</w:t>
      </w:r>
      <w:r>
        <w:rPr>
          <w:rFonts w:hint="eastAsia" w:ascii="仿宋_GB2312" w:hAnsi="仿宋_GB2312" w:eastAsia="仿宋_GB2312" w:cs="仿宋_GB2312"/>
          <w:kern w:val="0"/>
          <w:sz w:val="32"/>
          <w:szCs w:val="32"/>
          <w:highlight w:val="none"/>
          <w:lang w:val="en-US" w:eastAsia="zh-CN"/>
        </w:rPr>
        <w:t>7</w:t>
      </w:r>
      <w:r>
        <w:rPr>
          <w:rFonts w:hint="eastAsia" w:ascii="仿宋_GB2312" w:hAnsi="仿宋_GB2312" w:eastAsia="仿宋_GB2312" w:cs="仿宋_GB2312"/>
          <w:kern w:val="0"/>
          <w:sz w:val="32"/>
          <w:szCs w:val="32"/>
          <w:highlight w:val="none"/>
        </w:rPr>
        <w:t>万元，其中：</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基本支出218.2</w:t>
      </w:r>
      <w:r>
        <w:rPr>
          <w:rFonts w:hint="eastAsia" w:ascii="仿宋_GB2312" w:hAnsi="仿宋_GB2312" w:eastAsia="仿宋_GB2312" w:cs="仿宋_GB2312"/>
          <w:kern w:val="0"/>
          <w:sz w:val="32"/>
          <w:szCs w:val="32"/>
          <w:highlight w:val="none"/>
          <w:lang w:val="en-US" w:eastAsia="zh-CN"/>
        </w:rPr>
        <w:t>7</w:t>
      </w:r>
      <w:r>
        <w:rPr>
          <w:rFonts w:hint="eastAsia" w:ascii="仿宋_GB2312" w:hAnsi="仿宋_GB2312" w:eastAsia="仿宋_GB2312" w:cs="仿宋_GB2312"/>
          <w:kern w:val="0"/>
          <w:sz w:val="32"/>
          <w:szCs w:val="32"/>
          <w:highlight w:val="none"/>
        </w:rPr>
        <w:t>万元，占100%，比上年</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13.05</w:t>
      </w:r>
      <w:r>
        <w:rPr>
          <w:rFonts w:hint="eastAsia" w:ascii="仿宋_GB2312" w:hAnsi="仿宋_GB2312" w:eastAsia="仿宋_GB2312" w:cs="仿宋_GB2312"/>
          <w:kern w:val="0"/>
          <w:sz w:val="32"/>
          <w:szCs w:val="32"/>
          <w:highlight w:val="none"/>
        </w:rPr>
        <w:t>万元，主要原因是</w:t>
      </w:r>
      <w:r>
        <w:rPr>
          <w:rFonts w:hint="eastAsia" w:ascii="仿宋_GB2312" w:hAnsi="仿宋_GB2312" w:eastAsia="仿宋_GB2312" w:cs="仿宋_GB2312"/>
          <w:kern w:val="0"/>
          <w:sz w:val="32"/>
          <w:szCs w:val="32"/>
          <w:highlight w:val="none"/>
          <w:lang w:eastAsia="zh-CN"/>
        </w:rPr>
        <w:t>本年度人员减少，工资及社保经费减少</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项目支出0万元，占0%，比上年增加0万元，主要原因是无项目支出预算。</w:t>
      </w:r>
    </w:p>
    <w:p>
      <w:pPr>
        <w:spacing w:line="600" w:lineRule="exact"/>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四、关于</w:t>
      </w:r>
      <w:r>
        <w:rPr>
          <w:rFonts w:hint="eastAsia" w:ascii="仿宋_GB2312" w:hAnsi="仿宋_GB2312" w:eastAsia="仿宋_GB2312" w:cs="仿宋_GB2312"/>
          <w:b/>
          <w:bCs/>
          <w:kern w:val="0"/>
          <w:sz w:val="32"/>
          <w:szCs w:val="32"/>
          <w:lang w:eastAsia="zh-CN"/>
        </w:rPr>
        <w:t>吉木萨尔县交通运输局</w:t>
      </w:r>
      <w:r>
        <w:rPr>
          <w:rFonts w:hint="eastAsia" w:ascii="仿宋_GB2312" w:hAnsi="仿宋_GB2312" w:eastAsia="仿宋_GB2312" w:cs="仿宋_GB2312"/>
          <w:b/>
          <w:bCs/>
          <w:kern w:val="0"/>
          <w:sz w:val="32"/>
          <w:szCs w:val="32"/>
        </w:rPr>
        <w:t>2020年财政拨款收支预算情况的总体说明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2020年财政拨款收支总预算218.2</w:t>
      </w: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rPr>
        <w:t>收入</w:t>
      </w:r>
      <w:r>
        <w:rPr>
          <w:rFonts w:hint="eastAsia" w:ascii="仿宋_GB2312" w:hAnsi="仿宋_GB2312" w:eastAsia="仿宋_GB2312" w:cs="仿宋_GB2312"/>
          <w:spacing w:val="-6"/>
          <w:kern w:val="0"/>
          <w:sz w:val="32"/>
          <w:szCs w:val="32"/>
        </w:rPr>
        <w:t>全</w:t>
      </w:r>
      <w:r>
        <w:rPr>
          <w:rFonts w:hint="eastAsia" w:ascii="仿宋_GB2312" w:hAnsi="仿宋_GB2312" w:eastAsia="仿宋_GB2312" w:cs="仿宋_GB2312"/>
          <w:spacing w:val="-6"/>
          <w:kern w:val="0"/>
          <w:sz w:val="32"/>
          <w:szCs w:val="32"/>
          <w:highlight w:val="none"/>
        </w:rPr>
        <w:t>部为一般公共预算拨款，无政府性基金预算拨款。</w:t>
      </w:r>
    </w:p>
    <w:p>
      <w:pPr>
        <w:widowControl/>
        <w:ind w:firstLine="640" w:firstLineChars="200"/>
        <w:jc w:val="left"/>
        <w:rPr>
          <w:rFonts w:hint="eastAsia" w:ascii="仿宋_GB2312" w:hAnsi="仿宋_GB2312" w:eastAsia="仿宋_GB2312" w:cs="仿宋_GB2312"/>
          <w:color w:val="000000"/>
          <w:kern w:val="0"/>
          <w:sz w:val="32"/>
          <w:szCs w:val="32"/>
          <w:highlight w:val="none"/>
          <w:lang w:bidi="ar"/>
        </w:rPr>
      </w:pPr>
      <w:r>
        <w:rPr>
          <w:rFonts w:hint="eastAsia" w:ascii="仿宋_GB2312" w:hAnsi="仿宋_GB2312" w:eastAsia="仿宋_GB2312" w:cs="仿宋_GB2312"/>
          <w:kern w:val="0"/>
          <w:sz w:val="32"/>
          <w:szCs w:val="32"/>
          <w:highlight w:val="none"/>
        </w:rPr>
        <w:t>支出预算包括：社会保障和就业支出23.49万元，主要用于机关事业单位</w:t>
      </w:r>
      <w:r>
        <w:rPr>
          <w:rFonts w:hint="eastAsia" w:ascii="仿宋_GB2312" w:hAnsi="仿宋_GB2312" w:eastAsia="仿宋_GB2312" w:cs="仿宋_GB2312"/>
          <w:kern w:val="0"/>
          <w:sz w:val="32"/>
          <w:szCs w:val="32"/>
          <w:highlight w:val="none"/>
          <w:lang w:eastAsia="zh-CN"/>
        </w:rPr>
        <w:t>在职人员</w:t>
      </w:r>
      <w:r>
        <w:rPr>
          <w:rFonts w:hint="eastAsia" w:ascii="仿宋_GB2312" w:hAnsi="仿宋_GB2312" w:eastAsia="仿宋_GB2312" w:cs="仿宋_GB2312"/>
          <w:kern w:val="0"/>
          <w:sz w:val="32"/>
          <w:szCs w:val="32"/>
          <w:highlight w:val="none"/>
        </w:rPr>
        <w:t>基本养老保险</w:t>
      </w:r>
      <w:r>
        <w:rPr>
          <w:rFonts w:hint="eastAsia" w:ascii="仿宋_GB2312" w:hAnsi="仿宋_GB2312" w:eastAsia="仿宋_GB2312" w:cs="仿宋_GB2312"/>
          <w:color w:val="000000"/>
          <w:kern w:val="0"/>
          <w:sz w:val="32"/>
          <w:szCs w:val="32"/>
          <w:highlight w:val="none"/>
          <w:lang w:bidi="ar"/>
        </w:rPr>
        <w:t>缴费，人员社保缴纳；</w:t>
      </w:r>
    </w:p>
    <w:p>
      <w:pPr>
        <w:widowControl/>
        <w:ind w:firstLine="640" w:firstLineChars="200"/>
        <w:jc w:val="left"/>
        <w:rPr>
          <w:rFonts w:hint="eastAsia" w:ascii="仿宋_GB2312" w:hAnsi="仿宋_GB2312" w:eastAsia="仿宋_GB2312" w:cs="仿宋_GB2312"/>
          <w:color w:val="000000"/>
          <w:kern w:val="0"/>
          <w:sz w:val="32"/>
          <w:szCs w:val="32"/>
          <w:highlight w:val="none"/>
          <w:lang w:eastAsia="zh-CN" w:bidi="ar"/>
        </w:rPr>
      </w:pPr>
      <w:r>
        <w:rPr>
          <w:rFonts w:hint="eastAsia" w:ascii="仿宋_GB2312" w:hAnsi="仿宋_GB2312" w:eastAsia="仿宋_GB2312" w:cs="仿宋_GB2312"/>
          <w:color w:val="000000"/>
          <w:kern w:val="0"/>
          <w:sz w:val="32"/>
          <w:szCs w:val="32"/>
          <w:highlight w:val="none"/>
          <w:lang w:eastAsia="zh-CN" w:bidi="ar"/>
        </w:rPr>
        <w:t>卫生健康</w:t>
      </w:r>
      <w:r>
        <w:rPr>
          <w:rFonts w:hint="eastAsia" w:ascii="仿宋_GB2312" w:hAnsi="仿宋_GB2312" w:eastAsia="仿宋_GB2312" w:cs="仿宋_GB2312"/>
          <w:color w:val="000000"/>
          <w:kern w:val="0"/>
          <w:sz w:val="32"/>
          <w:szCs w:val="32"/>
          <w:highlight w:val="none"/>
          <w:lang w:bidi="ar"/>
        </w:rPr>
        <w:t>支出21.76万元，主要用于</w:t>
      </w:r>
      <w:r>
        <w:rPr>
          <w:rFonts w:hint="eastAsia" w:ascii="仿宋_GB2312" w:hAnsi="仿宋_GB2312" w:eastAsia="仿宋_GB2312" w:cs="仿宋_GB2312"/>
          <w:color w:val="000000"/>
          <w:kern w:val="0"/>
          <w:sz w:val="32"/>
          <w:szCs w:val="32"/>
          <w:highlight w:val="none"/>
          <w:lang w:eastAsia="zh-CN" w:bidi="ar"/>
        </w:rPr>
        <w:t>人员医疗保险缴费。</w:t>
      </w:r>
    </w:p>
    <w:p>
      <w:pPr>
        <w:widowControl/>
        <w:ind w:firstLine="640" w:firstLineChars="200"/>
        <w:jc w:val="left"/>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color w:val="000000"/>
          <w:kern w:val="0"/>
          <w:sz w:val="32"/>
          <w:szCs w:val="32"/>
          <w:highlight w:val="none"/>
          <w:lang w:bidi="ar"/>
        </w:rPr>
        <w:t>交通运输支出173.02万元，主要用于</w:t>
      </w:r>
      <w:r>
        <w:rPr>
          <w:rFonts w:hint="eastAsia" w:ascii="仿宋_GB2312" w:hAnsi="仿宋_GB2312" w:eastAsia="仿宋_GB2312" w:cs="仿宋_GB2312"/>
          <w:color w:val="000000"/>
          <w:kern w:val="0"/>
          <w:sz w:val="32"/>
          <w:szCs w:val="32"/>
          <w:highlight w:val="none"/>
          <w:lang w:eastAsia="zh-CN" w:bidi="ar"/>
        </w:rPr>
        <w:t>人员工资、住房公积金及日常公用经费。</w:t>
      </w:r>
    </w:p>
    <w:p>
      <w:pPr>
        <w:spacing w:line="600" w:lineRule="exact"/>
        <w:ind w:firstLine="643"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五、关于</w:t>
      </w:r>
      <w:r>
        <w:rPr>
          <w:rFonts w:hint="eastAsia" w:ascii="仿宋_GB2312" w:hAnsi="仿宋_GB2312" w:eastAsia="仿宋_GB2312" w:cs="仿宋_GB2312"/>
          <w:b/>
          <w:bCs/>
          <w:kern w:val="0"/>
          <w:sz w:val="32"/>
          <w:szCs w:val="32"/>
          <w:lang w:eastAsia="zh-CN"/>
        </w:rPr>
        <w:t>吉木萨尔县交通运输局</w:t>
      </w:r>
      <w:r>
        <w:rPr>
          <w:rFonts w:hint="eastAsia" w:ascii="仿宋_GB2312" w:hAnsi="仿宋_GB2312" w:eastAsia="仿宋_GB2312" w:cs="仿宋_GB2312"/>
          <w:b/>
          <w:bCs/>
          <w:kern w:val="0"/>
          <w:sz w:val="32"/>
          <w:szCs w:val="32"/>
        </w:rPr>
        <w:t>2020年一般公共预算当年拨款情况说明</w:t>
      </w:r>
    </w:p>
    <w:p>
      <w:pPr>
        <w:spacing w:line="600" w:lineRule="exact"/>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（一）一般公共预算当年拨款规模变化情况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吉木萨尔县交通运输局</w:t>
      </w:r>
      <w:r>
        <w:rPr>
          <w:rFonts w:hint="eastAsia" w:ascii="仿宋_GB2312" w:hAnsi="仿宋_GB2312" w:eastAsia="仿宋_GB2312" w:cs="仿宋_GB2312"/>
          <w:kern w:val="0"/>
          <w:sz w:val="32"/>
          <w:szCs w:val="32"/>
        </w:rPr>
        <w:t>2020年一般公共预算拨款基本支出218.2</w:t>
      </w: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万元，比上年执行数</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802.81</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78.62</w:t>
      </w:r>
      <w:r>
        <w:rPr>
          <w:rFonts w:hint="eastAsia" w:ascii="仿宋_GB2312" w:hAnsi="仿宋_GB2312" w:eastAsia="仿宋_GB2312" w:cs="仿宋_GB2312"/>
          <w:kern w:val="0"/>
          <w:sz w:val="32"/>
          <w:szCs w:val="32"/>
        </w:rPr>
        <w:t>%。主要原因是：未将农村道路小修养和公交补贴纳入年初预算。</w:t>
      </w:r>
    </w:p>
    <w:p>
      <w:pPr>
        <w:spacing w:line="600" w:lineRule="exact"/>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（二）一般公共预算当年拨款结构情况</w:t>
      </w:r>
    </w:p>
    <w:p>
      <w:pPr>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sz w:val="32"/>
          <w:szCs w:val="32"/>
        </w:rPr>
        <w:t>社会保障和就业支出</w:t>
      </w:r>
      <w:r>
        <w:rPr>
          <w:rFonts w:hint="eastAsia" w:ascii="仿宋_GB2312" w:hAnsi="仿宋_GB2312" w:eastAsia="仿宋_GB2312" w:cs="仿宋_GB2312"/>
          <w:kern w:val="0"/>
          <w:sz w:val="32"/>
          <w:szCs w:val="32"/>
        </w:rPr>
        <w:t>（类）23.49万元，占10.76%。</w:t>
      </w:r>
    </w:p>
    <w:p>
      <w:pPr>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卫生健康</w:t>
      </w:r>
      <w:r>
        <w:rPr>
          <w:rFonts w:hint="eastAsia" w:ascii="仿宋_GB2312" w:hAnsi="仿宋_GB2312" w:eastAsia="仿宋_GB2312" w:cs="仿宋_GB2312"/>
          <w:kern w:val="0"/>
          <w:sz w:val="32"/>
          <w:szCs w:val="32"/>
        </w:rPr>
        <w:t>支出（类）21.76万元，占9.97%</w:t>
      </w:r>
    </w:p>
    <w:p>
      <w:pPr>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kern w:val="0"/>
          <w:sz w:val="32"/>
          <w:szCs w:val="32"/>
        </w:rPr>
        <w:t>交通运输支出（类）173.02万元，占79.27%</w:t>
      </w:r>
    </w:p>
    <w:p>
      <w:pPr>
        <w:spacing w:line="360" w:lineRule="auto"/>
        <w:ind w:firstLine="640" w:firstLineChars="200"/>
        <w:rPr>
          <w:rFonts w:hint="eastAsia" w:ascii="仿宋_GB2312" w:hAnsi="仿宋_GB2312" w:eastAsia="仿宋_GB2312" w:cs="仿宋_GB2312"/>
          <w:kern w:val="0"/>
          <w:sz w:val="32"/>
          <w:szCs w:val="32"/>
        </w:rPr>
      </w:pPr>
    </w:p>
    <w:p>
      <w:pPr>
        <w:spacing w:line="600" w:lineRule="exact"/>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（三）一般公共预算当年拨款具体使用情况</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1.社会保障和就业支出（类）行政事业单位养老支出（款）归口管理的行政单位离退休（项）2020年预算为1.02万元，比上</w:t>
      </w:r>
      <w:r>
        <w:rPr>
          <w:rFonts w:hint="eastAsia" w:ascii="仿宋_GB2312" w:hAnsi="仿宋_GB2312" w:eastAsia="仿宋_GB2312" w:cs="仿宋_GB2312"/>
          <w:sz w:val="32"/>
          <w:szCs w:val="32"/>
          <w:highlight w:val="none"/>
        </w:rPr>
        <w:t>年执行数增加0万元，增长</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%，主要原因是较上年无变动；</w:t>
      </w:r>
    </w:p>
    <w:p>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2.社会保障和就业支出（类）行政事业单位养老支出（款）机关事业单位基本养老保险缴费支出（项）2020年预算为15.6</w:t>
      </w:r>
      <w:r>
        <w:rPr>
          <w:rFonts w:hint="eastAsia" w:ascii="仿宋_GB2312" w:hAnsi="仿宋_GB2312" w:eastAsia="仿宋_GB2312" w:cs="仿宋_GB2312"/>
          <w:sz w:val="32"/>
          <w:szCs w:val="32"/>
          <w:highlight w:val="none"/>
        </w:rPr>
        <w:t>万元，比上年执行数减少3.71万元，</w:t>
      </w:r>
      <w:r>
        <w:rPr>
          <w:rFonts w:hint="eastAsia" w:ascii="仿宋_GB2312" w:hAnsi="仿宋_GB2312" w:eastAsia="仿宋_GB2312" w:cs="仿宋_GB2312"/>
          <w:sz w:val="32"/>
          <w:szCs w:val="32"/>
          <w:highlight w:val="none"/>
          <w:lang w:eastAsia="zh-CN"/>
        </w:rPr>
        <w:t>下降</w:t>
      </w:r>
      <w:r>
        <w:rPr>
          <w:rFonts w:hint="eastAsia" w:ascii="仿宋_GB2312" w:hAnsi="仿宋_GB2312" w:eastAsia="仿宋_GB2312" w:cs="仿宋_GB2312"/>
          <w:sz w:val="32"/>
          <w:szCs w:val="32"/>
          <w:highlight w:val="none"/>
        </w:rPr>
        <w:t>19.3%，主要原因是</w:t>
      </w:r>
      <w:r>
        <w:rPr>
          <w:rFonts w:hint="eastAsia" w:ascii="仿宋_GB2312" w:hAnsi="仿宋_GB2312" w:eastAsia="仿宋_GB2312" w:cs="仿宋_GB2312"/>
          <w:kern w:val="0"/>
          <w:sz w:val="32"/>
          <w:szCs w:val="32"/>
          <w:highlight w:val="none"/>
          <w:lang w:eastAsia="zh-CN"/>
        </w:rPr>
        <w:t>本年度人员减少，</w:t>
      </w:r>
      <w:r>
        <w:rPr>
          <w:rFonts w:hint="eastAsia" w:ascii="仿宋_GB2312" w:hAnsi="仿宋_GB2312" w:eastAsia="仿宋_GB2312" w:cs="仿宋_GB2312"/>
          <w:sz w:val="32"/>
          <w:szCs w:val="32"/>
          <w:highlight w:val="none"/>
        </w:rPr>
        <w:t>基本养老保险缴费</w:t>
      </w:r>
      <w:r>
        <w:rPr>
          <w:rFonts w:hint="eastAsia" w:ascii="仿宋_GB2312" w:hAnsi="仿宋_GB2312" w:eastAsia="仿宋_GB2312" w:cs="仿宋_GB2312"/>
          <w:sz w:val="32"/>
          <w:szCs w:val="32"/>
          <w:highlight w:val="none"/>
          <w:lang w:eastAsia="zh-CN"/>
        </w:rPr>
        <w:t>减少</w:t>
      </w:r>
      <w:r>
        <w:rPr>
          <w:rFonts w:hint="eastAsia" w:ascii="仿宋_GB2312" w:hAnsi="仿宋_GB2312" w:eastAsia="仿宋_GB2312" w:cs="仿宋_GB2312"/>
          <w:sz w:val="32"/>
          <w:szCs w:val="32"/>
          <w:highlight w:val="none"/>
        </w:rPr>
        <w:t>。</w:t>
      </w:r>
    </w:p>
    <w:p>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3．社会保障和就业支出（类）行政事业单位养老支出（款）机关事业单位职业年金缴费支出（项）2020年预算为</w:t>
      </w:r>
      <w:r>
        <w:rPr>
          <w:rFonts w:hint="eastAsia" w:ascii="仿宋_GB2312" w:hAnsi="仿宋_GB2312" w:eastAsia="仿宋_GB2312" w:cs="仿宋_GB2312"/>
          <w:sz w:val="32"/>
          <w:szCs w:val="32"/>
          <w:highlight w:val="none"/>
          <w:lang w:eastAsia="zh-CN"/>
        </w:rPr>
        <w:t>6.87</w:t>
      </w:r>
      <w:r>
        <w:rPr>
          <w:rFonts w:hint="eastAsia" w:ascii="仿宋_GB2312" w:hAnsi="仿宋_GB2312" w:eastAsia="仿宋_GB2312" w:cs="仿宋_GB2312"/>
          <w:sz w:val="32"/>
          <w:szCs w:val="32"/>
          <w:highlight w:val="none"/>
        </w:rPr>
        <w:t>万元，比上年执行数</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5.83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，增长</w:t>
      </w:r>
      <w:r>
        <w:rPr>
          <w:rFonts w:hint="eastAsia" w:ascii="仿宋_GB2312" w:hAnsi="仿宋_GB2312" w:eastAsia="仿宋_GB2312" w:cs="仿宋_GB2312"/>
          <w:sz w:val="32"/>
          <w:szCs w:val="32"/>
          <w:highlight w:val="none"/>
          <w:lang w:val="en-US" w:eastAsia="zh-CN"/>
        </w:rPr>
        <w:t>84.86</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kern w:val="0"/>
          <w:sz w:val="32"/>
          <w:szCs w:val="32"/>
          <w:highlight w:val="none"/>
          <w:lang w:eastAsia="zh-CN"/>
        </w:rPr>
        <w:t>本年度</w:t>
      </w:r>
      <w:r>
        <w:rPr>
          <w:rFonts w:hint="eastAsia" w:ascii="仿宋_GB2312" w:hAnsi="仿宋_GB2312" w:eastAsia="仿宋_GB2312" w:cs="仿宋_GB2312"/>
          <w:sz w:val="32"/>
          <w:szCs w:val="32"/>
          <w:highlight w:val="none"/>
        </w:rPr>
        <w:t>职业年金缴费支出</w:t>
      </w:r>
      <w:r>
        <w:rPr>
          <w:rFonts w:hint="eastAsia" w:ascii="仿宋_GB2312" w:hAnsi="仿宋_GB2312" w:eastAsia="仿宋_GB2312" w:cs="仿宋_GB2312"/>
          <w:sz w:val="32"/>
          <w:szCs w:val="32"/>
          <w:highlight w:val="none"/>
          <w:lang w:eastAsia="zh-CN"/>
        </w:rPr>
        <w:t>缴费专款专用，经费增加</w:t>
      </w:r>
      <w:r>
        <w:rPr>
          <w:rFonts w:hint="eastAsia" w:ascii="仿宋_GB2312" w:hAnsi="仿宋_GB2312" w:eastAsia="仿宋_GB2312" w:cs="仿宋_GB2312"/>
          <w:sz w:val="32"/>
          <w:szCs w:val="32"/>
          <w:highlight w:val="none"/>
        </w:rPr>
        <w:t>。</w:t>
      </w:r>
    </w:p>
    <w:p>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卫生健康</w:t>
      </w:r>
      <w:r>
        <w:rPr>
          <w:rFonts w:hint="eastAsia" w:ascii="仿宋_GB2312" w:hAnsi="仿宋_GB2312" w:eastAsia="仿宋_GB2312" w:cs="仿宋_GB2312"/>
          <w:sz w:val="32"/>
          <w:szCs w:val="32"/>
        </w:rPr>
        <w:t>支出（类</w:t>
      </w:r>
      <w:r>
        <w:rPr>
          <w:rFonts w:hint="eastAsia" w:ascii="仿宋_GB2312" w:hAnsi="仿宋_GB2312" w:eastAsia="仿宋_GB2312" w:cs="仿宋_GB2312"/>
          <w:sz w:val="32"/>
          <w:szCs w:val="32"/>
          <w:highlight w:val="none"/>
        </w:rPr>
        <w:t>）行政事业单位医疗（款）行政单位医疗（项）2020年预算为</w:t>
      </w:r>
      <w:r>
        <w:rPr>
          <w:rFonts w:hint="eastAsia" w:ascii="仿宋_GB2312" w:hAnsi="仿宋_GB2312" w:eastAsia="仿宋_GB2312" w:cs="仿宋_GB2312"/>
          <w:sz w:val="32"/>
          <w:szCs w:val="32"/>
          <w:highlight w:val="none"/>
          <w:lang w:val="en-US" w:eastAsia="zh-CN"/>
        </w:rPr>
        <w:t>11.2</w:t>
      </w:r>
      <w:r>
        <w:rPr>
          <w:rFonts w:hint="eastAsia" w:ascii="仿宋_GB2312" w:hAnsi="仿宋_GB2312" w:eastAsia="仿宋_GB2312" w:cs="仿宋_GB2312"/>
          <w:sz w:val="32"/>
          <w:szCs w:val="32"/>
          <w:highlight w:val="none"/>
        </w:rPr>
        <w:t>万元，比上年执行数增加</w:t>
      </w:r>
      <w:r>
        <w:rPr>
          <w:rFonts w:hint="eastAsia" w:ascii="仿宋_GB2312" w:hAnsi="仿宋_GB2312" w:eastAsia="仿宋_GB2312" w:cs="仿宋_GB2312"/>
          <w:sz w:val="32"/>
          <w:szCs w:val="32"/>
          <w:highlight w:val="none"/>
          <w:lang w:val="en-US" w:eastAsia="zh-CN"/>
        </w:rPr>
        <w:t>0.4</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kern w:val="0"/>
          <w:sz w:val="32"/>
          <w:szCs w:val="32"/>
          <w:highlight w:val="none"/>
          <w:lang w:eastAsia="zh-CN"/>
        </w:rPr>
        <w:t>人员工资缴费科目正常调整，导致经费增加</w:t>
      </w:r>
      <w:r>
        <w:rPr>
          <w:rFonts w:hint="eastAsia" w:ascii="仿宋_GB2312" w:hAnsi="仿宋_GB2312" w:eastAsia="仿宋_GB2312" w:cs="仿宋_GB2312"/>
          <w:sz w:val="32"/>
          <w:szCs w:val="32"/>
          <w:highlight w:val="none"/>
        </w:rPr>
        <w:t>。</w:t>
      </w:r>
    </w:p>
    <w:p>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lang w:eastAsia="zh-CN"/>
        </w:rPr>
        <w:t>卫生健康</w:t>
      </w:r>
      <w:r>
        <w:rPr>
          <w:rFonts w:hint="eastAsia" w:ascii="仿宋_GB2312" w:hAnsi="仿宋_GB2312" w:eastAsia="仿宋_GB2312" w:cs="仿宋_GB2312"/>
          <w:sz w:val="32"/>
          <w:szCs w:val="32"/>
          <w:highlight w:val="none"/>
        </w:rPr>
        <w:t>支出（类）行政事业单位医疗（款）事业单位医疗（项）2020年预算为1.84万元，比上年执行数减少</w:t>
      </w:r>
      <w:r>
        <w:rPr>
          <w:rFonts w:hint="eastAsia" w:ascii="仿宋_GB2312" w:hAnsi="仿宋_GB2312" w:eastAsia="仿宋_GB2312" w:cs="仿宋_GB2312"/>
          <w:sz w:val="32"/>
          <w:szCs w:val="32"/>
          <w:highlight w:val="none"/>
          <w:lang w:val="en-US" w:eastAsia="zh-CN"/>
        </w:rPr>
        <w:t>0.34</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下降</w:t>
      </w:r>
      <w:r>
        <w:rPr>
          <w:rFonts w:hint="eastAsia" w:ascii="仿宋_GB2312" w:hAnsi="仿宋_GB2312" w:eastAsia="仿宋_GB2312" w:cs="仿宋_GB2312"/>
          <w:sz w:val="32"/>
          <w:szCs w:val="32"/>
          <w:highlight w:val="none"/>
          <w:lang w:val="en-US" w:eastAsia="zh-CN"/>
        </w:rPr>
        <w:t>15.59</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kern w:val="0"/>
          <w:sz w:val="32"/>
          <w:szCs w:val="32"/>
          <w:highlight w:val="none"/>
          <w:lang w:eastAsia="zh-CN"/>
        </w:rPr>
        <w:t>人员工资缴费科目正常调整，导致经费下降</w:t>
      </w:r>
      <w:r>
        <w:rPr>
          <w:rFonts w:hint="eastAsia" w:ascii="仿宋_GB2312" w:hAnsi="仿宋_GB2312" w:eastAsia="仿宋_GB2312" w:cs="仿宋_GB2312"/>
          <w:sz w:val="32"/>
          <w:szCs w:val="32"/>
          <w:highlight w:val="none"/>
        </w:rPr>
        <w:t>。</w:t>
      </w:r>
    </w:p>
    <w:p>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lang w:eastAsia="zh-CN"/>
        </w:rPr>
        <w:t>卫生健康</w:t>
      </w:r>
      <w:r>
        <w:rPr>
          <w:rFonts w:hint="eastAsia" w:ascii="仿宋_GB2312" w:hAnsi="仿宋_GB2312" w:eastAsia="仿宋_GB2312" w:cs="仿宋_GB2312"/>
          <w:sz w:val="32"/>
          <w:szCs w:val="32"/>
          <w:highlight w:val="none"/>
        </w:rPr>
        <w:t>支出（类）行政事业单位医疗（款）公务员医疗补助（项）2020年预算为</w:t>
      </w:r>
      <w:r>
        <w:rPr>
          <w:rFonts w:hint="eastAsia" w:ascii="仿宋_GB2312" w:hAnsi="仿宋_GB2312" w:eastAsia="仿宋_GB2312" w:cs="仿宋_GB2312"/>
          <w:sz w:val="32"/>
          <w:szCs w:val="32"/>
          <w:highlight w:val="none"/>
          <w:lang w:val="en-US" w:eastAsia="zh-CN"/>
        </w:rPr>
        <w:t>8.72</w:t>
      </w:r>
      <w:r>
        <w:rPr>
          <w:rFonts w:hint="eastAsia" w:ascii="仿宋_GB2312" w:hAnsi="仿宋_GB2312" w:eastAsia="仿宋_GB2312" w:cs="仿宋_GB2312"/>
          <w:sz w:val="32"/>
          <w:szCs w:val="32"/>
          <w:highlight w:val="none"/>
        </w:rPr>
        <w:t>万元，比上年执行数减少</w:t>
      </w:r>
      <w:r>
        <w:rPr>
          <w:rFonts w:hint="eastAsia" w:ascii="仿宋_GB2312" w:hAnsi="仿宋_GB2312" w:eastAsia="仿宋_GB2312" w:cs="仿宋_GB2312"/>
          <w:sz w:val="32"/>
          <w:szCs w:val="32"/>
          <w:highlight w:val="none"/>
          <w:lang w:val="en-US" w:eastAsia="zh-CN"/>
        </w:rPr>
        <w:t>0.62</w:t>
      </w:r>
      <w:r>
        <w:rPr>
          <w:rFonts w:hint="eastAsia" w:ascii="仿宋_GB2312" w:hAnsi="仿宋_GB2312" w:eastAsia="仿宋_GB2312" w:cs="仿宋_GB2312"/>
          <w:sz w:val="32"/>
          <w:szCs w:val="32"/>
          <w:highlight w:val="none"/>
        </w:rPr>
        <w:t>万元，下降</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kern w:val="0"/>
          <w:sz w:val="32"/>
          <w:szCs w:val="32"/>
          <w:highlight w:val="none"/>
          <w:lang w:eastAsia="zh-CN"/>
        </w:rPr>
        <w:t>人员工资缴费科目正常调整，导致经费下降</w:t>
      </w:r>
      <w:r>
        <w:rPr>
          <w:rFonts w:hint="eastAsia" w:ascii="仿宋_GB2312" w:hAnsi="仿宋_GB2312" w:eastAsia="仿宋_GB2312" w:cs="仿宋_GB2312"/>
          <w:sz w:val="32"/>
          <w:szCs w:val="32"/>
          <w:highlight w:val="none"/>
        </w:rPr>
        <w:t>。</w:t>
      </w:r>
    </w:p>
    <w:p>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7. </w:t>
      </w:r>
      <w:r>
        <w:rPr>
          <w:rFonts w:hint="eastAsia" w:ascii="仿宋_GB2312" w:hAnsi="仿宋_GB2312" w:eastAsia="仿宋_GB2312" w:cs="仿宋_GB2312"/>
          <w:sz w:val="32"/>
          <w:szCs w:val="32"/>
          <w:highlight w:val="none"/>
        </w:rPr>
        <w:t>交通运输支出（类）公路水路运输（款）行政运行（项）2020年预算为173.02万元，比上年执行数减少</w:t>
      </w:r>
      <w:r>
        <w:rPr>
          <w:rFonts w:hint="eastAsia" w:ascii="仿宋_GB2312" w:hAnsi="仿宋_GB2312" w:eastAsia="仿宋_GB2312" w:cs="仿宋_GB2312"/>
          <w:sz w:val="32"/>
          <w:szCs w:val="32"/>
          <w:highlight w:val="none"/>
          <w:lang w:val="en-US" w:eastAsia="zh-CN"/>
        </w:rPr>
        <w:t>28.57</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下降</w:t>
      </w:r>
      <w:r>
        <w:rPr>
          <w:rFonts w:hint="eastAsia" w:ascii="仿宋_GB2312" w:hAnsi="仿宋_GB2312" w:eastAsia="仿宋_GB2312" w:cs="仿宋_GB2312"/>
          <w:sz w:val="32"/>
          <w:szCs w:val="32"/>
          <w:highlight w:val="none"/>
          <w:lang w:val="en-US" w:eastAsia="zh-CN"/>
        </w:rPr>
        <w:t>14.17</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kern w:val="0"/>
          <w:sz w:val="32"/>
          <w:szCs w:val="32"/>
          <w:highlight w:val="none"/>
          <w:lang w:eastAsia="zh-CN"/>
        </w:rPr>
        <w:t>人员工资缴费科目正常调整，导致经费下降</w:t>
      </w:r>
      <w:r>
        <w:rPr>
          <w:rFonts w:hint="eastAsia" w:ascii="仿宋_GB2312" w:hAnsi="仿宋_GB2312" w:eastAsia="仿宋_GB2312" w:cs="仿宋_GB2312"/>
          <w:sz w:val="32"/>
          <w:szCs w:val="32"/>
          <w:highlight w:val="none"/>
        </w:rPr>
        <w:t>。</w:t>
      </w:r>
    </w:p>
    <w:p>
      <w:pPr>
        <w:spacing w:line="600" w:lineRule="exact"/>
        <w:ind w:firstLine="643" w:firstLineChars="200"/>
        <w:rPr>
          <w:rFonts w:hint="eastAsia" w:ascii="仿宋_GB2312" w:hAnsi="仿宋_GB2312" w:eastAsia="仿宋_GB2312" w:cs="仿宋_GB2312"/>
          <w:b/>
          <w:bCs/>
          <w:kern w:val="0"/>
          <w:sz w:val="32"/>
          <w:szCs w:val="32"/>
          <w:highlight w:val="none"/>
        </w:rPr>
      </w:pPr>
      <w:r>
        <w:rPr>
          <w:rFonts w:hint="eastAsia" w:ascii="仿宋_GB2312" w:hAnsi="仿宋_GB2312" w:eastAsia="仿宋_GB2312" w:cs="仿宋_GB2312"/>
          <w:b/>
          <w:bCs/>
          <w:kern w:val="0"/>
          <w:sz w:val="32"/>
          <w:szCs w:val="32"/>
          <w:highlight w:val="none"/>
        </w:rPr>
        <w:t>六、关于</w:t>
      </w:r>
      <w:r>
        <w:rPr>
          <w:rFonts w:hint="eastAsia" w:ascii="仿宋_GB2312" w:hAnsi="仿宋_GB2312" w:eastAsia="仿宋_GB2312" w:cs="仿宋_GB2312"/>
          <w:b/>
          <w:bCs/>
          <w:kern w:val="0"/>
          <w:sz w:val="32"/>
          <w:szCs w:val="32"/>
          <w:highlight w:val="none"/>
          <w:lang w:eastAsia="zh-CN"/>
        </w:rPr>
        <w:t>吉木萨尔县交通运输局</w:t>
      </w:r>
      <w:r>
        <w:rPr>
          <w:rFonts w:hint="eastAsia" w:ascii="仿宋_GB2312" w:hAnsi="仿宋_GB2312" w:eastAsia="仿宋_GB2312" w:cs="仿宋_GB2312"/>
          <w:b/>
          <w:bCs/>
          <w:kern w:val="0"/>
          <w:sz w:val="32"/>
          <w:szCs w:val="32"/>
          <w:highlight w:val="none"/>
        </w:rPr>
        <w:t>2020年一般公共预算基本支出情况说明</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吉木萨尔县交通运输局</w:t>
      </w:r>
      <w:r>
        <w:rPr>
          <w:rFonts w:hint="eastAsia" w:ascii="仿宋_GB2312" w:hAnsi="仿宋_GB2312" w:eastAsia="仿宋_GB2312" w:cs="仿宋_GB2312"/>
          <w:kern w:val="0"/>
          <w:sz w:val="32"/>
          <w:szCs w:val="32"/>
          <w:highlight w:val="none"/>
        </w:rPr>
        <w:t>一般公共预算基本支出218.2</w:t>
      </w:r>
      <w:r>
        <w:rPr>
          <w:rFonts w:hint="eastAsia" w:ascii="仿宋_GB2312" w:hAnsi="仿宋_GB2312" w:eastAsia="仿宋_GB2312" w:cs="仿宋_GB2312"/>
          <w:kern w:val="0"/>
          <w:sz w:val="32"/>
          <w:szCs w:val="32"/>
          <w:highlight w:val="none"/>
          <w:lang w:val="en-US" w:eastAsia="zh-CN"/>
        </w:rPr>
        <w:t>7</w:t>
      </w:r>
      <w:r>
        <w:rPr>
          <w:rFonts w:hint="eastAsia" w:ascii="仿宋_GB2312" w:hAnsi="仿宋_GB2312" w:eastAsia="仿宋_GB2312" w:cs="仿宋_GB2312"/>
          <w:kern w:val="0"/>
          <w:sz w:val="32"/>
          <w:szCs w:val="32"/>
          <w:highlight w:val="none"/>
        </w:rPr>
        <w:t>万元，其中：</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人员经费196.0</w:t>
      </w: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万元，主要包括：基本工资、津贴补贴、奖金、绩效工资、机关事业单位基本养老保险缴费、职业年金缴费、职工基本医疗保险缴费、公务员医疗补助缴费、其他社会保障缴费</w:t>
      </w:r>
      <w:r>
        <w:rPr>
          <w:rFonts w:hint="eastAsia" w:ascii="仿宋_GB2312" w:hAnsi="仿宋_GB2312" w:eastAsia="仿宋_GB2312" w:cs="仿宋_GB2312"/>
          <w:kern w:val="0"/>
          <w:sz w:val="32"/>
          <w:szCs w:val="32"/>
          <w:highlight w:val="none"/>
          <w:lang w:eastAsia="zh-CN"/>
        </w:rPr>
        <w:t>、住房公积金、其他工资福利支出、退休费</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highlight w:val="none"/>
        </w:rPr>
        <w:t>公用经费22.26万元，主要包</w:t>
      </w:r>
      <w:r>
        <w:rPr>
          <w:rFonts w:hint="eastAsia" w:ascii="仿宋_GB2312" w:hAnsi="仿宋_GB2312" w:eastAsia="仿宋_GB2312" w:cs="仿宋_GB2312"/>
          <w:kern w:val="0"/>
          <w:sz w:val="32"/>
          <w:szCs w:val="32"/>
        </w:rPr>
        <w:t>括：办公费、</w:t>
      </w:r>
      <w:r>
        <w:rPr>
          <w:rFonts w:hint="eastAsia" w:ascii="仿宋_GB2312" w:hAnsi="仿宋_GB2312" w:eastAsia="仿宋_GB2312" w:cs="仿宋_GB2312"/>
          <w:kern w:val="0"/>
          <w:sz w:val="32"/>
          <w:szCs w:val="32"/>
          <w:lang w:eastAsia="zh-CN"/>
        </w:rPr>
        <w:t>取暖费、</w:t>
      </w:r>
      <w:r>
        <w:rPr>
          <w:rFonts w:hint="eastAsia" w:ascii="仿宋_GB2312" w:hAnsi="仿宋_GB2312" w:eastAsia="仿宋_GB2312" w:cs="仿宋_GB2312"/>
          <w:kern w:val="0"/>
          <w:sz w:val="32"/>
          <w:szCs w:val="32"/>
        </w:rPr>
        <w:t>培训费、</w:t>
      </w:r>
      <w:r>
        <w:rPr>
          <w:rFonts w:hint="eastAsia" w:ascii="仿宋_GB2312" w:hAnsi="仿宋_GB2312" w:eastAsia="仿宋_GB2312" w:cs="仿宋_GB2312"/>
          <w:kern w:val="0"/>
          <w:sz w:val="32"/>
          <w:szCs w:val="32"/>
          <w:lang w:eastAsia="zh-CN"/>
        </w:rPr>
        <w:t>工会</w:t>
      </w:r>
      <w:r>
        <w:rPr>
          <w:rFonts w:hint="eastAsia" w:ascii="仿宋_GB2312" w:hAnsi="仿宋_GB2312" w:eastAsia="仿宋_GB2312" w:cs="仿宋_GB2312"/>
          <w:kern w:val="0"/>
          <w:sz w:val="32"/>
          <w:szCs w:val="32"/>
        </w:rPr>
        <w:t>经费、公务用车运行维护</w:t>
      </w:r>
      <w:r>
        <w:rPr>
          <w:rFonts w:hint="eastAsia" w:ascii="仿宋_GB2312" w:hAnsi="仿宋_GB2312" w:eastAsia="仿宋_GB2312" w:cs="仿宋_GB2312"/>
          <w:kern w:val="0"/>
          <w:sz w:val="32"/>
          <w:szCs w:val="32"/>
          <w:lang w:eastAsia="zh-CN"/>
        </w:rPr>
        <w:t>费</w:t>
      </w:r>
      <w:r>
        <w:rPr>
          <w:rFonts w:hint="eastAsia" w:ascii="仿宋_GB2312" w:hAnsi="仿宋_GB2312" w:eastAsia="仿宋_GB2312" w:cs="仿宋_GB2312"/>
          <w:kern w:val="0"/>
          <w:sz w:val="32"/>
          <w:szCs w:val="32"/>
        </w:rPr>
        <w:t>。</w:t>
      </w:r>
    </w:p>
    <w:p>
      <w:pPr>
        <w:spacing w:line="600" w:lineRule="exact"/>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七、关于</w:t>
      </w:r>
      <w:r>
        <w:rPr>
          <w:rFonts w:hint="eastAsia" w:ascii="仿宋_GB2312" w:hAnsi="仿宋_GB2312" w:eastAsia="仿宋_GB2312" w:cs="仿宋_GB2312"/>
          <w:b/>
          <w:bCs/>
          <w:kern w:val="0"/>
          <w:sz w:val="32"/>
          <w:szCs w:val="32"/>
          <w:lang w:eastAsia="zh-CN"/>
        </w:rPr>
        <w:t>吉木萨尔县交通运输局</w:t>
      </w:r>
      <w:r>
        <w:rPr>
          <w:rFonts w:hint="eastAsia" w:ascii="仿宋_GB2312" w:hAnsi="仿宋_GB2312" w:eastAsia="仿宋_GB2312" w:cs="仿宋_GB2312"/>
          <w:b/>
          <w:bCs/>
          <w:kern w:val="0"/>
          <w:sz w:val="32"/>
          <w:szCs w:val="32"/>
        </w:rPr>
        <w:t>2020年项目支出情况说明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吉木萨尔县交通运输局</w:t>
      </w:r>
      <w:r>
        <w:rPr>
          <w:rFonts w:hint="eastAsia" w:ascii="仿宋_GB2312" w:hAnsi="仿宋_GB2312" w:eastAsia="仿宋_GB2312" w:cs="仿宋_GB2312"/>
          <w:kern w:val="0"/>
          <w:sz w:val="32"/>
          <w:szCs w:val="32"/>
        </w:rPr>
        <w:t>2020年部门预算未安排项目支出预算，项目情况表公开空表。</w:t>
      </w:r>
    </w:p>
    <w:p>
      <w:pPr>
        <w:spacing w:line="600" w:lineRule="exact"/>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八、关于</w:t>
      </w:r>
      <w:r>
        <w:rPr>
          <w:rFonts w:hint="eastAsia" w:ascii="仿宋_GB2312" w:hAnsi="仿宋_GB2312" w:eastAsia="仿宋_GB2312" w:cs="仿宋_GB2312"/>
          <w:b/>
          <w:bCs/>
          <w:kern w:val="0"/>
          <w:sz w:val="32"/>
          <w:szCs w:val="32"/>
          <w:lang w:eastAsia="zh-CN"/>
        </w:rPr>
        <w:t>吉木萨尔县交通运输局</w:t>
      </w:r>
      <w:r>
        <w:rPr>
          <w:rFonts w:hint="eastAsia" w:ascii="仿宋_GB2312" w:hAnsi="仿宋_GB2312" w:eastAsia="仿宋_GB2312" w:cs="仿宋_GB2312"/>
          <w:b/>
          <w:bCs/>
          <w:kern w:val="0"/>
          <w:sz w:val="32"/>
          <w:szCs w:val="32"/>
        </w:rPr>
        <w:t>2020年一般公共预算“三公”经费预算情况说明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吉木萨尔县交通运输局</w:t>
      </w:r>
      <w:r>
        <w:rPr>
          <w:rFonts w:hint="eastAsia" w:ascii="仿宋_GB2312" w:hAnsi="仿宋_GB2312" w:eastAsia="仿宋_GB2312" w:cs="仿宋_GB2312"/>
          <w:kern w:val="0"/>
          <w:sz w:val="32"/>
          <w:szCs w:val="32"/>
        </w:rPr>
        <w:t>2020年“三公”经费财政拨款预算数为4万元，其中：因公出国（境）费0万元，公务用车购置0万元，公务用车运行费4万元，公务接待费0万元。</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2020年“三公”经费财政拨款预算比上年</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rPr>
        <w:t>0万元，其中：因公出国（境）费增加0万元，主要原因是财政未安排相应预算；公务用车购置费</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rPr>
        <w:t>0万元，主要原因未安排预算。公务用车运行费减少0万元，主要原因是</w:t>
      </w:r>
      <w:r>
        <w:rPr>
          <w:rFonts w:hint="eastAsia" w:ascii="仿宋_GB2312" w:hAnsi="仿宋_GB2312" w:eastAsia="仿宋_GB2312" w:cs="仿宋_GB2312"/>
          <w:kern w:val="0"/>
          <w:sz w:val="32"/>
          <w:szCs w:val="32"/>
          <w:lang w:eastAsia="zh-CN"/>
        </w:rPr>
        <w:t>与上年一致无变化</w:t>
      </w:r>
      <w:r>
        <w:rPr>
          <w:rFonts w:hint="eastAsia" w:ascii="仿宋_GB2312" w:hAnsi="仿宋_GB2312" w:eastAsia="仿宋_GB2312" w:cs="仿宋_GB2312"/>
          <w:kern w:val="0"/>
          <w:sz w:val="32"/>
          <w:szCs w:val="32"/>
        </w:rPr>
        <w:t>；公务接待费减少0万元，主要原因是未安排预算。</w:t>
      </w:r>
    </w:p>
    <w:p>
      <w:pPr>
        <w:spacing w:line="600" w:lineRule="exact"/>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九、关于</w:t>
      </w:r>
      <w:r>
        <w:rPr>
          <w:rFonts w:hint="eastAsia" w:ascii="仿宋_GB2312" w:hAnsi="仿宋_GB2312" w:eastAsia="仿宋_GB2312" w:cs="仿宋_GB2312"/>
          <w:b/>
          <w:bCs/>
          <w:kern w:val="0"/>
          <w:sz w:val="32"/>
          <w:szCs w:val="32"/>
          <w:lang w:eastAsia="zh-CN"/>
        </w:rPr>
        <w:t>吉木萨尔县交通运输局</w:t>
      </w:r>
      <w:r>
        <w:rPr>
          <w:rFonts w:hint="eastAsia" w:ascii="仿宋_GB2312" w:hAnsi="仿宋_GB2312" w:eastAsia="仿宋_GB2312" w:cs="仿宋_GB2312"/>
          <w:b/>
          <w:bCs/>
          <w:kern w:val="0"/>
          <w:sz w:val="32"/>
          <w:szCs w:val="32"/>
        </w:rPr>
        <w:t>2020年政府性基金预算拨款情况说明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吉木萨尔县交通运输局</w:t>
      </w:r>
      <w:r>
        <w:rPr>
          <w:rFonts w:hint="eastAsia" w:ascii="仿宋_GB2312" w:hAnsi="仿宋_GB2312" w:eastAsia="仿宋_GB2312" w:cs="仿宋_GB2312"/>
          <w:kern w:val="0"/>
          <w:sz w:val="32"/>
          <w:szCs w:val="32"/>
        </w:rPr>
        <w:t>2020年没有使用政府性基金预算拨款安排的支出，政府性基金预算支出情况表为空表。</w:t>
      </w:r>
    </w:p>
    <w:p>
      <w:pPr>
        <w:spacing w:line="600" w:lineRule="exact"/>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十、其他重要事项的情况说明</w:t>
      </w:r>
    </w:p>
    <w:p>
      <w:pPr>
        <w:spacing w:line="600" w:lineRule="exact"/>
        <w:ind w:firstLine="643" w:firstLineChars="200"/>
        <w:rPr>
          <w:rFonts w:hint="eastAsia" w:ascii="仿宋_GB2312" w:hAnsi="仿宋_GB2312" w:eastAsia="仿宋_GB2312" w:cs="仿宋_GB2312"/>
          <w:b/>
          <w:bCs/>
          <w:kern w:val="0"/>
          <w:sz w:val="32"/>
          <w:szCs w:val="32"/>
          <w:highlight w:val="red"/>
        </w:rPr>
      </w:pPr>
      <w:r>
        <w:rPr>
          <w:rFonts w:hint="eastAsia" w:ascii="仿宋_GB2312" w:hAnsi="仿宋_GB2312" w:eastAsia="仿宋_GB2312" w:cs="仿宋_GB2312"/>
          <w:b/>
          <w:bCs/>
          <w:kern w:val="0"/>
          <w:sz w:val="32"/>
          <w:szCs w:val="32"/>
        </w:rPr>
        <w:t>（一）机关运行经费情况</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2020年，</w:t>
      </w:r>
      <w:r>
        <w:rPr>
          <w:rFonts w:hint="eastAsia" w:ascii="仿宋_GB2312" w:hAnsi="仿宋_GB2312" w:eastAsia="仿宋_GB2312" w:cs="仿宋_GB2312"/>
          <w:kern w:val="0"/>
          <w:sz w:val="32"/>
          <w:szCs w:val="32"/>
          <w:lang w:eastAsia="zh-CN"/>
        </w:rPr>
        <w:t>吉木萨尔县交通运输局本级</w:t>
      </w:r>
      <w:r>
        <w:rPr>
          <w:rFonts w:hint="eastAsia" w:ascii="仿宋_GB2312" w:hAnsi="仿宋_GB2312" w:eastAsia="仿宋_GB2312" w:cs="仿宋_GB2312"/>
          <w:kern w:val="0"/>
          <w:sz w:val="32"/>
          <w:szCs w:val="32"/>
        </w:rPr>
        <w:t>及下属0家行政单位和0家事业单位的机</w:t>
      </w:r>
      <w:r>
        <w:rPr>
          <w:rFonts w:hint="eastAsia" w:ascii="仿宋_GB2312" w:hAnsi="仿宋_GB2312" w:eastAsia="仿宋_GB2312" w:cs="仿宋_GB2312"/>
          <w:kern w:val="0"/>
          <w:sz w:val="32"/>
          <w:szCs w:val="32"/>
          <w:highlight w:val="none"/>
        </w:rPr>
        <w:t>关运行经费财政拨款预算22.26万元，比上年预算增加8.38万元，增长60.37%。主要原因是</w:t>
      </w:r>
      <w:r>
        <w:rPr>
          <w:rFonts w:hint="eastAsia" w:ascii="仿宋_GB2312" w:hAnsi="仿宋_GB2312" w:eastAsia="仿宋_GB2312" w:cs="仿宋_GB2312"/>
          <w:color w:val="000000"/>
          <w:kern w:val="0"/>
          <w:sz w:val="32"/>
          <w:szCs w:val="32"/>
          <w:highlight w:val="none"/>
          <w:lang w:eastAsia="zh-CN" w:bidi="ar"/>
        </w:rPr>
        <w:t>本年度增加取暖费及办公费</w:t>
      </w:r>
      <w:r>
        <w:rPr>
          <w:rFonts w:hint="eastAsia" w:ascii="仿宋_GB2312" w:hAnsi="仿宋_GB2312" w:eastAsia="仿宋_GB2312" w:cs="仿宋_GB2312"/>
          <w:kern w:val="0"/>
          <w:sz w:val="32"/>
          <w:szCs w:val="32"/>
          <w:highlight w:val="none"/>
        </w:rPr>
        <w:t>。</w:t>
      </w:r>
    </w:p>
    <w:p>
      <w:pPr>
        <w:spacing w:line="600" w:lineRule="exact"/>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（二）政府采购情况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2020年，</w:t>
      </w:r>
      <w:r>
        <w:rPr>
          <w:rFonts w:hint="eastAsia" w:ascii="仿宋_GB2312" w:hAnsi="仿宋_GB2312" w:eastAsia="仿宋_GB2312" w:cs="仿宋_GB2312"/>
          <w:kern w:val="0"/>
          <w:sz w:val="32"/>
          <w:szCs w:val="32"/>
          <w:lang w:eastAsia="zh-CN"/>
        </w:rPr>
        <w:t>吉木萨尔县交通运输局</w:t>
      </w:r>
      <w:r>
        <w:rPr>
          <w:rFonts w:hint="eastAsia" w:ascii="仿宋_GB2312" w:hAnsi="仿宋_GB2312" w:eastAsia="仿宋_GB2312" w:cs="仿宋_GB2312"/>
          <w:kern w:val="0"/>
          <w:sz w:val="32"/>
          <w:szCs w:val="32"/>
        </w:rPr>
        <w:t>及下属单位政府采购预算0万元，其中：政府采购货物预算0万元，政府采购工程预算0万元，政府采购服务预算0万元。</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2020年度本部门面向中小企业预留政府采购项目预算金额</w:t>
      </w:r>
      <w:r>
        <w:rPr>
          <w:rFonts w:hint="eastAsia" w:ascii="仿宋_GB2312" w:hAnsi="仿宋_GB2312" w:eastAsia="仿宋_GB2312" w:cs="仿宋_GB2312"/>
          <w:kern w:val="0"/>
          <w:sz w:val="32"/>
          <w:szCs w:val="32"/>
        </w:rPr>
        <w:t>0</w:t>
      </w:r>
      <w:r>
        <w:rPr>
          <w:rFonts w:hint="eastAsia" w:ascii="仿宋_GB2312" w:hAnsi="仿宋_GB2312" w:eastAsia="仿宋_GB2312" w:cs="仿宋_GB2312"/>
          <w:sz w:val="32"/>
          <w:szCs w:val="32"/>
        </w:rPr>
        <w:t>万元，其中：面向小微企业预留政府采购项目预算金额</w:t>
      </w:r>
      <w:r>
        <w:rPr>
          <w:rFonts w:hint="eastAsia" w:ascii="仿宋_GB2312" w:hAnsi="仿宋_GB2312" w:eastAsia="仿宋_GB2312" w:cs="仿宋_GB2312"/>
          <w:kern w:val="0"/>
          <w:sz w:val="32"/>
          <w:szCs w:val="32"/>
        </w:rPr>
        <w:t>0</w:t>
      </w:r>
      <w:r>
        <w:rPr>
          <w:rFonts w:hint="eastAsia" w:ascii="仿宋_GB2312" w:hAnsi="仿宋_GB2312" w:eastAsia="仿宋_GB2312" w:cs="仿宋_GB2312"/>
          <w:sz w:val="32"/>
          <w:szCs w:val="32"/>
        </w:rPr>
        <w:t>万元。</w:t>
      </w:r>
    </w:p>
    <w:p>
      <w:pPr>
        <w:spacing w:line="600" w:lineRule="exact"/>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（三）国有资产占用使用情况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截至2019年底，</w:t>
      </w:r>
      <w:r>
        <w:rPr>
          <w:rFonts w:hint="eastAsia" w:ascii="仿宋_GB2312" w:hAnsi="仿宋_GB2312" w:eastAsia="仿宋_GB2312" w:cs="仿宋_GB2312"/>
          <w:kern w:val="0"/>
          <w:sz w:val="32"/>
          <w:szCs w:val="32"/>
          <w:lang w:eastAsia="zh-CN"/>
        </w:rPr>
        <w:t>吉木萨尔县交通运输局</w:t>
      </w:r>
      <w:r>
        <w:rPr>
          <w:rFonts w:hint="eastAsia" w:ascii="仿宋_GB2312" w:hAnsi="仿宋_GB2312" w:eastAsia="仿宋_GB2312" w:cs="仿宋_GB2312"/>
          <w:kern w:val="0"/>
          <w:sz w:val="32"/>
          <w:szCs w:val="32"/>
        </w:rPr>
        <w:t>及下属各预算单位占用使用国有资产总体情况为</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1.房屋120平方米，价值3.1万元。</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2.车辆5辆，价值246.35万元；其中：一般公务用车0辆，价值0万元；执法执勤用车1辆，价值5.38元；其他车辆4辆，价值214.55万元。</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3.办公家具价值0万元。</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4.其他资产价值0万元。</w:t>
      </w:r>
    </w:p>
    <w:p>
      <w:pPr>
        <w:spacing w:line="600" w:lineRule="exact"/>
        <w:ind w:firstLine="640" w:firstLineChars="200"/>
        <w:rPr>
          <w:rFonts w:hint="eastAsia" w:ascii="仿宋_GB2312" w:hAnsi="仿宋_GB2312" w:eastAsia="仿宋_GB2312" w:cs="仿宋_GB2312"/>
          <w:kern w:val="0"/>
          <w:sz w:val="32"/>
          <w:szCs w:val="32"/>
          <w:highlight w:val="red"/>
        </w:rPr>
      </w:pPr>
      <w:r>
        <w:rPr>
          <w:rFonts w:hint="eastAsia" w:ascii="仿宋_GB2312" w:hAnsi="仿宋_GB2312" w:eastAsia="仿宋_GB2312" w:cs="仿宋_GB2312"/>
          <w:kern w:val="0"/>
          <w:sz w:val="32"/>
          <w:szCs w:val="32"/>
        </w:rPr>
        <w:t>单位价值50万元以上大型设备0台（套），单位价值100万元以上大型设备0台（套）。</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2020年部门预算未安排购置车辆经费，安排购置50万元以上大型设备0台（套），单位价值100万元以上大型设备0台（套）。</w:t>
      </w:r>
    </w:p>
    <w:p>
      <w:pPr>
        <w:spacing w:line="600" w:lineRule="exact"/>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（四）预算绩效情况</w:t>
      </w:r>
    </w:p>
    <w:p>
      <w:pPr>
        <w:spacing w:line="600" w:lineRule="exact"/>
        <w:ind w:firstLine="640" w:firstLineChars="200"/>
        <w:rPr>
          <w:rFonts w:eastAsia="仿宋_GB2312"/>
          <w:kern w:val="0"/>
          <w:sz w:val="32"/>
          <w:szCs w:val="32"/>
        </w:rPr>
      </w:pPr>
      <w:r>
        <w:rPr>
          <w:rFonts w:hint="eastAsia" w:ascii="仿宋_GB2312" w:hAnsi="仿宋_GB2312" w:eastAsia="仿宋_GB2312" w:cs="仿宋_GB2312"/>
          <w:kern w:val="0"/>
          <w:sz w:val="32"/>
          <w:szCs w:val="32"/>
        </w:rPr>
        <w:t>2020年度，本年度实行绩效管理的项目0个，涉及预算金额0万元。具体情况见下表（按项目分别填报）：</w:t>
      </w:r>
    </w:p>
    <w:p>
      <w:pPr>
        <w:spacing w:line="600" w:lineRule="exact"/>
        <w:ind w:firstLine="640" w:firstLineChars="200"/>
        <w:rPr>
          <w:rFonts w:eastAsia="仿宋_GB2312"/>
          <w:kern w:val="0"/>
          <w:sz w:val="32"/>
          <w:szCs w:val="32"/>
        </w:rPr>
      </w:pPr>
    </w:p>
    <w:p>
      <w:pPr>
        <w:spacing w:line="600" w:lineRule="exact"/>
        <w:ind w:firstLine="640" w:firstLineChars="200"/>
        <w:rPr>
          <w:rFonts w:eastAsia="仿宋_GB2312"/>
          <w:kern w:val="0"/>
          <w:sz w:val="32"/>
          <w:szCs w:val="32"/>
        </w:rPr>
        <w:sectPr>
          <w:footerReference r:id="rId4" w:type="default"/>
          <w:pgSz w:w="11906" w:h="16838"/>
          <w:pgMar w:top="1440" w:right="1800" w:bottom="1440" w:left="1800" w:header="851" w:footer="992" w:gutter="0"/>
          <w:pgNumType w:fmt="decimal"/>
          <w:cols w:space="425" w:num="1"/>
          <w:docGrid w:type="lines" w:linePitch="312" w:charSpace="0"/>
        </w:sectPr>
      </w:pPr>
    </w:p>
    <w:p>
      <w:pPr>
        <w:spacing w:line="600" w:lineRule="exact"/>
        <w:ind w:firstLine="640" w:firstLineChars="200"/>
        <w:rPr>
          <w:rFonts w:eastAsia="仿宋_GB2312"/>
          <w:kern w:val="0"/>
          <w:sz w:val="32"/>
          <w:szCs w:val="32"/>
        </w:rPr>
      </w:pPr>
    </w:p>
    <w:p>
      <w:pPr>
        <w:ind w:firstLine="640" w:firstLineChars="200"/>
        <w:rPr>
          <w:rFonts w:eastAsia="仿宋_GB2312"/>
          <w:kern w:val="0"/>
          <w:sz w:val="32"/>
          <w:szCs w:val="32"/>
        </w:rPr>
      </w:pPr>
    </w:p>
    <w:tbl>
      <w:tblPr>
        <w:tblStyle w:val="8"/>
        <w:tblpPr w:leftFromText="180" w:rightFromText="180" w:vertAnchor="text" w:horzAnchor="page" w:tblpX="2219" w:tblpY="1237"/>
        <w:tblOverlap w:val="never"/>
        <w:tblW w:w="13454" w:type="dxa"/>
        <w:tblInd w:w="0" w:type="dxa"/>
        <w:tblLayout w:type="fixed"/>
        <w:tblCellMar>
          <w:top w:w="0" w:type="dxa"/>
          <w:left w:w="108" w:type="dxa"/>
          <w:bottom w:w="0" w:type="dxa"/>
          <w:right w:w="108" w:type="dxa"/>
        </w:tblCellMar>
      </w:tblPr>
      <w:tblGrid>
        <w:gridCol w:w="2112"/>
        <w:gridCol w:w="1787"/>
        <w:gridCol w:w="1601"/>
        <w:gridCol w:w="479"/>
        <w:gridCol w:w="1122"/>
        <w:gridCol w:w="309"/>
        <w:gridCol w:w="457"/>
        <w:gridCol w:w="1706"/>
        <w:gridCol w:w="239"/>
        <w:gridCol w:w="1092"/>
        <w:gridCol w:w="2058"/>
        <w:gridCol w:w="238"/>
        <w:gridCol w:w="254"/>
      </w:tblGrid>
      <w:tr>
        <w:tblPrEx>
          <w:tblLayout w:type="fixed"/>
          <w:tblCellMar>
            <w:top w:w="0" w:type="dxa"/>
            <w:left w:w="108" w:type="dxa"/>
            <w:bottom w:w="0" w:type="dxa"/>
            <w:right w:w="108" w:type="dxa"/>
          </w:tblCellMar>
        </w:tblPrEx>
        <w:trPr>
          <w:trHeight w:val="406" w:hRule="atLeast"/>
        </w:trPr>
        <w:tc>
          <w:tcPr>
            <w:tcW w:w="13454" w:type="dxa"/>
            <w:gridSpan w:val="13"/>
            <w:tcBorders>
              <w:top w:val="nil"/>
              <w:left w:val="nil"/>
              <w:bottom w:val="nil"/>
              <w:right w:val="nil"/>
            </w:tcBorders>
            <w:vAlign w:val="bottom"/>
          </w:tcPr>
          <w:p>
            <w:pPr>
              <w:widowControl/>
              <w:jc w:val="center"/>
              <w:outlineLvl w:val="1"/>
              <w:rPr>
                <w:rFonts w:ascii="宋体" w:cs="宋体"/>
                <w:b/>
                <w:bCs/>
                <w:kern w:val="0"/>
                <w:sz w:val="22"/>
                <w:szCs w:val="22"/>
              </w:rPr>
            </w:pPr>
            <w:r>
              <w:rPr>
                <w:rFonts w:hint="eastAsia" w:ascii="仿宋_GB2312" w:hAnsi="宋体" w:eastAsia="仿宋_GB2312"/>
                <w:b/>
                <w:kern w:val="0"/>
                <w:sz w:val="22"/>
                <w:szCs w:val="22"/>
              </w:rPr>
              <w:t>项</w:t>
            </w:r>
            <w:r>
              <w:rPr>
                <w:rFonts w:ascii="仿宋_GB2312" w:hAnsi="宋体" w:eastAsia="仿宋_GB2312"/>
                <w:b/>
                <w:kern w:val="0"/>
                <w:sz w:val="22"/>
                <w:szCs w:val="22"/>
              </w:rPr>
              <w:t xml:space="preserve">  </w:t>
            </w:r>
            <w:r>
              <w:rPr>
                <w:rFonts w:hint="eastAsia" w:ascii="仿宋_GB2312" w:hAnsi="宋体" w:eastAsia="仿宋_GB2312"/>
                <w:b/>
                <w:kern w:val="0"/>
                <w:sz w:val="22"/>
                <w:szCs w:val="22"/>
              </w:rPr>
              <w:t>目</w:t>
            </w:r>
            <w:r>
              <w:rPr>
                <w:rFonts w:ascii="仿宋_GB2312" w:hAnsi="宋体" w:eastAsia="仿宋_GB2312"/>
                <w:b/>
                <w:kern w:val="0"/>
                <w:sz w:val="22"/>
                <w:szCs w:val="22"/>
              </w:rPr>
              <w:t xml:space="preserve">  </w:t>
            </w:r>
            <w:r>
              <w:rPr>
                <w:rFonts w:hint="eastAsia" w:ascii="仿宋_GB2312" w:hAnsi="宋体" w:eastAsia="仿宋_GB2312"/>
                <w:b/>
                <w:kern w:val="0"/>
                <w:sz w:val="22"/>
                <w:szCs w:val="22"/>
              </w:rPr>
              <w:t>支</w:t>
            </w:r>
            <w:r>
              <w:rPr>
                <w:rFonts w:ascii="仿宋_GB2312" w:hAnsi="宋体" w:eastAsia="仿宋_GB2312"/>
                <w:b/>
                <w:kern w:val="0"/>
                <w:sz w:val="22"/>
                <w:szCs w:val="22"/>
              </w:rPr>
              <w:t xml:space="preserve">  </w:t>
            </w:r>
            <w:r>
              <w:rPr>
                <w:rFonts w:hint="eastAsia" w:ascii="仿宋_GB2312" w:hAnsi="宋体" w:eastAsia="仿宋_GB2312"/>
                <w:b/>
                <w:kern w:val="0"/>
                <w:sz w:val="22"/>
                <w:szCs w:val="22"/>
              </w:rPr>
              <w:t>出</w:t>
            </w:r>
            <w:r>
              <w:rPr>
                <w:rFonts w:ascii="仿宋_GB2312" w:hAnsi="宋体" w:eastAsia="仿宋_GB2312"/>
                <w:b/>
                <w:kern w:val="0"/>
                <w:sz w:val="22"/>
                <w:szCs w:val="22"/>
              </w:rPr>
              <w:t xml:space="preserve">  </w:t>
            </w:r>
            <w:r>
              <w:rPr>
                <w:rFonts w:hint="eastAsia" w:ascii="仿宋_GB2312" w:hAnsi="宋体" w:eastAsia="仿宋_GB2312"/>
                <w:b/>
                <w:kern w:val="0"/>
                <w:sz w:val="22"/>
                <w:szCs w:val="22"/>
              </w:rPr>
              <w:t>绩</w:t>
            </w:r>
            <w:r>
              <w:rPr>
                <w:rFonts w:ascii="仿宋_GB2312" w:hAnsi="宋体" w:eastAsia="仿宋_GB2312"/>
                <w:b/>
                <w:kern w:val="0"/>
                <w:sz w:val="22"/>
                <w:szCs w:val="22"/>
              </w:rPr>
              <w:t xml:space="preserve">  </w:t>
            </w:r>
            <w:r>
              <w:rPr>
                <w:rFonts w:hint="eastAsia" w:ascii="仿宋_GB2312" w:hAnsi="宋体" w:eastAsia="仿宋_GB2312"/>
                <w:b/>
                <w:kern w:val="0"/>
                <w:sz w:val="22"/>
                <w:szCs w:val="22"/>
              </w:rPr>
              <w:t>效</w:t>
            </w:r>
            <w:r>
              <w:rPr>
                <w:rFonts w:ascii="仿宋_GB2312" w:hAnsi="宋体" w:eastAsia="仿宋_GB2312"/>
                <w:b/>
                <w:kern w:val="0"/>
                <w:sz w:val="22"/>
                <w:szCs w:val="22"/>
              </w:rPr>
              <w:t xml:space="preserve">  </w:t>
            </w:r>
            <w:r>
              <w:rPr>
                <w:rFonts w:hint="eastAsia" w:ascii="仿宋_GB2312" w:hAnsi="宋体" w:eastAsia="仿宋_GB2312"/>
                <w:b/>
                <w:kern w:val="0"/>
                <w:sz w:val="22"/>
                <w:szCs w:val="22"/>
              </w:rPr>
              <w:t>目</w:t>
            </w:r>
            <w:r>
              <w:rPr>
                <w:rFonts w:ascii="仿宋_GB2312" w:hAnsi="宋体" w:eastAsia="仿宋_GB2312"/>
                <w:b/>
                <w:kern w:val="0"/>
                <w:sz w:val="22"/>
                <w:szCs w:val="22"/>
              </w:rPr>
              <w:t xml:space="preserve">  </w:t>
            </w:r>
            <w:r>
              <w:rPr>
                <w:rFonts w:hint="eastAsia" w:ascii="仿宋_GB2312" w:hAnsi="宋体" w:eastAsia="仿宋_GB2312"/>
                <w:b/>
                <w:kern w:val="0"/>
                <w:sz w:val="22"/>
                <w:szCs w:val="22"/>
              </w:rPr>
              <w:t>标</w:t>
            </w:r>
            <w:r>
              <w:rPr>
                <w:rFonts w:ascii="仿宋_GB2312" w:hAnsi="宋体" w:eastAsia="仿宋_GB2312"/>
                <w:b/>
                <w:kern w:val="0"/>
                <w:sz w:val="22"/>
                <w:szCs w:val="22"/>
              </w:rPr>
              <w:t xml:space="preserve">  </w:t>
            </w:r>
            <w:r>
              <w:rPr>
                <w:rFonts w:hint="eastAsia" w:ascii="仿宋_GB2312" w:hAnsi="宋体" w:eastAsia="仿宋_GB2312"/>
                <w:b/>
                <w:kern w:val="0"/>
                <w:sz w:val="22"/>
                <w:szCs w:val="22"/>
              </w:rPr>
              <w:t>表</w:t>
            </w:r>
          </w:p>
        </w:tc>
      </w:tr>
      <w:tr>
        <w:tblPrEx>
          <w:tblLayout w:type="fixed"/>
          <w:tblCellMar>
            <w:top w:w="0" w:type="dxa"/>
            <w:left w:w="108" w:type="dxa"/>
            <w:bottom w:w="0" w:type="dxa"/>
            <w:right w:w="108" w:type="dxa"/>
          </w:tblCellMar>
        </w:tblPrEx>
        <w:trPr>
          <w:trHeight w:val="271" w:hRule="atLeast"/>
        </w:trPr>
        <w:tc>
          <w:tcPr>
            <w:tcW w:w="2112" w:type="dxa"/>
            <w:tcBorders>
              <w:top w:val="nil"/>
              <w:left w:val="nil"/>
              <w:bottom w:val="nil"/>
              <w:right w:val="nil"/>
            </w:tcBorders>
            <w:vAlign w:val="bottom"/>
          </w:tcPr>
          <w:p>
            <w:pPr>
              <w:widowControl/>
              <w:jc w:val="left"/>
              <w:rPr>
                <w:rFonts w:ascii="宋体" w:cs="宋体"/>
                <w:color w:val="000000"/>
                <w:kern w:val="0"/>
                <w:sz w:val="18"/>
                <w:szCs w:val="20"/>
              </w:rPr>
            </w:pPr>
          </w:p>
        </w:tc>
        <w:tc>
          <w:tcPr>
            <w:tcW w:w="1787" w:type="dxa"/>
            <w:tcBorders>
              <w:top w:val="nil"/>
              <w:left w:val="nil"/>
              <w:bottom w:val="nil"/>
              <w:right w:val="nil"/>
            </w:tcBorders>
            <w:vAlign w:val="bottom"/>
          </w:tcPr>
          <w:p>
            <w:pPr>
              <w:widowControl/>
              <w:jc w:val="left"/>
              <w:rPr>
                <w:rFonts w:ascii="宋体" w:cs="宋体"/>
                <w:color w:val="000000"/>
                <w:kern w:val="0"/>
                <w:sz w:val="18"/>
                <w:szCs w:val="20"/>
              </w:rPr>
            </w:pPr>
          </w:p>
        </w:tc>
        <w:tc>
          <w:tcPr>
            <w:tcW w:w="1601" w:type="dxa"/>
            <w:tcBorders>
              <w:top w:val="nil"/>
              <w:left w:val="nil"/>
              <w:bottom w:val="nil"/>
              <w:right w:val="nil"/>
            </w:tcBorders>
            <w:vAlign w:val="bottom"/>
          </w:tcPr>
          <w:p>
            <w:pPr>
              <w:widowControl/>
              <w:jc w:val="left"/>
              <w:rPr>
                <w:rFonts w:ascii="宋体" w:cs="宋体"/>
                <w:color w:val="000000"/>
                <w:kern w:val="0"/>
                <w:sz w:val="18"/>
                <w:szCs w:val="20"/>
              </w:rPr>
            </w:pPr>
          </w:p>
        </w:tc>
        <w:tc>
          <w:tcPr>
            <w:tcW w:w="1601" w:type="dxa"/>
            <w:gridSpan w:val="2"/>
            <w:tcBorders>
              <w:top w:val="nil"/>
              <w:left w:val="nil"/>
              <w:bottom w:val="nil"/>
              <w:right w:val="nil"/>
            </w:tcBorders>
            <w:vAlign w:val="bottom"/>
          </w:tcPr>
          <w:p>
            <w:pPr>
              <w:widowControl/>
              <w:jc w:val="left"/>
              <w:rPr>
                <w:rFonts w:ascii="宋体" w:cs="宋体"/>
                <w:color w:val="000000"/>
                <w:kern w:val="0"/>
                <w:sz w:val="18"/>
                <w:szCs w:val="20"/>
              </w:rPr>
            </w:pPr>
          </w:p>
        </w:tc>
        <w:tc>
          <w:tcPr>
            <w:tcW w:w="309" w:type="dxa"/>
            <w:tcBorders>
              <w:top w:val="nil"/>
              <w:left w:val="nil"/>
              <w:bottom w:val="nil"/>
              <w:right w:val="nil"/>
            </w:tcBorders>
            <w:vAlign w:val="bottom"/>
          </w:tcPr>
          <w:p>
            <w:pPr>
              <w:widowControl/>
              <w:jc w:val="left"/>
              <w:rPr>
                <w:rFonts w:ascii="宋体" w:cs="宋体"/>
                <w:color w:val="000000"/>
                <w:kern w:val="0"/>
                <w:sz w:val="18"/>
                <w:szCs w:val="20"/>
              </w:rPr>
            </w:pPr>
          </w:p>
        </w:tc>
        <w:tc>
          <w:tcPr>
            <w:tcW w:w="457" w:type="dxa"/>
            <w:tcBorders>
              <w:top w:val="nil"/>
              <w:left w:val="nil"/>
              <w:bottom w:val="nil"/>
              <w:right w:val="nil"/>
            </w:tcBorders>
            <w:vAlign w:val="bottom"/>
          </w:tcPr>
          <w:p>
            <w:pPr>
              <w:widowControl/>
              <w:jc w:val="left"/>
              <w:rPr>
                <w:rFonts w:ascii="宋体" w:cs="宋体"/>
                <w:color w:val="000000"/>
                <w:kern w:val="0"/>
                <w:sz w:val="18"/>
                <w:szCs w:val="20"/>
              </w:rPr>
            </w:pPr>
          </w:p>
        </w:tc>
        <w:tc>
          <w:tcPr>
            <w:tcW w:w="1706" w:type="dxa"/>
            <w:tcBorders>
              <w:top w:val="nil"/>
              <w:left w:val="nil"/>
              <w:bottom w:val="nil"/>
              <w:right w:val="nil"/>
            </w:tcBorders>
            <w:vAlign w:val="bottom"/>
          </w:tcPr>
          <w:p>
            <w:pPr>
              <w:widowControl/>
              <w:jc w:val="left"/>
              <w:rPr>
                <w:rFonts w:ascii="宋体" w:cs="宋体"/>
                <w:color w:val="000000"/>
                <w:kern w:val="0"/>
                <w:sz w:val="18"/>
                <w:szCs w:val="20"/>
              </w:rPr>
            </w:pPr>
          </w:p>
        </w:tc>
        <w:tc>
          <w:tcPr>
            <w:tcW w:w="239" w:type="dxa"/>
            <w:tcBorders>
              <w:top w:val="nil"/>
              <w:left w:val="nil"/>
              <w:bottom w:val="nil"/>
              <w:right w:val="nil"/>
            </w:tcBorders>
            <w:vAlign w:val="bottom"/>
          </w:tcPr>
          <w:p>
            <w:pPr>
              <w:widowControl/>
              <w:jc w:val="left"/>
              <w:rPr>
                <w:rFonts w:ascii="宋体" w:cs="宋体"/>
                <w:color w:val="000000"/>
                <w:kern w:val="0"/>
                <w:sz w:val="18"/>
                <w:szCs w:val="20"/>
              </w:rPr>
            </w:pPr>
          </w:p>
        </w:tc>
        <w:tc>
          <w:tcPr>
            <w:tcW w:w="3150" w:type="dxa"/>
            <w:gridSpan w:val="2"/>
            <w:tcBorders>
              <w:top w:val="nil"/>
              <w:left w:val="nil"/>
              <w:bottom w:val="nil"/>
              <w:right w:val="nil"/>
            </w:tcBorders>
            <w:vAlign w:val="bottom"/>
          </w:tcPr>
          <w:p>
            <w:pPr>
              <w:widowControl/>
              <w:jc w:val="left"/>
              <w:rPr>
                <w:rFonts w:ascii="宋体" w:cs="宋体"/>
                <w:color w:val="000000"/>
                <w:kern w:val="0"/>
                <w:sz w:val="18"/>
                <w:szCs w:val="20"/>
              </w:rPr>
            </w:pPr>
          </w:p>
        </w:tc>
        <w:tc>
          <w:tcPr>
            <w:tcW w:w="238" w:type="dxa"/>
            <w:tcBorders>
              <w:top w:val="nil"/>
              <w:left w:val="nil"/>
              <w:bottom w:val="nil"/>
              <w:right w:val="nil"/>
            </w:tcBorders>
            <w:vAlign w:val="bottom"/>
          </w:tcPr>
          <w:p>
            <w:pPr>
              <w:widowControl/>
              <w:jc w:val="left"/>
              <w:rPr>
                <w:rFonts w:ascii="宋体" w:cs="宋体"/>
                <w:color w:val="000000"/>
                <w:kern w:val="0"/>
                <w:sz w:val="18"/>
                <w:szCs w:val="20"/>
              </w:rPr>
            </w:pPr>
          </w:p>
        </w:tc>
        <w:tc>
          <w:tcPr>
            <w:tcW w:w="254" w:type="dxa"/>
            <w:tcBorders>
              <w:top w:val="nil"/>
              <w:left w:val="nil"/>
              <w:bottom w:val="nil"/>
              <w:right w:val="nil"/>
            </w:tcBorders>
            <w:vAlign w:val="bottom"/>
          </w:tcPr>
          <w:p>
            <w:pPr>
              <w:widowControl/>
              <w:jc w:val="left"/>
              <w:rPr>
                <w:rFonts w:ascii="宋体" w:cs="宋体"/>
                <w:color w:val="000000"/>
                <w:kern w:val="0"/>
                <w:sz w:val="18"/>
                <w:szCs w:val="20"/>
              </w:rPr>
            </w:pPr>
          </w:p>
        </w:tc>
      </w:tr>
      <w:tr>
        <w:tblPrEx>
          <w:tblLayout w:type="fixed"/>
          <w:tblCellMar>
            <w:top w:w="0" w:type="dxa"/>
            <w:left w:w="108" w:type="dxa"/>
            <w:bottom w:w="0" w:type="dxa"/>
            <w:right w:w="108" w:type="dxa"/>
          </w:tblCellMar>
        </w:tblPrEx>
        <w:trPr>
          <w:trHeight w:val="271" w:hRule="atLeast"/>
        </w:trPr>
        <w:tc>
          <w:tcPr>
            <w:tcW w:w="211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kern w:val="0"/>
                <w:sz w:val="16"/>
                <w:szCs w:val="16"/>
              </w:rPr>
            </w:pPr>
            <w:r>
              <w:rPr>
                <w:rFonts w:hint="eastAsia" w:ascii="宋体" w:hAnsi="宋体" w:cs="宋体"/>
                <w:b/>
                <w:bCs/>
                <w:kern w:val="0"/>
                <w:sz w:val="16"/>
                <w:szCs w:val="16"/>
              </w:rPr>
              <w:t>预算单位</w:t>
            </w:r>
          </w:p>
        </w:tc>
        <w:tc>
          <w:tcPr>
            <w:tcW w:w="5755" w:type="dxa"/>
            <w:gridSpan w:val="6"/>
            <w:tcBorders>
              <w:top w:val="single" w:color="auto" w:sz="4" w:space="0"/>
              <w:left w:val="nil"/>
              <w:bottom w:val="single" w:color="auto" w:sz="4" w:space="0"/>
              <w:right w:val="single" w:color="auto" w:sz="4" w:space="0"/>
            </w:tcBorders>
            <w:vAlign w:val="center"/>
          </w:tcPr>
          <w:p>
            <w:pPr>
              <w:widowControl/>
              <w:jc w:val="center"/>
              <w:rPr>
                <w:rFonts w:hint="eastAsia" w:ascii="宋体" w:eastAsia="宋体" w:cs="宋体"/>
                <w:kern w:val="0"/>
                <w:sz w:val="16"/>
                <w:szCs w:val="16"/>
                <w:lang w:eastAsia="zh-CN"/>
              </w:rPr>
            </w:pPr>
            <w:r>
              <w:rPr>
                <w:rFonts w:hint="eastAsia" w:ascii="仿宋_GB2312" w:hAnsi="仿宋_GB2312" w:eastAsia="仿宋_GB2312" w:cs="仿宋_GB2312"/>
                <w:kern w:val="0"/>
                <w:sz w:val="21"/>
                <w:szCs w:val="21"/>
                <w:lang w:eastAsia="zh-CN"/>
              </w:rPr>
              <w:t>吉木萨尔县交通运输局</w:t>
            </w:r>
          </w:p>
        </w:tc>
        <w:tc>
          <w:tcPr>
            <w:tcW w:w="1706"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16"/>
                <w:szCs w:val="16"/>
              </w:rPr>
            </w:pPr>
            <w:r>
              <w:rPr>
                <w:rFonts w:hint="eastAsia" w:ascii="宋体" w:hAnsi="宋体" w:cs="宋体"/>
                <w:b/>
                <w:bCs/>
                <w:kern w:val="0"/>
                <w:sz w:val="16"/>
                <w:szCs w:val="16"/>
              </w:rPr>
              <w:t>项目名称</w:t>
            </w:r>
          </w:p>
        </w:tc>
        <w:tc>
          <w:tcPr>
            <w:tcW w:w="3881" w:type="dxa"/>
            <w:gridSpan w:val="5"/>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16"/>
                <w:szCs w:val="16"/>
              </w:rPr>
            </w:pPr>
          </w:p>
        </w:tc>
      </w:tr>
      <w:tr>
        <w:tblPrEx>
          <w:tblLayout w:type="fixed"/>
          <w:tblCellMar>
            <w:top w:w="0" w:type="dxa"/>
            <w:left w:w="108" w:type="dxa"/>
            <w:bottom w:w="0" w:type="dxa"/>
            <w:right w:w="108" w:type="dxa"/>
          </w:tblCellMar>
        </w:tblPrEx>
        <w:trPr>
          <w:trHeight w:val="576" w:hRule="atLeast"/>
        </w:trPr>
        <w:tc>
          <w:tcPr>
            <w:tcW w:w="2112"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16"/>
                <w:szCs w:val="16"/>
              </w:rPr>
            </w:pPr>
            <w:r>
              <w:rPr>
                <w:rFonts w:hint="eastAsia" w:ascii="宋体" w:hAnsi="宋体" w:cs="宋体"/>
                <w:b/>
                <w:bCs/>
                <w:kern w:val="0"/>
                <w:sz w:val="16"/>
                <w:szCs w:val="16"/>
              </w:rPr>
              <w:t>项目资金（万元）</w:t>
            </w:r>
          </w:p>
        </w:tc>
        <w:tc>
          <w:tcPr>
            <w:tcW w:w="1787" w:type="dxa"/>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16"/>
                <w:szCs w:val="16"/>
              </w:rPr>
            </w:pPr>
            <w:r>
              <w:rPr>
                <w:rFonts w:hint="eastAsia" w:ascii="宋体" w:hAnsi="宋体" w:cs="宋体"/>
                <w:kern w:val="0"/>
                <w:sz w:val="16"/>
                <w:szCs w:val="16"/>
              </w:rPr>
              <w:t>年度资金总额：</w:t>
            </w:r>
          </w:p>
        </w:tc>
        <w:tc>
          <w:tcPr>
            <w:tcW w:w="2080" w:type="dxa"/>
            <w:gridSpan w:val="2"/>
            <w:tcBorders>
              <w:top w:val="nil"/>
              <w:left w:val="nil"/>
              <w:bottom w:val="single" w:color="auto" w:sz="4" w:space="0"/>
              <w:right w:val="single" w:color="auto" w:sz="4" w:space="0"/>
            </w:tcBorders>
            <w:vAlign w:val="center"/>
          </w:tcPr>
          <w:p>
            <w:pPr>
              <w:widowControl/>
              <w:jc w:val="center"/>
              <w:rPr>
                <w:rFonts w:ascii="宋体" w:cs="宋体"/>
                <w:kern w:val="0"/>
                <w:sz w:val="16"/>
                <w:szCs w:val="16"/>
              </w:rPr>
            </w:pPr>
          </w:p>
        </w:tc>
        <w:tc>
          <w:tcPr>
            <w:tcW w:w="1888"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16"/>
                <w:szCs w:val="16"/>
              </w:rPr>
            </w:pPr>
            <w:r>
              <w:rPr>
                <w:rFonts w:hint="eastAsia" w:ascii="宋体" w:hAnsi="宋体" w:cs="宋体"/>
                <w:kern w:val="0"/>
                <w:sz w:val="16"/>
                <w:szCs w:val="16"/>
              </w:rPr>
              <w:t>其中：财政拨款</w:t>
            </w:r>
          </w:p>
        </w:tc>
        <w:tc>
          <w:tcPr>
            <w:tcW w:w="1706" w:type="dxa"/>
            <w:tcBorders>
              <w:top w:val="nil"/>
              <w:left w:val="nil"/>
              <w:bottom w:val="single" w:color="auto" w:sz="4" w:space="0"/>
              <w:right w:val="single" w:color="auto" w:sz="4" w:space="0"/>
            </w:tcBorders>
            <w:vAlign w:val="center"/>
          </w:tcPr>
          <w:p>
            <w:pPr>
              <w:widowControl/>
              <w:jc w:val="center"/>
              <w:rPr>
                <w:rFonts w:ascii="宋体" w:cs="宋体"/>
                <w:kern w:val="0"/>
                <w:sz w:val="16"/>
                <w:szCs w:val="16"/>
              </w:rPr>
            </w:pPr>
          </w:p>
        </w:tc>
        <w:tc>
          <w:tcPr>
            <w:tcW w:w="1331"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16"/>
                <w:szCs w:val="16"/>
              </w:rPr>
            </w:pPr>
            <w:r>
              <w:rPr>
                <w:rFonts w:hint="eastAsia" w:ascii="宋体" w:hAnsi="宋体" w:cs="宋体"/>
                <w:kern w:val="0"/>
                <w:sz w:val="16"/>
                <w:szCs w:val="16"/>
              </w:rPr>
              <w:t>其他资金</w:t>
            </w:r>
          </w:p>
        </w:tc>
        <w:tc>
          <w:tcPr>
            <w:tcW w:w="2550"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16"/>
                <w:szCs w:val="16"/>
              </w:rPr>
            </w:pPr>
            <w:r>
              <w:rPr>
                <w:rFonts w:hint="eastAsia" w:ascii="宋体" w:hAnsi="宋体" w:cs="宋体"/>
                <w:kern w:val="0"/>
                <w:sz w:val="16"/>
                <w:szCs w:val="16"/>
              </w:rPr>
              <w:t>　</w:t>
            </w:r>
          </w:p>
        </w:tc>
      </w:tr>
      <w:tr>
        <w:tblPrEx>
          <w:tblLayout w:type="fixed"/>
          <w:tblCellMar>
            <w:top w:w="0" w:type="dxa"/>
            <w:left w:w="108" w:type="dxa"/>
            <w:bottom w:w="0" w:type="dxa"/>
            <w:right w:w="108" w:type="dxa"/>
          </w:tblCellMar>
        </w:tblPrEx>
        <w:trPr>
          <w:trHeight w:val="401" w:hRule="atLeast"/>
        </w:trPr>
        <w:tc>
          <w:tcPr>
            <w:tcW w:w="2112" w:type="dxa"/>
            <w:tcBorders>
              <w:top w:val="nil"/>
              <w:left w:val="single" w:color="000000" w:sz="4" w:space="0"/>
              <w:bottom w:val="single" w:color="000000" w:sz="4" w:space="0"/>
              <w:right w:val="single" w:color="000000" w:sz="4" w:space="0"/>
            </w:tcBorders>
            <w:vAlign w:val="center"/>
          </w:tcPr>
          <w:p>
            <w:pPr>
              <w:widowControl/>
              <w:jc w:val="center"/>
              <w:rPr>
                <w:rFonts w:ascii="宋体" w:cs="宋体"/>
                <w:b/>
                <w:bCs/>
                <w:kern w:val="0"/>
                <w:sz w:val="16"/>
                <w:szCs w:val="16"/>
              </w:rPr>
            </w:pPr>
            <w:r>
              <w:rPr>
                <w:rFonts w:hint="eastAsia" w:ascii="宋体" w:hAnsi="宋体" w:cs="宋体"/>
                <w:b/>
                <w:bCs/>
                <w:kern w:val="0"/>
                <w:sz w:val="16"/>
                <w:szCs w:val="16"/>
              </w:rPr>
              <w:t>项目总体目标</w:t>
            </w:r>
          </w:p>
        </w:tc>
        <w:tc>
          <w:tcPr>
            <w:tcW w:w="11342" w:type="dxa"/>
            <w:gridSpan w:val="12"/>
            <w:tcBorders>
              <w:top w:val="nil"/>
              <w:left w:val="nil"/>
              <w:bottom w:val="single" w:color="000000" w:sz="4" w:space="0"/>
              <w:right w:val="single" w:color="000000" w:sz="4" w:space="0"/>
            </w:tcBorders>
          </w:tcPr>
          <w:p>
            <w:pPr>
              <w:widowControl/>
              <w:jc w:val="left"/>
              <w:rPr>
                <w:rFonts w:ascii="宋体" w:cs="宋体"/>
                <w:kern w:val="0"/>
                <w:sz w:val="16"/>
                <w:szCs w:val="16"/>
              </w:rPr>
            </w:pPr>
          </w:p>
        </w:tc>
      </w:tr>
      <w:tr>
        <w:tblPrEx>
          <w:tblLayout w:type="fixed"/>
          <w:tblCellMar>
            <w:top w:w="0" w:type="dxa"/>
            <w:left w:w="108" w:type="dxa"/>
            <w:bottom w:w="0" w:type="dxa"/>
            <w:right w:w="108" w:type="dxa"/>
          </w:tblCellMar>
        </w:tblPrEx>
        <w:trPr>
          <w:trHeight w:val="271" w:hRule="atLeast"/>
        </w:trPr>
        <w:tc>
          <w:tcPr>
            <w:tcW w:w="2112" w:type="dxa"/>
            <w:tcBorders>
              <w:top w:val="nil"/>
              <w:left w:val="single" w:color="000000" w:sz="4" w:space="0"/>
              <w:bottom w:val="single" w:color="000000" w:sz="4" w:space="0"/>
              <w:right w:val="single" w:color="000000" w:sz="4" w:space="0"/>
            </w:tcBorders>
            <w:vAlign w:val="center"/>
          </w:tcPr>
          <w:p>
            <w:pPr>
              <w:widowControl/>
              <w:jc w:val="center"/>
              <w:rPr>
                <w:rFonts w:ascii="宋体" w:cs="宋体"/>
                <w:b/>
                <w:bCs/>
                <w:kern w:val="0"/>
                <w:sz w:val="16"/>
                <w:szCs w:val="16"/>
              </w:rPr>
            </w:pPr>
            <w:r>
              <w:rPr>
                <w:rFonts w:hint="eastAsia" w:ascii="宋体" w:hAnsi="宋体" w:cs="宋体"/>
                <w:b/>
                <w:bCs/>
                <w:kern w:val="0"/>
                <w:sz w:val="16"/>
                <w:szCs w:val="16"/>
              </w:rPr>
              <w:t>一级指标</w:t>
            </w:r>
          </w:p>
        </w:tc>
        <w:tc>
          <w:tcPr>
            <w:tcW w:w="1787" w:type="dxa"/>
            <w:tcBorders>
              <w:top w:val="nil"/>
              <w:left w:val="nil"/>
              <w:bottom w:val="single" w:color="000000" w:sz="4" w:space="0"/>
              <w:right w:val="single" w:color="000000" w:sz="4" w:space="0"/>
            </w:tcBorders>
            <w:vAlign w:val="center"/>
          </w:tcPr>
          <w:p>
            <w:pPr>
              <w:widowControl/>
              <w:jc w:val="center"/>
              <w:rPr>
                <w:rFonts w:ascii="宋体" w:cs="宋体"/>
                <w:b/>
                <w:bCs/>
                <w:kern w:val="0"/>
                <w:sz w:val="16"/>
                <w:szCs w:val="16"/>
              </w:rPr>
            </w:pPr>
            <w:r>
              <w:rPr>
                <w:rFonts w:hint="eastAsia" w:ascii="宋体" w:hAnsi="宋体" w:cs="宋体"/>
                <w:b/>
                <w:bCs/>
                <w:kern w:val="0"/>
                <w:sz w:val="16"/>
                <w:szCs w:val="16"/>
              </w:rPr>
              <w:t>二级指标</w:t>
            </w:r>
          </w:p>
        </w:tc>
        <w:tc>
          <w:tcPr>
            <w:tcW w:w="5913"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cs="宋体"/>
                <w:b/>
                <w:bCs/>
                <w:kern w:val="0"/>
                <w:sz w:val="16"/>
                <w:szCs w:val="16"/>
              </w:rPr>
            </w:pPr>
            <w:r>
              <w:rPr>
                <w:rFonts w:hint="eastAsia" w:ascii="宋体" w:hAnsi="宋体" w:cs="宋体"/>
                <w:b/>
                <w:bCs/>
                <w:kern w:val="0"/>
                <w:sz w:val="16"/>
                <w:szCs w:val="16"/>
              </w:rPr>
              <w:t>三级指标</w:t>
            </w:r>
          </w:p>
        </w:tc>
        <w:tc>
          <w:tcPr>
            <w:tcW w:w="3642"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cs="宋体"/>
                <w:b/>
                <w:bCs/>
                <w:kern w:val="0"/>
                <w:sz w:val="16"/>
                <w:szCs w:val="16"/>
              </w:rPr>
            </w:pPr>
            <w:r>
              <w:rPr>
                <w:rFonts w:hint="eastAsia" w:ascii="宋体" w:hAnsi="宋体" w:cs="宋体"/>
                <w:b/>
                <w:bCs/>
                <w:kern w:val="0"/>
                <w:sz w:val="16"/>
                <w:szCs w:val="16"/>
              </w:rPr>
              <w:t>指标值（包含数字及文字描述）</w:t>
            </w:r>
          </w:p>
        </w:tc>
      </w:tr>
      <w:tr>
        <w:tblPrEx>
          <w:tblLayout w:type="fixed"/>
          <w:tblCellMar>
            <w:top w:w="0" w:type="dxa"/>
            <w:left w:w="108" w:type="dxa"/>
            <w:bottom w:w="0" w:type="dxa"/>
            <w:right w:w="108" w:type="dxa"/>
          </w:tblCellMar>
        </w:tblPrEx>
        <w:trPr>
          <w:trHeight w:val="271" w:hRule="atLeast"/>
        </w:trPr>
        <w:tc>
          <w:tcPr>
            <w:tcW w:w="2112"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cs="宋体"/>
                <w:kern w:val="0"/>
                <w:sz w:val="16"/>
                <w:szCs w:val="16"/>
              </w:rPr>
            </w:pPr>
            <w:r>
              <w:rPr>
                <w:rFonts w:hint="eastAsia" w:ascii="宋体" w:hAnsi="宋体" w:cs="宋体"/>
                <w:kern w:val="0"/>
                <w:sz w:val="16"/>
                <w:szCs w:val="16"/>
              </w:rPr>
              <w:t>项目完成指标</w:t>
            </w:r>
          </w:p>
        </w:tc>
        <w:tc>
          <w:tcPr>
            <w:tcW w:w="1787" w:type="dxa"/>
            <w:tcBorders>
              <w:top w:val="nil"/>
              <w:left w:val="single" w:color="000000" w:sz="4" w:space="0"/>
              <w:bottom w:val="single" w:color="000000" w:sz="4" w:space="0"/>
              <w:right w:val="single" w:color="000000" w:sz="4" w:space="0"/>
            </w:tcBorders>
            <w:vAlign w:val="center"/>
          </w:tcPr>
          <w:p>
            <w:pPr>
              <w:widowControl/>
              <w:jc w:val="center"/>
              <w:rPr>
                <w:rFonts w:ascii="宋体" w:cs="宋体"/>
                <w:kern w:val="0"/>
                <w:sz w:val="16"/>
                <w:szCs w:val="16"/>
              </w:rPr>
            </w:pPr>
            <w:r>
              <w:rPr>
                <w:rFonts w:hint="eastAsia" w:ascii="宋体" w:hAnsi="宋体" w:cs="宋体"/>
                <w:kern w:val="0"/>
                <w:sz w:val="16"/>
                <w:szCs w:val="16"/>
              </w:rPr>
              <w:t>成本指标</w:t>
            </w:r>
          </w:p>
        </w:tc>
        <w:tc>
          <w:tcPr>
            <w:tcW w:w="5913"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cs="宋体"/>
                <w:kern w:val="0"/>
                <w:sz w:val="16"/>
                <w:szCs w:val="16"/>
              </w:rPr>
            </w:pPr>
          </w:p>
        </w:tc>
        <w:tc>
          <w:tcPr>
            <w:tcW w:w="3642"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cs="宋体"/>
                <w:kern w:val="0"/>
                <w:sz w:val="16"/>
                <w:szCs w:val="16"/>
              </w:rPr>
            </w:pPr>
          </w:p>
        </w:tc>
      </w:tr>
      <w:tr>
        <w:tblPrEx>
          <w:tblLayout w:type="fixed"/>
          <w:tblCellMar>
            <w:top w:w="0" w:type="dxa"/>
            <w:left w:w="108" w:type="dxa"/>
            <w:bottom w:w="0" w:type="dxa"/>
            <w:right w:w="108" w:type="dxa"/>
          </w:tblCellMar>
        </w:tblPrEx>
        <w:trPr>
          <w:trHeight w:val="271" w:hRule="atLeast"/>
        </w:trPr>
        <w:tc>
          <w:tcPr>
            <w:tcW w:w="211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s="宋体"/>
                <w:kern w:val="0"/>
                <w:sz w:val="16"/>
                <w:szCs w:val="16"/>
              </w:rPr>
            </w:pPr>
          </w:p>
        </w:tc>
        <w:tc>
          <w:tcPr>
            <w:tcW w:w="1787" w:type="dxa"/>
            <w:tcBorders>
              <w:top w:val="nil"/>
              <w:left w:val="single" w:color="000000" w:sz="4" w:space="0"/>
              <w:bottom w:val="single" w:color="000000" w:sz="4" w:space="0"/>
              <w:right w:val="single" w:color="000000" w:sz="4" w:space="0"/>
            </w:tcBorders>
            <w:vAlign w:val="center"/>
          </w:tcPr>
          <w:p>
            <w:pPr>
              <w:widowControl/>
              <w:jc w:val="center"/>
              <w:rPr>
                <w:rFonts w:ascii="宋体" w:cs="宋体"/>
                <w:kern w:val="0"/>
                <w:sz w:val="16"/>
                <w:szCs w:val="16"/>
              </w:rPr>
            </w:pPr>
            <w:r>
              <w:rPr>
                <w:rFonts w:hint="eastAsia" w:ascii="宋体" w:hAnsi="宋体" w:cs="宋体"/>
                <w:kern w:val="0"/>
                <w:sz w:val="16"/>
                <w:szCs w:val="16"/>
              </w:rPr>
              <w:t>时效指标</w:t>
            </w:r>
          </w:p>
        </w:tc>
        <w:tc>
          <w:tcPr>
            <w:tcW w:w="5913" w:type="dxa"/>
            <w:gridSpan w:val="7"/>
            <w:tcBorders>
              <w:top w:val="single" w:color="000000" w:sz="4" w:space="0"/>
              <w:left w:val="nil"/>
              <w:bottom w:val="single" w:color="000000" w:sz="4" w:space="0"/>
              <w:right w:val="single" w:color="000000" w:sz="4" w:space="0"/>
            </w:tcBorders>
            <w:vAlign w:val="center"/>
          </w:tcPr>
          <w:p>
            <w:pPr>
              <w:widowControl/>
              <w:tabs>
                <w:tab w:val="left" w:pos="1238"/>
              </w:tabs>
              <w:jc w:val="center"/>
              <w:rPr>
                <w:rFonts w:ascii="宋体" w:cs="宋体"/>
                <w:kern w:val="0"/>
                <w:sz w:val="16"/>
                <w:szCs w:val="16"/>
              </w:rPr>
            </w:pPr>
          </w:p>
        </w:tc>
        <w:tc>
          <w:tcPr>
            <w:tcW w:w="3642"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cs="宋体"/>
                <w:kern w:val="0"/>
                <w:sz w:val="16"/>
                <w:szCs w:val="16"/>
              </w:rPr>
            </w:pPr>
          </w:p>
        </w:tc>
      </w:tr>
      <w:tr>
        <w:tblPrEx>
          <w:tblLayout w:type="fixed"/>
          <w:tblCellMar>
            <w:top w:w="0" w:type="dxa"/>
            <w:left w:w="108" w:type="dxa"/>
            <w:bottom w:w="0" w:type="dxa"/>
            <w:right w:w="108" w:type="dxa"/>
          </w:tblCellMar>
        </w:tblPrEx>
        <w:trPr>
          <w:trHeight w:val="271" w:hRule="atLeast"/>
        </w:trPr>
        <w:tc>
          <w:tcPr>
            <w:tcW w:w="211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s="宋体"/>
                <w:kern w:val="0"/>
                <w:sz w:val="16"/>
                <w:szCs w:val="16"/>
              </w:rPr>
            </w:pPr>
          </w:p>
        </w:tc>
        <w:tc>
          <w:tcPr>
            <w:tcW w:w="1787" w:type="dxa"/>
            <w:tcBorders>
              <w:top w:val="nil"/>
              <w:left w:val="single" w:color="000000" w:sz="4" w:space="0"/>
              <w:bottom w:val="single" w:color="000000" w:sz="4" w:space="0"/>
              <w:right w:val="single" w:color="000000" w:sz="4" w:space="0"/>
            </w:tcBorders>
            <w:vAlign w:val="center"/>
          </w:tcPr>
          <w:p>
            <w:pPr>
              <w:widowControl/>
              <w:jc w:val="center"/>
              <w:rPr>
                <w:rFonts w:ascii="宋体" w:cs="宋体"/>
                <w:kern w:val="0"/>
                <w:sz w:val="16"/>
                <w:szCs w:val="16"/>
              </w:rPr>
            </w:pPr>
            <w:r>
              <w:rPr>
                <w:rFonts w:hint="eastAsia" w:ascii="宋体" w:hAnsi="宋体" w:cs="宋体"/>
                <w:kern w:val="0"/>
                <w:sz w:val="16"/>
                <w:szCs w:val="16"/>
              </w:rPr>
              <w:t>数量指标</w:t>
            </w:r>
          </w:p>
        </w:tc>
        <w:tc>
          <w:tcPr>
            <w:tcW w:w="5913" w:type="dxa"/>
            <w:gridSpan w:val="7"/>
            <w:tcBorders>
              <w:top w:val="single" w:color="000000" w:sz="4" w:space="0"/>
              <w:left w:val="nil"/>
              <w:bottom w:val="single" w:color="000000" w:sz="4" w:space="0"/>
              <w:right w:val="single" w:color="000000" w:sz="4" w:space="0"/>
            </w:tcBorders>
            <w:vAlign w:val="center"/>
          </w:tcPr>
          <w:p>
            <w:pPr>
              <w:widowControl/>
              <w:tabs>
                <w:tab w:val="center" w:pos="1766"/>
              </w:tabs>
              <w:jc w:val="center"/>
              <w:rPr>
                <w:rFonts w:ascii="宋体" w:cs="宋体"/>
                <w:kern w:val="0"/>
                <w:sz w:val="16"/>
                <w:szCs w:val="16"/>
              </w:rPr>
            </w:pPr>
          </w:p>
        </w:tc>
        <w:tc>
          <w:tcPr>
            <w:tcW w:w="3642"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cs="宋体"/>
                <w:kern w:val="0"/>
                <w:sz w:val="16"/>
                <w:szCs w:val="16"/>
              </w:rPr>
            </w:pPr>
          </w:p>
        </w:tc>
      </w:tr>
      <w:tr>
        <w:tblPrEx>
          <w:tblLayout w:type="fixed"/>
          <w:tblCellMar>
            <w:top w:w="0" w:type="dxa"/>
            <w:left w:w="108" w:type="dxa"/>
            <w:bottom w:w="0" w:type="dxa"/>
            <w:right w:w="108" w:type="dxa"/>
          </w:tblCellMar>
        </w:tblPrEx>
        <w:trPr>
          <w:trHeight w:val="271" w:hRule="atLeast"/>
        </w:trPr>
        <w:tc>
          <w:tcPr>
            <w:tcW w:w="211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s="宋体"/>
                <w:kern w:val="0"/>
                <w:sz w:val="16"/>
                <w:szCs w:val="16"/>
              </w:rPr>
            </w:pPr>
          </w:p>
        </w:tc>
        <w:tc>
          <w:tcPr>
            <w:tcW w:w="1787" w:type="dxa"/>
            <w:tcBorders>
              <w:top w:val="nil"/>
              <w:left w:val="single" w:color="000000" w:sz="4" w:space="0"/>
              <w:bottom w:val="single" w:color="000000" w:sz="4" w:space="0"/>
              <w:right w:val="single" w:color="000000" w:sz="4" w:space="0"/>
            </w:tcBorders>
            <w:vAlign w:val="center"/>
          </w:tcPr>
          <w:p>
            <w:pPr>
              <w:widowControl/>
              <w:jc w:val="center"/>
              <w:rPr>
                <w:rFonts w:ascii="宋体" w:cs="宋体"/>
                <w:kern w:val="0"/>
                <w:sz w:val="16"/>
                <w:szCs w:val="16"/>
              </w:rPr>
            </w:pPr>
            <w:r>
              <w:rPr>
                <w:rFonts w:hint="eastAsia" w:ascii="宋体" w:hAnsi="宋体" w:cs="宋体"/>
                <w:kern w:val="0"/>
                <w:sz w:val="16"/>
                <w:szCs w:val="16"/>
              </w:rPr>
              <w:t>质量指标</w:t>
            </w:r>
          </w:p>
        </w:tc>
        <w:tc>
          <w:tcPr>
            <w:tcW w:w="5913" w:type="dxa"/>
            <w:gridSpan w:val="7"/>
            <w:tcBorders>
              <w:top w:val="single" w:color="000000" w:sz="4" w:space="0"/>
              <w:left w:val="nil"/>
              <w:bottom w:val="single" w:color="000000" w:sz="4" w:space="0"/>
              <w:right w:val="single" w:color="000000" w:sz="4" w:space="0"/>
            </w:tcBorders>
            <w:vAlign w:val="center"/>
          </w:tcPr>
          <w:p>
            <w:pPr>
              <w:widowControl/>
              <w:tabs>
                <w:tab w:val="center" w:pos="1766"/>
              </w:tabs>
              <w:jc w:val="center"/>
              <w:rPr>
                <w:rFonts w:ascii="宋体" w:cs="宋体"/>
                <w:kern w:val="0"/>
                <w:sz w:val="16"/>
                <w:szCs w:val="16"/>
              </w:rPr>
            </w:pPr>
          </w:p>
        </w:tc>
        <w:tc>
          <w:tcPr>
            <w:tcW w:w="3642"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cs="宋体"/>
                <w:kern w:val="0"/>
                <w:sz w:val="16"/>
                <w:szCs w:val="16"/>
              </w:rPr>
            </w:pPr>
          </w:p>
        </w:tc>
      </w:tr>
      <w:tr>
        <w:tblPrEx>
          <w:tblLayout w:type="fixed"/>
          <w:tblCellMar>
            <w:top w:w="0" w:type="dxa"/>
            <w:left w:w="108" w:type="dxa"/>
            <w:bottom w:w="0" w:type="dxa"/>
            <w:right w:w="108" w:type="dxa"/>
          </w:tblCellMar>
        </w:tblPrEx>
        <w:trPr>
          <w:trHeight w:val="283" w:hRule="atLeast"/>
        </w:trPr>
        <w:tc>
          <w:tcPr>
            <w:tcW w:w="2112"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cs="宋体"/>
                <w:kern w:val="0"/>
                <w:sz w:val="16"/>
                <w:szCs w:val="16"/>
              </w:rPr>
            </w:pPr>
            <w:r>
              <w:rPr>
                <w:rFonts w:hint="eastAsia" w:ascii="宋体" w:hAnsi="宋体" w:cs="宋体"/>
                <w:kern w:val="0"/>
                <w:sz w:val="16"/>
                <w:szCs w:val="16"/>
              </w:rPr>
              <w:t>项目效益指标</w:t>
            </w:r>
          </w:p>
        </w:tc>
        <w:tc>
          <w:tcPr>
            <w:tcW w:w="1787" w:type="dxa"/>
            <w:tcBorders>
              <w:top w:val="nil"/>
              <w:left w:val="single" w:color="000000" w:sz="4" w:space="0"/>
              <w:bottom w:val="single" w:color="000000" w:sz="4" w:space="0"/>
              <w:right w:val="single" w:color="000000" w:sz="4" w:space="0"/>
            </w:tcBorders>
            <w:vAlign w:val="center"/>
          </w:tcPr>
          <w:p>
            <w:pPr>
              <w:widowControl/>
              <w:jc w:val="center"/>
              <w:rPr>
                <w:rFonts w:ascii="宋体" w:cs="宋体"/>
                <w:kern w:val="0"/>
                <w:sz w:val="16"/>
                <w:szCs w:val="16"/>
              </w:rPr>
            </w:pPr>
            <w:r>
              <w:rPr>
                <w:rFonts w:hint="eastAsia" w:ascii="宋体" w:hAnsi="宋体" w:cs="宋体"/>
                <w:kern w:val="0"/>
                <w:sz w:val="16"/>
                <w:szCs w:val="16"/>
              </w:rPr>
              <w:t>经济效益指标</w:t>
            </w:r>
          </w:p>
        </w:tc>
        <w:tc>
          <w:tcPr>
            <w:tcW w:w="5913"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cs="宋体"/>
                <w:kern w:val="0"/>
                <w:sz w:val="16"/>
                <w:szCs w:val="16"/>
              </w:rPr>
            </w:pPr>
          </w:p>
        </w:tc>
        <w:tc>
          <w:tcPr>
            <w:tcW w:w="3642"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cs="宋体"/>
                <w:kern w:val="0"/>
                <w:sz w:val="16"/>
                <w:szCs w:val="16"/>
              </w:rPr>
            </w:pPr>
          </w:p>
        </w:tc>
      </w:tr>
      <w:tr>
        <w:tblPrEx>
          <w:tblLayout w:type="fixed"/>
          <w:tblCellMar>
            <w:top w:w="0" w:type="dxa"/>
            <w:left w:w="108" w:type="dxa"/>
            <w:bottom w:w="0" w:type="dxa"/>
            <w:right w:w="108" w:type="dxa"/>
          </w:tblCellMar>
        </w:tblPrEx>
        <w:trPr>
          <w:trHeight w:val="283" w:hRule="atLeast"/>
        </w:trPr>
        <w:tc>
          <w:tcPr>
            <w:tcW w:w="211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s="宋体"/>
                <w:kern w:val="0"/>
                <w:sz w:val="16"/>
                <w:szCs w:val="16"/>
              </w:rPr>
            </w:pPr>
          </w:p>
        </w:tc>
        <w:tc>
          <w:tcPr>
            <w:tcW w:w="1787" w:type="dxa"/>
            <w:tcBorders>
              <w:top w:val="nil"/>
              <w:left w:val="single" w:color="000000" w:sz="4" w:space="0"/>
              <w:bottom w:val="single" w:color="000000" w:sz="4" w:space="0"/>
              <w:right w:val="single" w:color="000000" w:sz="4" w:space="0"/>
            </w:tcBorders>
            <w:vAlign w:val="center"/>
          </w:tcPr>
          <w:p>
            <w:pPr>
              <w:widowControl/>
              <w:jc w:val="center"/>
              <w:rPr>
                <w:rFonts w:ascii="宋体" w:cs="宋体"/>
                <w:kern w:val="0"/>
                <w:sz w:val="16"/>
                <w:szCs w:val="16"/>
              </w:rPr>
            </w:pPr>
            <w:r>
              <w:rPr>
                <w:rFonts w:hint="eastAsia" w:ascii="宋体" w:hAnsi="宋体" w:cs="宋体"/>
                <w:kern w:val="0"/>
                <w:sz w:val="16"/>
                <w:szCs w:val="16"/>
              </w:rPr>
              <w:t>可持续影响指标</w:t>
            </w:r>
          </w:p>
        </w:tc>
        <w:tc>
          <w:tcPr>
            <w:tcW w:w="5913"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cs="宋体"/>
                <w:kern w:val="0"/>
                <w:sz w:val="16"/>
                <w:szCs w:val="16"/>
              </w:rPr>
            </w:pPr>
          </w:p>
        </w:tc>
        <w:tc>
          <w:tcPr>
            <w:tcW w:w="3642"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cs="宋体"/>
                <w:kern w:val="0"/>
                <w:sz w:val="16"/>
                <w:szCs w:val="16"/>
              </w:rPr>
            </w:pPr>
          </w:p>
        </w:tc>
      </w:tr>
      <w:tr>
        <w:tblPrEx>
          <w:tblLayout w:type="fixed"/>
          <w:tblCellMar>
            <w:top w:w="0" w:type="dxa"/>
            <w:left w:w="108" w:type="dxa"/>
            <w:bottom w:w="0" w:type="dxa"/>
            <w:right w:w="108" w:type="dxa"/>
          </w:tblCellMar>
        </w:tblPrEx>
        <w:trPr>
          <w:trHeight w:val="283" w:hRule="atLeast"/>
        </w:trPr>
        <w:tc>
          <w:tcPr>
            <w:tcW w:w="211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s="宋体"/>
                <w:kern w:val="0"/>
                <w:sz w:val="16"/>
                <w:szCs w:val="16"/>
              </w:rPr>
            </w:pPr>
          </w:p>
        </w:tc>
        <w:tc>
          <w:tcPr>
            <w:tcW w:w="1787" w:type="dxa"/>
            <w:tcBorders>
              <w:top w:val="nil"/>
              <w:left w:val="single" w:color="000000" w:sz="4" w:space="0"/>
              <w:bottom w:val="single" w:color="000000" w:sz="4" w:space="0"/>
              <w:right w:val="single" w:color="000000" w:sz="4" w:space="0"/>
            </w:tcBorders>
            <w:vAlign w:val="center"/>
          </w:tcPr>
          <w:p>
            <w:pPr>
              <w:widowControl/>
              <w:jc w:val="center"/>
              <w:rPr>
                <w:rFonts w:ascii="宋体" w:cs="宋体"/>
                <w:kern w:val="0"/>
                <w:sz w:val="16"/>
                <w:szCs w:val="16"/>
              </w:rPr>
            </w:pPr>
            <w:r>
              <w:rPr>
                <w:rFonts w:hint="eastAsia" w:ascii="宋体" w:hAnsi="宋体" w:cs="宋体"/>
                <w:kern w:val="0"/>
                <w:sz w:val="16"/>
                <w:szCs w:val="16"/>
              </w:rPr>
              <w:t>社会效益指标</w:t>
            </w:r>
          </w:p>
        </w:tc>
        <w:tc>
          <w:tcPr>
            <w:tcW w:w="5913" w:type="dxa"/>
            <w:gridSpan w:val="7"/>
            <w:tcBorders>
              <w:top w:val="single" w:color="000000" w:sz="4" w:space="0"/>
              <w:left w:val="nil"/>
              <w:bottom w:val="single" w:color="000000" w:sz="4" w:space="0"/>
              <w:right w:val="single" w:color="000000" w:sz="4" w:space="0"/>
            </w:tcBorders>
            <w:vAlign w:val="center"/>
          </w:tcPr>
          <w:p>
            <w:pPr>
              <w:widowControl/>
              <w:tabs>
                <w:tab w:val="center" w:pos="1766"/>
              </w:tabs>
              <w:jc w:val="center"/>
              <w:rPr>
                <w:rFonts w:ascii="宋体" w:cs="宋体"/>
                <w:kern w:val="0"/>
                <w:sz w:val="16"/>
                <w:szCs w:val="16"/>
              </w:rPr>
            </w:pPr>
          </w:p>
        </w:tc>
        <w:tc>
          <w:tcPr>
            <w:tcW w:w="3642"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cs="宋体"/>
                <w:kern w:val="0"/>
                <w:sz w:val="16"/>
                <w:szCs w:val="16"/>
              </w:rPr>
            </w:pPr>
          </w:p>
        </w:tc>
      </w:tr>
      <w:tr>
        <w:tblPrEx>
          <w:tblLayout w:type="fixed"/>
          <w:tblCellMar>
            <w:top w:w="0" w:type="dxa"/>
            <w:left w:w="108" w:type="dxa"/>
            <w:bottom w:w="0" w:type="dxa"/>
            <w:right w:w="108" w:type="dxa"/>
          </w:tblCellMar>
        </w:tblPrEx>
        <w:trPr>
          <w:trHeight w:val="283" w:hRule="atLeast"/>
        </w:trPr>
        <w:tc>
          <w:tcPr>
            <w:tcW w:w="211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s="宋体"/>
                <w:kern w:val="0"/>
                <w:sz w:val="16"/>
                <w:szCs w:val="16"/>
              </w:rPr>
            </w:pPr>
          </w:p>
        </w:tc>
        <w:tc>
          <w:tcPr>
            <w:tcW w:w="1787" w:type="dxa"/>
            <w:tcBorders>
              <w:top w:val="nil"/>
              <w:left w:val="single" w:color="000000" w:sz="4" w:space="0"/>
              <w:bottom w:val="single" w:color="000000" w:sz="4" w:space="0"/>
              <w:right w:val="single" w:color="000000" w:sz="4" w:space="0"/>
            </w:tcBorders>
            <w:vAlign w:val="center"/>
          </w:tcPr>
          <w:p>
            <w:pPr>
              <w:widowControl/>
              <w:jc w:val="center"/>
              <w:rPr>
                <w:rFonts w:ascii="宋体" w:cs="宋体"/>
                <w:kern w:val="0"/>
                <w:sz w:val="16"/>
                <w:szCs w:val="16"/>
              </w:rPr>
            </w:pPr>
            <w:r>
              <w:rPr>
                <w:rFonts w:hint="eastAsia" w:ascii="宋体" w:hAnsi="宋体" w:cs="宋体"/>
                <w:kern w:val="0"/>
                <w:sz w:val="16"/>
                <w:szCs w:val="16"/>
              </w:rPr>
              <w:t>生态效益指标</w:t>
            </w:r>
          </w:p>
        </w:tc>
        <w:tc>
          <w:tcPr>
            <w:tcW w:w="5913" w:type="dxa"/>
            <w:gridSpan w:val="7"/>
            <w:tcBorders>
              <w:top w:val="single" w:color="000000" w:sz="4" w:space="0"/>
              <w:left w:val="nil"/>
              <w:bottom w:val="single" w:color="000000" w:sz="4" w:space="0"/>
              <w:right w:val="single" w:color="000000" w:sz="4" w:space="0"/>
            </w:tcBorders>
            <w:vAlign w:val="center"/>
          </w:tcPr>
          <w:p>
            <w:pPr>
              <w:widowControl/>
              <w:tabs>
                <w:tab w:val="left" w:pos="865"/>
              </w:tabs>
              <w:jc w:val="center"/>
              <w:rPr>
                <w:rFonts w:ascii="宋体" w:cs="宋体"/>
                <w:kern w:val="0"/>
                <w:sz w:val="16"/>
                <w:szCs w:val="16"/>
              </w:rPr>
            </w:pPr>
          </w:p>
        </w:tc>
        <w:tc>
          <w:tcPr>
            <w:tcW w:w="3642"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cs="宋体"/>
                <w:kern w:val="0"/>
                <w:sz w:val="16"/>
                <w:szCs w:val="16"/>
              </w:rPr>
            </w:pPr>
          </w:p>
        </w:tc>
      </w:tr>
      <w:tr>
        <w:tblPrEx>
          <w:tblLayout w:type="fixed"/>
          <w:tblCellMar>
            <w:top w:w="0" w:type="dxa"/>
            <w:left w:w="108" w:type="dxa"/>
            <w:bottom w:w="0" w:type="dxa"/>
            <w:right w:w="108" w:type="dxa"/>
          </w:tblCellMar>
        </w:tblPrEx>
        <w:trPr>
          <w:trHeight w:val="271" w:hRule="atLeast"/>
        </w:trPr>
        <w:tc>
          <w:tcPr>
            <w:tcW w:w="2112" w:type="dxa"/>
            <w:tcBorders>
              <w:top w:val="nil"/>
              <w:left w:val="single" w:color="000000" w:sz="4" w:space="0"/>
              <w:bottom w:val="single" w:color="000000" w:sz="4" w:space="0"/>
              <w:right w:val="single" w:color="000000" w:sz="4" w:space="0"/>
            </w:tcBorders>
            <w:vAlign w:val="center"/>
          </w:tcPr>
          <w:p>
            <w:pPr>
              <w:widowControl/>
              <w:jc w:val="center"/>
              <w:rPr>
                <w:rFonts w:ascii="宋体" w:cs="宋体"/>
                <w:kern w:val="0"/>
                <w:sz w:val="16"/>
                <w:szCs w:val="16"/>
              </w:rPr>
            </w:pPr>
            <w:r>
              <w:rPr>
                <w:rFonts w:hint="eastAsia" w:ascii="宋体" w:hAnsi="宋体" w:cs="宋体"/>
                <w:kern w:val="0"/>
                <w:sz w:val="16"/>
                <w:szCs w:val="16"/>
              </w:rPr>
              <w:t>满意度指标</w:t>
            </w:r>
          </w:p>
        </w:tc>
        <w:tc>
          <w:tcPr>
            <w:tcW w:w="1787" w:type="dxa"/>
            <w:tcBorders>
              <w:top w:val="nil"/>
              <w:left w:val="single" w:color="000000" w:sz="4" w:space="0"/>
              <w:bottom w:val="single" w:color="000000" w:sz="4" w:space="0"/>
              <w:right w:val="single" w:color="000000" w:sz="4" w:space="0"/>
            </w:tcBorders>
            <w:vAlign w:val="center"/>
          </w:tcPr>
          <w:p>
            <w:pPr>
              <w:widowControl/>
              <w:jc w:val="center"/>
              <w:rPr>
                <w:rFonts w:ascii="宋体" w:cs="宋体"/>
                <w:kern w:val="0"/>
                <w:sz w:val="16"/>
                <w:szCs w:val="16"/>
              </w:rPr>
            </w:pPr>
            <w:r>
              <w:rPr>
                <w:rFonts w:hint="eastAsia" w:ascii="宋体" w:hAnsi="宋体" w:cs="宋体"/>
                <w:kern w:val="0"/>
                <w:sz w:val="16"/>
                <w:szCs w:val="16"/>
              </w:rPr>
              <w:t>满意度指标</w:t>
            </w:r>
          </w:p>
        </w:tc>
        <w:tc>
          <w:tcPr>
            <w:tcW w:w="5913" w:type="dxa"/>
            <w:gridSpan w:val="7"/>
            <w:tcBorders>
              <w:top w:val="single" w:color="000000" w:sz="4" w:space="0"/>
              <w:left w:val="nil"/>
              <w:bottom w:val="single" w:color="000000" w:sz="4" w:space="0"/>
              <w:right w:val="single" w:color="000000" w:sz="4" w:space="0"/>
            </w:tcBorders>
            <w:vAlign w:val="center"/>
          </w:tcPr>
          <w:p>
            <w:pPr>
              <w:widowControl/>
              <w:tabs>
                <w:tab w:val="left" w:pos="1072"/>
              </w:tabs>
              <w:jc w:val="center"/>
              <w:rPr>
                <w:rFonts w:ascii="宋体" w:cs="宋体"/>
                <w:kern w:val="0"/>
                <w:sz w:val="16"/>
                <w:szCs w:val="16"/>
              </w:rPr>
            </w:pPr>
          </w:p>
        </w:tc>
        <w:tc>
          <w:tcPr>
            <w:tcW w:w="3642"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cs="宋体"/>
                <w:kern w:val="0"/>
                <w:sz w:val="16"/>
                <w:szCs w:val="16"/>
              </w:rPr>
            </w:pPr>
          </w:p>
        </w:tc>
      </w:tr>
    </w:tbl>
    <w:p>
      <w:pPr>
        <w:rPr>
          <w:rFonts w:ascii="仿宋" w:hAnsi="仿宋" w:eastAsia="仿宋" w:cs="仿宋"/>
          <w:sz w:val="40"/>
          <w:szCs w:val="40"/>
        </w:rPr>
      </w:pPr>
    </w:p>
    <w:p>
      <w:pPr>
        <w:rPr>
          <w:rFonts w:ascii="仿宋" w:hAnsi="仿宋" w:eastAsia="仿宋" w:cs="仿宋"/>
          <w:sz w:val="40"/>
          <w:szCs w:val="40"/>
        </w:rPr>
      </w:pPr>
    </w:p>
    <w:p>
      <w:pPr>
        <w:rPr>
          <w:vanish/>
        </w:rPr>
      </w:pPr>
    </w:p>
    <w:p>
      <w:pPr>
        <w:rPr>
          <w:vanish/>
        </w:rPr>
      </w:pPr>
    </w:p>
    <w:p>
      <w:pPr>
        <w:ind w:firstLine="640" w:firstLineChars="200"/>
        <w:rPr>
          <w:rFonts w:eastAsia="仿宋_GB2312"/>
          <w:kern w:val="0"/>
          <w:sz w:val="32"/>
          <w:szCs w:val="32"/>
        </w:rPr>
        <w:sectPr>
          <w:pgSz w:w="16838" w:h="23811"/>
          <w:pgMar w:top="1440" w:right="1800" w:bottom="1440" w:left="1800" w:header="851" w:footer="992" w:gutter="0"/>
          <w:pgNumType w:fmt="decimal"/>
          <w:cols w:space="0" w:num="1"/>
          <w:docGrid w:type="lines" w:linePitch="312" w:charSpace="0"/>
        </w:sectPr>
      </w:pPr>
    </w:p>
    <w:p>
      <w:pPr>
        <w:widowControl/>
        <w:ind w:firstLine="630" w:firstLineChars="196"/>
        <w:jc w:val="left"/>
        <w:rPr>
          <w:rFonts w:ascii="楷体_GB2312" w:hAnsi="宋体" w:eastAsia="楷体_GB2312"/>
          <w:b/>
          <w:bCs/>
          <w:kern w:val="0"/>
          <w:sz w:val="32"/>
          <w:szCs w:val="32"/>
        </w:rPr>
      </w:pPr>
      <w:r>
        <w:rPr>
          <w:rFonts w:hint="eastAsia" w:ascii="楷体_GB2312" w:hAnsi="宋体" w:eastAsia="楷体_GB2312" w:cs="楷体_GB2312"/>
          <w:b/>
          <w:bCs/>
          <w:kern w:val="0"/>
          <w:sz w:val="32"/>
          <w:szCs w:val="32"/>
        </w:rPr>
        <w:t>（五）其他需说明的事项</w:t>
      </w:r>
    </w:p>
    <w:p>
      <w:pPr>
        <w:widowControl/>
        <w:ind w:firstLine="951" w:firstLineChars="296"/>
        <w:jc w:val="left"/>
        <w:rPr>
          <w:rFonts w:ascii="仿宋_GB2312" w:hAnsi="宋体" w:eastAsia="仿宋_GB2312" w:cs="仿宋_GB2312"/>
          <w:kern w:val="0"/>
          <w:sz w:val="32"/>
          <w:szCs w:val="32"/>
        </w:rPr>
      </w:pPr>
      <w:r>
        <w:rPr>
          <w:rFonts w:hint="eastAsia" w:ascii="仿宋_GB2312" w:hAnsi="宋体" w:eastAsia="仿宋_GB2312" w:cs="仿宋_GB2312"/>
          <w:b/>
          <w:bCs/>
          <w:kern w:val="0"/>
          <w:sz w:val="32"/>
          <w:szCs w:val="32"/>
        </w:rPr>
        <w:t>无</w:t>
      </w: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p>
    <w:p>
      <w:pPr>
        <w:widowControl/>
        <w:spacing w:before="158" w:beforeLines="50" w:line="520" w:lineRule="exact"/>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pPr>
        <w:widowControl/>
        <w:spacing w:line="52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名词解释：</w:t>
      </w:r>
    </w:p>
    <w:p>
      <w:pPr>
        <w:spacing w:line="460" w:lineRule="exact"/>
        <w:ind w:firstLine="641"/>
        <w:rPr>
          <w:rFonts w:ascii="仿宋_GB2312" w:eastAsia="仿宋_GB2312"/>
          <w:sz w:val="32"/>
          <w:szCs w:val="32"/>
        </w:rPr>
      </w:pPr>
      <w:r>
        <w:rPr>
          <w:rFonts w:hint="eastAsia" w:ascii="黑体" w:hAnsi="黑体" w:eastAsia="黑体"/>
          <w:sz w:val="32"/>
          <w:szCs w:val="32"/>
        </w:rPr>
        <w:t>一、财政拨款：</w:t>
      </w:r>
      <w:r>
        <w:rPr>
          <w:rFonts w:hint="eastAsia" w:ascii="仿宋_GB2312" w:eastAsia="仿宋_GB2312"/>
          <w:sz w:val="32"/>
          <w:szCs w:val="32"/>
        </w:rPr>
        <w:t>指由一般公共预算、政府性基金预算安排的财政拨款数。</w:t>
      </w:r>
    </w:p>
    <w:p>
      <w:pPr>
        <w:spacing w:line="460" w:lineRule="exact"/>
        <w:ind w:firstLine="641"/>
        <w:rPr>
          <w:rFonts w:ascii="仿宋_GB2312" w:eastAsia="仿宋_GB2312"/>
          <w:sz w:val="32"/>
          <w:szCs w:val="32"/>
        </w:rPr>
      </w:pPr>
      <w:r>
        <w:rPr>
          <w:rFonts w:hint="eastAsia" w:ascii="黑体" w:hAnsi="黑体" w:eastAsia="黑体"/>
          <w:sz w:val="32"/>
          <w:szCs w:val="32"/>
        </w:rPr>
        <w:t>二、一般公共预算：</w:t>
      </w:r>
      <w:r>
        <w:rPr>
          <w:rFonts w:hint="eastAsia" w:ascii="仿宋_GB2312" w:eastAsia="仿宋_GB2312"/>
          <w:spacing w:val="-6"/>
          <w:sz w:val="32"/>
          <w:szCs w:val="32"/>
        </w:rPr>
        <w:t>包括公共财政拨款（补助）资金、专项收入。</w:t>
      </w:r>
    </w:p>
    <w:p>
      <w:pPr>
        <w:spacing w:line="460" w:lineRule="exact"/>
        <w:ind w:firstLine="641"/>
        <w:rPr>
          <w:rFonts w:ascii="仿宋_GB2312" w:eastAsia="仿宋_GB2312"/>
          <w:sz w:val="32"/>
          <w:szCs w:val="32"/>
        </w:rPr>
      </w:pPr>
      <w:r>
        <w:rPr>
          <w:rFonts w:hint="eastAsia" w:ascii="黑体" w:hAnsi="黑体" w:eastAsia="黑体"/>
          <w:sz w:val="32"/>
          <w:szCs w:val="32"/>
        </w:rPr>
        <w:t>三、基本支出：</w:t>
      </w:r>
      <w:r>
        <w:rPr>
          <w:rFonts w:hint="eastAsia" w:ascii="仿宋_GB2312" w:eastAsia="仿宋_GB2312"/>
          <w:sz w:val="32"/>
          <w:szCs w:val="32"/>
        </w:rPr>
        <w:t>包括人员经费、商品和服务支出（定额）。其中，人员经费包括工资福利支出、对个人和家庭的补助。</w:t>
      </w:r>
    </w:p>
    <w:p>
      <w:pPr>
        <w:spacing w:line="460" w:lineRule="exact"/>
        <w:ind w:firstLine="641"/>
        <w:rPr>
          <w:rFonts w:ascii="仿宋_GB2312" w:eastAsia="仿宋_GB2312"/>
          <w:sz w:val="32"/>
          <w:szCs w:val="32"/>
        </w:rPr>
      </w:pPr>
      <w:r>
        <w:rPr>
          <w:rFonts w:hint="eastAsia" w:ascii="黑体" w:hAnsi="黑体" w:eastAsia="黑体"/>
          <w:sz w:val="32"/>
          <w:szCs w:val="32"/>
        </w:rPr>
        <w:t>四、“三公”经费：</w:t>
      </w:r>
      <w:r>
        <w:rPr>
          <w:rFonts w:hint="eastAsia" w:ascii="仿宋_GB2312" w:eastAsia="仿宋_GB2312"/>
          <w:sz w:val="32"/>
          <w:szCs w:val="32"/>
        </w:rPr>
        <w:t>指各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spacing w:line="460" w:lineRule="exact"/>
        <w:ind w:firstLine="641"/>
        <w:rPr>
          <w:rFonts w:ascii="仿宋_GB2312" w:eastAsia="仿宋_GB2312"/>
          <w:sz w:val="32"/>
          <w:szCs w:val="32"/>
        </w:rPr>
      </w:pPr>
      <w:r>
        <w:rPr>
          <w:rFonts w:hint="eastAsia" w:ascii="黑体" w:hAnsi="黑体" w:eastAsia="黑体"/>
          <w:sz w:val="32"/>
          <w:szCs w:val="32"/>
          <w:lang w:eastAsia="zh-CN"/>
        </w:rPr>
        <w:t>五</w:t>
      </w:r>
      <w:r>
        <w:rPr>
          <w:rFonts w:hint="eastAsia" w:ascii="黑体" w:hAnsi="黑体" w:eastAsia="黑体"/>
          <w:sz w:val="32"/>
          <w:szCs w:val="32"/>
        </w:rPr>
        <w:t>、机关运行经费：</w:t>
      </w:r>
      <w:r>
        <w:rPr>
          <w:rFonts w:hint="eastAsia" w:ascii="仿宋_GB2312" w:eastAsia="仿宋_GB2312"/>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pPr>
        <w:spacing w:line="600" w:lineRule="exact"/>
      </w:pPr>
    </w:p>
    <w:p>
      <w:pPr>
        <w:widowControl/>
        <w:spacing w:line="520" w:lineRule="exact"/>
        <w:jc w:val="right"/>
        <w:rPr>
          <w:rFonts w:hint="eastAsia" w:eastAsia="仿宋_GB2312" w:cs="仿宋_GB2312"/>
          <w:kern w:val="0"/>
          <w:sz w:val="32"/>
          <w:szCs w:val="32"/>
          <w:lang w:eastAsia="zh-CN"/>
        </w:rPr>
      </w:pPr>
      <w:r>
        <w:rPr>
          <w:rFonts w:eastAsia="仿宋_GB2312"/>
          <w:kern w:val="0"/>
          <w:sz w:val="32"/>
          <w:szCs w:val="32"/>
        </w:rPr>
        <w:t xml:space="preserve">                              </w:t>
      </w:r>
      <w:r>
        <w:rPr>
          <w:rFonts w:hint="eastAsia" w:eastAsia="仿宋_GB2312" w:cs="仿宋_GB2312"/>
          <w:kern w:val="0"/>
          <w:sz w:val="32"/>
          <w:szCs w:val="32"/>
          <w:lang w:eastAsia="zh-CN"/>
        </w:rPr>
        <w:t>吉木萨尔县交通运输局</w:t>
      </w:r>
    </w:p>
    <w:p>
      <w:pPr>
        <w:widowControl/>
        <w:spacing w:line="520" w:lineRule="exact"/>
        <w:jc w:val="right"/>
        <w:rPr>
          <w:rFonts w:eastAsia="仿宋_GB2312" w:cs="仿宋_GB2312"/>
          <w:kern w:val="0"/>
          <w:sz w:val="32"/>
          <w:szCs w:val="32"/>
        </w:rPr>
      </w:pPr>
      <w:r>
        <w:rPr>
          <w:rFonts w:hint="eastAsia" w:eastAsia="仿宋_GB2312" w:cs="仿宋_GB2312"/>
          <w:kern w:val="0"/>
          <w:sz w:val="32"/>
          <w:szCs w:val="32"/>
        </w:rPr>
        <w:t xml:space="preserve">                                2020年5月22日</w:t>
      </w:r>
    </w:p>
    <w:sectPr>
      <w:pgSz w:w="11905" w:h="16838"/>
      <w:pgMar w:top="1440" w:right="1800" w:bottom="1440" w:left="1800" w:header="851" w:footer="992" w:gutter="0"/>
      <w:pgNumType w:fmt="decimal"/>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K">
    <w:altName w:val="Times New Roman"/>
    <w:panose1 w:val="00000000000000000000"/>
    <w:charset w:val="00"/>
    <w:family w:val="auto"/>
    <w:pitch w:val="default"/>
    <w:sig w:usb0="00000000" w:usb1="00000000" w:usb2="00000000" w:usb3="00000000" w:csb0="00000001"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NotTrackMoves/>
  <w:documentProtection w:enforcement="0"/>
  <w:defaultTabStop w:val="420"/>
  <w:doNotHyphenateCaps/>
  <w:drawingGridVerticalSpacing w:val="159"/>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86E"/>
    <w:rsid w:val="00146044"/>
    <w:rsid w:val="001F60FE"/>
    <w:rsid w:val="002F1D7A"/>
    <w:rsid w:val="00397D3E"/>
    <w:rsid w:val="005311A9"/>
    <w:rsid w:val="00536FF6"/>
    <w:rsid w:val="005B56A7"/>
    <w:rsid w:val="005F7C96"/>
    <w:rsid w:val="006C5F92"/>
    <w:rsid w:val="008064DD"/>
    <w:rsid w:val="0081686E"/>
    <w:rsid w:val="00872E30"/>
    <w:rsid w:val="008A742A"/>
    <w:rsid w:val="00A62AB1"/>
    <w:rsid w:val="00AA1A58"/>
    <w:rsid w:val="00B9555F"/>
    <w:rsid w:val="00BF1270"/>
    <w:rsid w:val="00D3635F"/>
    <w:rsid w:val="00E86E1D"/>
    <w:rsid w:val="00F144F8"/>
    <w:rsid w:val="00F61CCF"/>
    <w:rsid w:val="00FF5D6C"/>
    <w:rsid w:val="014C7A37"/>
    <w:rsid w:val="04DE68CC"/>
    <w:rsid w:val="051A0D2C"/>
    <w:rsid w:val="09091313"/>
    <w:rsid w:val="09E111CA"/>
    <w:rsid w:val="0D125BED"/>
    <w:rsid w:val="0E8411C4"/>
    <w:rsid w:val="0FE95834"/>
    <w:rsid w:val="124B2CBA"/>
    <w:rsid w:val="13863669"/>
    <w:rsid w:val="14270E5C"/>
    <w:rsid w:val="15B37BD4"/>
    <w:rsid w:val="1834680B"/>
    <w:rsid w:val="18B57138"/>
    <w:rsid w:val="1DB01D20"/>
    <w:rsid w:val="21AD3595"/>
    <w:rsid w:val="22957096"/>
    <w:rsid w:val="22A22ED7"/>
    <w:rsid w:val="256B16EA"/>
    <w:rsid w:val="26EC6C1D"/>
    <w:rsid w:val="2903434C"/>
    <w:rsid w:val="29730225"/>
    <w:rsid w:val="29B6028E"/>
    <w:rsid w:val="2A984DAD"/>
    <w:rsid w:val="2BAE2F9B"/>
    <w:rsid w:val="2F63197B"/>
    <w:rsid w:val="31997803"/>
    <w:rsid w:val="32C1110B"/>
    <w:rsid w:val="365F5FD0"/>
    <w:rsid w:val="38652F10"/>
    <w:rsid w:val="3BAC2773"/>
    <w:rsid w:val="3FB613A2"/>
    <w:rsid w:val="419D0AFE"/>
    <w:rsid w:val="41EE3CB2"/>
    <w:rsid w:val="4367439F"/>
    <w:rsid w:val="442E4CA5"/>
    <w:rsid w:val="46965CFD"/>
    <w:rsid w:val="48611AFF"/>
    <w:rsid w:val="4AE857E6"/>
    <w:rsid w:val="4DC70DC8"/>
    <w:rsid w:val="51E56E1B"/>
    <w:rsid w:val="534167C6"/>
    <w:rsid w:val="547C1187"/>
    <w:rsid w:val="55CE07FF"/>
    <w:rsid w:val="562E1DB4"/>
    <w:rsid w:val="573E4B07"/>
    <w:rsid w:val="575C1594"/>
    <w:rsid w:val="5BA83AA0"/>
    <w:rsid w:val="61996C35"/>
    <w:rsid w:val="619C2FD3"/>
    <w:rsid w:val="631654F6"/>
    <w:rsid w:val="63E113F3"/>
    <w:rsid w:val="66220146"/>
    <w:rsid w:val="663E276E"/>
    <w:rsid w:val="664C02A7"/>
    <w:rsid w:val="66C1123D"/>
    <w:rsid w:val="66CE4F06"/>
    <w:rsid w:val="67855676"/>
    <w:rsid w:val="68E14489"/>
    <w:rsid w:val="695970D3"/>
    <w:rsid w:val="6ADD1AFB"/>
    <w:rsid w:val="6C131EEE"/>
    <w:rsid w:val="6D953D37"/>
    <w:rsid w:val="71432872"/>
    <w:rsid w:val="71F53DB7"/>
    <w:rsid w:val="74D25953"/>
    <w:rsid w:val="76815764"/>
    <w:rsid w:val="78C330F3"/>
    <w:rsid w:val="79AE75D7"/>
    <w:rsid w:val="7DCB0244"/>
    <w:rsid w:val="7FA14AC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link w:val="9"/>
    <w:qFormat/>
    <w:uiPriority w:val="99"/>
    <w:pPr>
      <w:spacing w:beforeAutospacing="1" w:afterAutospacing="1"/>
      <w:jc w:val="left"/>
      <w:outlineLvl w:val="1"/>
    </w:pPr>
    <w:rPr>
      <w:rFonts w:ascii="宋体" w:hAnsi="宋体" w:cs="宋体"/>
      <w:b/>
      <w:bCs/>
      <w:kern w:val="0"/>
      <w:sz w:val="36"/>
      <w:szCs w:val="36"/>
    </w:rPr>
  </w:style>
  <w:style w:type="character" w:default="1" w:styleId="5">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qFormat/>
    <w:uiPriority w:val="99"/>
    <w:pPr>
      <w:tabs>
        <w:tab w:val="center" w:pos="4153"/>
        <w:tab w:val="right" w:pos="8306"/>
      </w:tabs>
      <w:snapToGrid w:val="0"/>
      <w:jc w:val="left"/>
    </w:pPr>
    <w:rPr>
      <w:rFonts w:eastAsia="黑体"/>
      <w:kern w:val="0"/>
      <w:sz w:val="18"/>
      <w:szCs w:val="18"/>
    </w:rPr>
  </w:style>
  <w:style w:type="paragraph" w:styleId="4">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qFormat/>
    <w:uiPriority w:val="99"/>
    <w:rPr>
      <w:color w:val="auto"/>
      <w:u w:val="none"/>
    </w:rPr>
  </w:style>
  <w:style w:type="character" w:styleId="7">
    <w:name w:val="Hyperlink"/>
    <w:qFormat/>
    <w:uiPriority w:val="99"/>
    <w:rPr>
      <w:color w:val="auto"/>
      <w:u w:val="none"/>
    </w:rPr>
  </w:style>
  <w:style w:type="character" w:customStyle="1" w:styleId="9">
    <w:name w:val="标题 2 Char"/>
    <w:link w:val="2"/>
    <w:semiHidden/>
    <w:qFormat/>
    <w:locked/>
    <w:uiPriority w:val="99"/>
    <w:rPr>
      <w:rFonts w:ascii="Cambria" w:hAnsi="Cambria" w:eastAsia="宋体" w:cs="Cambria"/>
      <w:b/>
      <w:bCs/>
      <w:sz w:val="32"/>
      <w:szCs w:val="32"/>
    </w:rPr>
  </w:style>
  <w:style w:type="character" w:customStyle="1" w:styleId="10">
    <w:name w:val="页脚 Char"/>
    <w:link w:val="3"/>
    <w:semiHidden/>
    <w:qFormat/>
    <w:locked/>
    <w:uiPriority w:val="99"/>
    <w:rPr>
      <w:sz w:val="18"/>
      <w:szCs w:val="18"/>
    </w:rPr>
  </w:style>
  <w:style w:type="character" w:customStyle="1" w:styleId="11">
    <w:name w:val="on"/>
    <w:qFormat/>
    <w:uiPriority w:val="99"/>
    <w:rPr>
      <w:b/>
      <w:bCs/>
      <w:color w:val="auto"/>
    </w:rPr>
  </w:style>
  <w:style w:type="character" w:customStyle="1" w:styleId="12">
    <w:name w:val="on1"/>
    <w:qFormat/>
    <w:uiPriority w:val="99"/>
    <w:rPr>
      <w:b/>
      <w:bCs/>
      <w:color w:val="auto"/>
    </w:rPr>
  </w:style>
  <w:style w:type="character" w:customStyle="1" w:styleId="13">
    <w:name w:val="on2"/>
    <w:qFormat/>
    <w:uiPriority w:val="99"/>
    <w:rPr>
      <w:color w:val="auto"/>
    </w:rPr>
  </w:style>
  <w:style w:type="character" w:customStyle="1" w:styleId="14">
    <w:name w:val="on3"/>
    <w:qFormat/>
    <w:uiPriority w:val="99"/>
    <w:rPr>
      <w:b/>
      <w:bCs/>
      <w:color w:val="auto"/>
    </w:rPr>
  </w:style>
  <w:style w:type="character" w:customStyle="1" w:styleId="15">
    <w:name w:val="current"/>
    <w:qFormat/>
    <w:uiPriority w:val="99"/>
    <w:rPr>
      <w:color w:val="auto"/>
    </w:rPr>
  </w:style>
  <w:style w:type="character" w:customStyle="1" w:styleId="16">
    <w:name w:val="font11"/>
    <w:qFormat/>
    <w:uiPriority w:val="99"/>
    <w:rPr>
      <w:rFonts w:ascii="????_GBK" w:hAnsi="????_GBK" w:cs="????_GBK"/>
      <w:b/>
      <w:bCs/>
      <w:color w:val="000000"/>
      <w:sz w:val="21"/>
      <w:szCs w:val="21"/>
      <w:u w:val="none"/>
    </w:rPr>
  </w:style>
  <w:style w:type="character" w:customStyle="1" w:styleId="17">
    <w:name w:val="font01"/>
    <w:qFormat/>
    <w:uiPriority w:val="99"/>
    <w:rPr>
      <w:rFonts w:ascii="????_GBK" w:hAnsi="????_GBK" w:cs="????_GBK"/>
      <w:color w:val="000000"/>
      <w:sz w:val="21"/>
      <w:szCs w:val="21"/>
      <w:u w:val="none"/>
    </w:rPr>
  </w:style>
  <w:style w:type="character" w:customStyle="1" w:styleId="18">
    <w:name w:val="font41"/>
    <w:qFormat/>
    <w:uiPriority w:val="99"/>
    <w:rPr>
      <w:rFonts w:ascii="????_GBK" w:hAnsi="????_GBK" w:cs="????_GBK"/>
      <w:color w:val="000000"/>
      <w:sz w:val="21"/>
      <w:szCs w:val="21"/>
      <w:u w:val="none"/>
    </w:rPr>
  </w:style>
  <w:style w:type="character" w:customStyle="1" w:styleId="19">
    <w:name w:val="页眉 Char"/>
    <w:link w:val="4"/>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1657</Words>
  <Characters>9446</Characters>
  <Lines>78</Lines>
  <Paragraphs>22</Paragraphs>
  <TotalTime>12</TotalTime>
  <ScaleCrop>false</ScaleCrop>
  <LinksUpToDate>false</LinksUpToDate>
  <CharactersWithSpaces>11081</CharactersWithSpaces>
  <Application>WPS Office_10.8.2.6870_F1E327BC-269C-435d-A152-05C5408002CA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2020-01-16T17:20:00Z</dcterms:created>
  <dc:creator>天邊凡人</dc:creator>
  <cp:lastModifiedBy>caizhengju</cp:lastModifiedBy>
  <cp:lastPrinted>2021-07-01T11:16:00Z</cp:lastPrinted>
  <dcterms:modified xsi:type="dcterms:W3CDTF">2021-07-01T11:31:24Z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y fmtid="{D5CDD505-2E9C-101B-9397-08002B2CF9AE}" pid="3" name="ICV">
    <vt:lpwstr>9DB90B5AAC1A4634B70B3DB1B6131CF4</vt:lpwstr>
  </property>
</Properties>
</file>