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吉木萨尔县</w:t>
      </w:r>
      <w:r>
        <w:rPr>
          <w:rFonts w:hint="eastAsia" w:ascii="仿宋_GB2312" w:hAnsi="仿宋_GB2312" w:eastAsia="仿宋_GB2312" w:cs="仿宋_GB2312"/>
          <w:b/>
          <w:bCs/>
          <w:sz w:val="32"/>
          <w:szCs w:val="32"/>
        </w:rPr>
        <w:t>涉改部门单位</w:t>
      </w:r>
      <w:r>
        <w:rPr>
          <w:rFonts w:hint="eastAsia" w:ascii="仿宋_GB2312" w:hAnsi="仿宋_GB2312" w:eastAsia="仿宋_GB2312" w:cs="仿宋_GB2312"/>
          <w:b/>
          <w:bCs/>
          <w:sz w:val="32"/>
          <w:szCs w:val="32"/>
          <w:lang w:eastAsia="zh-CN"/>
        </w:rPr>
        <w:t>档案局</w:t>
      </w:r>
      <w:r>
        <w:rPr>
          <w:rFonts w:hint="eastAsia" w:ascii="仿宋_GB2312" w:hAnsi="仿宋_GB2312" w:eastAsia="仿宋_GB2312" w:cs="仿宋_GB2312"/>
          <w:b/>
          <w:bCs/>
          <w:sz w:val="32"/>
          <w:szCs w:val="32"/>
        </w:rPr>
        <w:t>调整预算补充公开</w:t>
      </w:r>
    </w:p>
    <w:p>
      <w:pPr>
        <w:ind w:firstLine="480" w:firstLineChars="150"/>
        <w:rPr>
          <w:rFonts w:hint="eastAsia" w:ascii="仿宋_GB2312" w:hAnsi="仿宋_GB2312" w:eastAsia="仿宋_GB2312" w:cs="仿宋_GB2312"/>
          <w:sz w:val="32"/>
          <w:szCs w:val="32"/>
        </w:rPr>
      </w:pP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单位职能划转情况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主要职能为1、贯彻执行档案工作的法律、法规和方针政策；2、制定本行政区域内的档案事业发展计划和档案工作规章制度并组织实施；3、对本行政区域内的档案馆以及其他机关、团体、企业事业单位和组织的档案工作进行监督和指导；4、组织并指导本行政区域内的档案理论与科学技术研究、档案保护、档案教育与培训、档案宣传等工作。贯彻落实自治区党政机构改革工作部署，本次</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划入职能，划出职能1、贯彻执行档案工作的法律、法规和方针政策；2、制定本行政区域内的档案事业发展计划和档案工作规章制度并组织实施；3、对本行政区域内的档案馆以及其他机关、团体、企业事业单位和组织的档案工作进行监督和指导。</w:t>
      </w:r>
    </w:p>
    <w:p>
      <w:pPr>
        <w:pStyle w:val="9"/>
        <w:numPr>
          <w:ilvl w:val="0"/>
          <w:numId w:val="1"/>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预算调整情况</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w:t>
      </w:r>
      <w:r>
        <w:rPr>
          <w:rFonts w:hint="eastAsia" w:ascii="仿宋_GB2312" w:hAnsi="仿宋_GB2312" w:eastAsia="仿宋_GB2312" w:cs="仿宋_GB2312"/>
          <w:sz w:val="32"/>
          <w:szCs w:val="32"/>
          <w:lang w:eastAsia="zh-CN"/>
        </w:rPr>
        <w:t>吉木萨尔县</w:t>
      </w:r>
      <w:r>
        <w:rPr>
          <w:rFonts w:hint="eastAsia" w:ascii="仿宋_GB2312" w:hAnsi="仿宋_GB2312" w:eastAsia="仿宋_GB2312" w:cs="仿宋_GB2312"/>
          <w:sz w:val="32"/>
          <w:szCs w:val="32"/>
        </w:rPr>
        <w:t>人大常委会批复，2019年我单位年初部门预算总额为</w:t>
      </w:r>
      <w:r>
        <w:rPr>
          <w:rFonts w:hint="eastAsia" w:ascii="仿宋_GB2312" w:hAnsi="仿宋_GB2312" w:eastAsia="仿宋_GB2312" w:cs="仿宋_GB2312"/>
          <w:kern w:val="0"/>
          <w:sz w:val="32"/>
          <w:szCs w:val="32"/>
        </w:rPr>
        <w:t>219</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6</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元</w:t>
      </w:r>
      <w:r>
        <w:rPr>
          <w:rFonts w:hint="eastAsia" w:ascii="仿宋_GB2312" w:hAnsi="仿宋_GB2312" w:eastAsia="仿宋_GB2312" w:cs="仿宋_GB2312"/>
          <w:sz w:val="32"/>
          <w:szCs w:val="32"/>
        </w:rPr>
        <w:t>万元。本次调减预算</w:t>
      </w:r>
      <w:r>
        <w:rPr>
          <w:rFonts w:hint="eastAsia" w:ascii="仿宋_GB2312" w:hAnsi="仿宋_GB2312" w:eastAsia="仿宋_GB2312" w:cs="仿宋_GB2312"/>
          <w:sz w:val="32"/>
          <w:szCs w:val="32"/>
          <w:lang w:val="en-US" w:eastAsia="zh-CN"/>
        </w:rPr>
        <w:t>70.25</w:t>
      </w:r>
      <w:r>
        <w:rPr>
          <w:rFonts w:hint="eastAsia" w:ascii="仿宋_GB2312" w:hAnsi="仿宋_GB2312" w:eastAsia="仿宋_GB2312" w:cs="仿宋_GB2312"/>
          <w:sz w:val="32"/>
          <w:szCs w:val="32"/>
        </w:rPr>
        <w:t>万元。具体情况为：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（一）因</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职能划入，划入预算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（二）因</w:t>
      </w:r>
      <w:r>
        <w:rPr>
          <w:rFonts w:hint="eastAsia" w:ascii="仿宋_GB2312" w:hAnsi="仿宋_GB2312" w:eastAsia="仿宋_GB2312" w:cs="仿宋_GB2312"/>
          <w:sz w:val="32"/>
          <w:szCs w:val="32"/>
          <w:lang w:eastAsia="zh-CN"/>
        </w:rPr>
        <w:t>县档案局（馆）档案管理行政</w:t>
      </w:r>
      <w:r>
        <w:rPr>
          <w:rFonts w:hint="eastAsia" w:ascii="仿宋_GB2312" w:hAnsi="仿宋_GB2312" w:eastAsia="仿宋_GB2312" w:cs="仿宋_GB2312"/>
          <w:sz w:val="32"/>
          <w:szCs w:val="32"/>
        </w:rPr>
        <w:t>职能划出，划出预算</w:t>
      </w:r>
      <w:r>
        <w:rPr>
          <w:rFonts w:hint="eastAsia" w:ascii="仿宋_GB2312" w:hAnsi="仿宋_GB2312" w:eastAsia="仿宋_GB2312" w:cs="仿宋_GB2312"/>
          <w:sz w:val="32"/>
          <w:szCs w:val="32"/>
          <w:lang w:val="en-US" w:eastAsia="zh-CN"/>
        </w:rPr>
        <w:t>70.25</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70.25</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ind w:left="481" w:leftChars="229" w:firstLine="160" w:firstLineChars="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（三）“三公”经费变化情况为：“三公”经费201</w:t>
      </w:r>
      <w:r>
        <w:rPr>
          <w:rFonts w:hint="eastAsia" w:ascii="仿宋_GB2312" w:hAnsi="仿宋_GB2312" w:eastAsia="仿宋_GB2312" w:cs="仿宋_GB2312"/>
          <w:sz w:val="32"/>
          <w:szCs w:val="32"/>
          <w:lang w:val="en-US" w:eastAsia="zh-CN"/>
        </w:rPr>
        <w:t>9</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年我单位年初部门预算总额为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本次调减预算</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，其中：公务用车运行维护费</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ind w:left="481" w:leftChars="229" w:firstLine="160" w:firstLineChars="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以上具体情况，详见附件。</w:t>
      </w:r>
    </w:p>
    <w:p>
      <w:pPr>
        <w:ind w:left="1440" w:leftChars="305" w:hanging="800" w:hanging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eastAsia="zh-CN"/>
        </w:rPr>
        <w:t>吉木萨尔县</w:t>
      </w:r>
      <w:r>
        <w:rPr>
          <w:rFonts w:hint="eastAsia" w:ascii="仿宋_GB2312" w:hAnsi="仿宋_GB2312" w:eastAsia="仿宋_GB2312" w:cs="仿宋_GB2312"/>
          <w:sz w:val="32"/>
          <w:szCs w:val="32"/>
        </w:rPr>
        <w:t>机构改革预算调整表（明细到项级）</w:t>
      </w:r>
    </w:p>
    <w:p>
      <w:pPr>
        <w:ind w:left="1440" w:leftChars="305" w:hanging="800" w:hangingChars="250"/>
        <w:rPr>
          <w:rFonts w:hint="eastAsia" w:ascii="仿宋_GB2312" w:hAnsi="仿宋_GB2312" w:eastAsia="仿宋_GB2312" w:cs="仿宋_GB2312"/>
          <w:sz w:val="32"/>
          <w:szCs w:val="32"/>
        </w:rPr>
      </w:pPr>
    </w:p>
    <w:p>
      <w:pPr>
        <w:ind w:left="1440" w:leftChars="305" w:hanging="800" w:hangingChars="25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档 案 局</w:t>
      </w:r>
    </w:p>
    <w:p>
      <w:pPr>
        <w:ind w:left="1440" w:leftChars="305" w:hanging="800" w:hangingChars="250"/>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2019年6月30日</w:t>
      </w:r>
    </w:p>
    <w:p>
      <w:pPr>
        <w:jc w:val="right"/>
        <w:rPr>
          <w:rFonts w:hint="eastAsia" w:ascii="仿宋_GB2312" w:hAnsi="仿宋_GB2312" w:eastAsia="仿宋_GB2312" w:cs="仿宋_GB2312"/>
          <w:sz w:val="32"/>
          <w:szCs w:val="32"/>
        </w:rPr>
      </w:pPr>
    </w:p>
    <w:p>
      <w:pPr>
        <w:ind w:left="1440" w:leftChars="305" w:hanging="800" w:hangingChars="250"/>
        <w:jc w:val="right"/>
        <w:rPr>
          <w:rFonts w:hint="eastAsia" w:ascii="仿宋_GB2312" w:hAnsi="仿宋_GB2312" w:eastAsia="仿宋_GB2312" w:cs="仿宋_GB2312"/>
          <w:sz w:val="32"/>
          <w:szCs w:val="32"/>
        </w:rPr>
        <w:sectPr>
          <w:pgSz w:w="11906" w:h="16838"/>
          <w:pgMar w:top="1440" w:right="1800" w:bottom="1440" w:left="1800" w:header="851" w:footer="992" w:gutter="0"/>
          <w:cols w:space="425" w:num="1"/>
          <w:docGrid w:type="lines" w:linePitch="312" w:charSpace="0"/>
        </w:sectPr>
      </w:pPr>
    </w:p>
    <w:tbl>
      <w:tblPr>
        <w:tblStyle w:val="5"/>
        <w:tblW w:w="15563" w:type="dxa"/>
        <w:tblInd w:w="0" w:type="dxa"/>
        <w:shd w:val="clear" w:color="auto" w:fill="auto"/>
        <w:tblLayout w:type="fixed"/>
        <w:tblCellMar>
          <w:top w:w="0" w:type="dxa"/>
          <w:left w:w="0" w:type="dxa"/>
          <w:bottom w:w="0" w:type="dxa"/>
          <w:right w:w="0" w:type="dxa"/>
        </w:tblCellMar>
      </w:tblPr>
      <w:tblGrid>
        <w:gridCol w:w="1202"/>
        <w:gridCol w:w="1071"/>
        <w:gridCol w:w="1071"/>
        <w:gridCol w:w="1071"/>
        <w:gridCol w:w="1027"/>
        <w:gridCol w:w="1161"/>
        <w:gridCol w:w="1473"/>
        <w:gridCol w:w="1235"/>
        <w:gridCol w:w="1384"/>
        <w:gridCol w:w="1628"/>
        <w:gridCol w:w="1800"/>
        <w:gridCol w:w="1440"/>
      </w:tblGrid>
      <w:tr>
        <w:tblPrEx>
          <w:shd w:val="clear" w:color="auto" w:fill="auto"/>
          <w:tblCellMar>
            <w:top w:w="0" w:type="dxa"/>
            <w:left w:w="0" w:type="dxa"/>
            <w:bottom w:w="0" w:type="dxa"/>
            <w:right w:w="0" w:type="dxa"/>
          </w:tblCellMar>
        </w:tblPrEx>
        <w:trPr>
          <w:trHeight w:val="440" w:hRule="atLeast"/>
        </w:trPr>
        <w:tc>
          <w:tcPr>
            <w:tcW w:w="15563" w:type="dxa"/>
            <w:gridSpan w:val="1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b/>
                <w:i w:val="0"/>
                <w:color w:val="000000"/>
                <w:kern w:val="0"/>
                <w:sz w:val="32"/>
                <w:szCs w:val="32"/>
                <w:u w:val="none"/>
                <w:lang w:val="en-US" w:eastAsia="zh-CN" w:bidi="ar"/>
              </w:rPr>
            </w:pPr>
            <w:r>
              <w:rPr>
                <w:rFonts w:hint="eastAsia" w:ascii="仿宋_GB2312" w:hAnsi="仿宋_GB2312" w:eastAsia="仿宋_GB2312" w:cs="仿宋_GB2312"/>
                <w:sz w:val="32"/>
                <w:szCs w:val="32"/>
              </w:rPr>
              <w:t>附件1</w:t>
            </w:r>
          </w:p>
          <w:p>
            <w:pPr>
              <w:keepNext w:val="0"/>
              <w:keepLines w:val="0"/>
              <w:widowControl/>
              <w:suppressLineNumbers w:val="0"/>
              <w:jc w:val="center"/>
              <w:textAlignment w:val="center"/>
              <w:rPr>
                <w:rFonts w:hint="eastAsia" w:ascii="仿宋_GB2312" w:hAnsi="仿宋_GB2312" w:eastAsia="仿宋_GB2312" w:cs="仿宋_GB2312"/>
                <w:b/>
                <w:i w:val="0"/>
                <w:color w:val="000000"/>
                <w:sz w:val="32"/>
                <w:szCs w:val="32"/>
                <w:u w:val="none"/>
              </w:rPr>
            </w:pPr>
            <w:r>
              <w:rPr>
                <w:rFonts w:hint="eastAsia" w:ascii="仿宋_GB2312" w:hAnsi="仿宋_GB2312" w:eastAsia="仿宋_GB2312" w:cs="仿宋_GB2312"/>
                <w:b/>
                <w:i w:val="0"/>
                <w:color w:val="000000"/>
                <w:kern w:val="0"/>
                <w:sz w:val="32"/>
                <w:szCs w:val="32"/>
                <w:u w:val="none"/>
                <w:lang w:val="en-US" w:eastAsia="zh-CN" w:bidi="ar"/>
              </w:rPr>
              <w:t>吉木萨尔县机构改革单位预算调整情况表</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2101101-行政单位医疗</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30110-职工基本医疗保险缴费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政府购买服务岗医疗保险</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 xml:space="preserve">-1630.26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2101101-行政单位医疗</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30110-职工基本医疗保险缴费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政府购买服务岗医疗保险</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1630.26</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30112-其他社会保障缴费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生育保险</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 xml:space="preserve">-2071.47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202710705001-吉木萨尔县</w:t>
            </w:r>
            <w:bookmarkStart w:id="0" w:name="_GoBack"/>
            <w:bookmarkEnd w:id="0"/>
            <w:r>
              <w:rPr>
                <w:rFonts w:hint="eastAsia" w:ascii="仿宋_GB2312" w:hAnsi="仿宋_GB2312" w:eastAsia="仿宋_GB2312" w:cs="仿宋_GB2312"/>
                <w:i w:val="0"/>
                <w:color w:val="000000"/>
                <w:kern w:val="0"/>
                <w:sz w:val="32"/>
                <w:szCs w:val="32"/>
                <w:u w:val="none"/>
                <w:lang w:val="en-US" w:eastAsia="zh-CN" w:bidi="ar"/>
              </w:rPr>
              <w:t>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30112-其他社会保障缴费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生育保险</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2071.47</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30231-公务用车运行维护费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-20000.00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30231-公务用车运行维护费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20000.00</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2080505-机关事业单位基本养老保险缴费支出</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30108-机关事业单位基本养老保险缴费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机关事业单位基本养老保险缴费</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-82768.60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2080505-机关事业单位基本养老保险缴费支出</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30108-机关事业单位基本养老保险缴费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机关事业单位基本养老保险缴费</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82768.60</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30112-其他社会保障缴费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政府购买服务岗失业保险</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-90.54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30112-其他社会保障缴费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政府购买服务岗失业保险</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90.54</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2080502-事业单位离退休</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30302-退休费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退休人员福利费</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-900.00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2080502-事业单位离退休</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30302-退休费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退休人员福利费</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900.00</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30112-其他社会保障缴费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政府购买服务岗生育保险</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-90.54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30112-其他社会保障缴费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政府购买服务岗生育保险</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90.54</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30112-其他社会保障缴费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政府购买服务岗工伤保险</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-36.22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30112-其他社会保障缴费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政府购买服务岗工伤保险</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36.22</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2080505-机关事业单位基本养老保险缴费支出</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30108-机关事业单位基本养老保险缴费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政府购买服务岗养老保险缴费</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-3441.66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2080505-机关事业单位基本养老保险缴费支出</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30108-机关事业单位基本养老保险缴费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政府购买服务岗养老保险缴费</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3441.66</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30103-奖金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考核优秀奖</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-1320.00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30103-奖金</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考核优秀奖</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1320.00</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2101101-行政单位医疗</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30110-职工基本医疗保险缴费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在职基本医疗保险</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-62935.09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2101101-行政单位医疗</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30110-职工基本医疗保险缴费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在职基本医疗保险</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62935.09</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30399-其他对个人和家庭的补助支出</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独生子女费</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-660.00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30399-其他对个人和家庭的补助支出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独生子女费</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660.00</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30199-其他工资福利支出</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伙食补助</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-95550.00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30199-其他工资福利支出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伙食补助</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95550.00</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30228-工会经费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工会经费</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-15853.68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30228-工会经费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工会经费</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15853.68</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30199-其他工资福利支出</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政府购买服务岗工资</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-24240.00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30199-其他工资福利支出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政府购买服务岗工资</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24240.00</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30299-其他商品和服务支出</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档案保护经费</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-300000.00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30299-其他商品和服务支出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档案保护经费</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300000.00</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2101103-公务员医疗补助</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30111-公务员医疗补助缴费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在职公务员医疗补助</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-48949.50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2101103-公务员医疗补助</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30111-公务员医疗补助缴费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在职公务员医疗补助</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48949.50</w:t>
            </w:r>
          </w:p>
        </w:tc>
      </w:tr>
      <w:tr>
        <w:tblPrEx>
          <w:shd w:val="clear" w:color="auto" w:fill="auto"/>
          <w:tblCellMar>
            <w:top w:w="0" w:type="dxa"/>
            <w:left w:w="0" w:type="dxa"/>
            <w:bottom w:w="0" w:type="dxa"/>
            <w:right w:w="0" w:type="dxa"/>
          </w:tblCellMar>
        </w:tblPrEx>
        <w:trPr>
          <w:trHeight w:val="460" w:hRule="atLeast"/>
        </w:trPr>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002711201001-吉木萨尔县档案局本级</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0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30201-办公费</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办公费</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-42000.00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202710705001-吉木萨尔县委办</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jmsewx-吉木萨尔县财政局文行股</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2012604-档案馆</w:t>
            </w: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30201-办公费</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办公费</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42000.00</w:t>
            </w:r>
          </w:p>
        </w:tc>
      </w:tr>
    </w:tbl>
    <w:p>
      <w:pPr>
        <w:rPr>
          <w:rFonts w:hint="eastAsia" w:ascii="仿宋_GB2312" w:hAnsi="华文中宋" w:eastAsia="仿宋_GB2312"/>
          <w:sz w:val="32"/>
          <w:szCs w:val="32"/>
        </w:rPr>
      </w:pPr>
    </w:p>
    <w:sectPr>
      <w:pgSz w:w="16838" w:h="11906" w:orient="landscape"/>
      <w:pgMar w:top="567" w:right="567" w:bottom="567" w:left="567"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06170315"/>
    <w:rsid w:val="181B08F6"/>
    <w:rsid w:val="196A0B47"/>
    <w:rsid w:val="22540765"/>
    <w:rsid w:val="26BE320F"/>
    <w:rsid w:val="2ACB2C32"/>
    <w:rsid w:val="2EF26078"/>
    <w:rsid w:val="322172AC"/>
    <w:rsid w:val="37C124B4"/>
    <w:rsid w:val="409571AF"/>
    <w:rsid w:val="4255352F"/>
    <w:rsid w:val="49B906D1"/>
    <w:rsid w:val="4FFB6D03"/>
    <w:rsid w:val="507913C4"/>
    <w:rsid w:val="6D663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1</TotalTime>
  <ScaleCrop>false</ScaleCrop>
  <LinksUpToDate>false</LinksUpToDate>
  <CharactersWithSpaces>710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18421</cp:lastModifiedBy>
  <cp:lastPrinted>2019-03-16T01:32:00Z</cp:lastPrinted>
  <dcterms:modified xsi:type="dcterms:W3CDTF">2023-12-12T05:05:05Z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E0745A29F51440CE9810EDD80D564673</vt:lpwstr>
  </property>
</Properties>
</file>