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吉木萨尔县商务和经济信息化委员会</w:t>
      </w:r>
      <w:r>
        <w:rPr>
          <w:rFonts w:hint="eastAsia" w:ascii="华文中宋" w:hAnsi="华文中宋" w:eastAsia="华文中宋"/>
          <w:sz w:val="36"/>
          <w:szCs w:val="36"/>
        </w:rPr>
        <w:t>涉改部门单位调整预算补充公开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11"/>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640" w:firstLineChars="200"/>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(一)贯彻执行国家、自治区、自治州商务和工业信息化的法律法规和方针政策，研究商务和工业信息化发展规划和政策建议；拟订商务、工业和信息化发展的政策措施，并组织实施和监督检查。</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（二）贯彻落实国家、自治区和自治州产业政策，并组织实施和监督检查；指导产业合理布局和结构调整；组织协调重点产业调整和高质量发展规划的拟订与实施。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推进流通产业结构调整，指导流通企业改革、商贸服务业和社区商业发展，提出促进商贸中小企业发展的政策建议，推动流通标准化和连锁经营、商业特许经营、物流配送、电子商务等现代流通方式的发展。</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导大宗产品批发市场规划和城市商业网点规划、商业体系建设工作，促进城乡市场发展，推进有关农村市场体系建设，完善农村现代流通网络；研究提出流通行业和生活服务业重点设施布局意见，协调吉木萨尔县商业中心、特色商业街和各类商品交易市场的规划和建设。</w:t>
      </w:r>
    </w:p>
    <w:p>
      <w:pPr>
        <w:snapToGrid w:val="0"/>
        <w:spacing w:line="540" w:lineRule="exact"/>
        <w:ind w:firstLine="596"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（五）</w:t>
      </w:r>
      <w:r>
        <w:rPr>
          <w:rFonts w:hint="eastAsia" w:ascii="仿宋_GB2312" w:hAnsi="仿宋_GB2312" w:eastAsia="仿宋_GB2312" w:cs="仿宋_GB2312"/>
          <w:sz w:val="32"/>
          <w:szCs w:val="32"/>
        </w:rPr>
        <w:t>承担牵头协调整顿和规范市场经济秩序工作的责任。拟订吉木萨尔县规范市场运行、流通秩序的政策，推动商务领域信用建设，指导商业信用销售；建立市场诚信公共服务平台，按有关规定对酒类流通、再生资源流通等特殊流通行业进行监督管理。</w:t>
      </w:r>
    </w:p>
    <w:p>
      <w:pPr>
        <w:snapToGrid w:val="0"/>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z w:val="32"/>
          <w:szCs w:val="32"/>
        </w:rPr>
        <w:t>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（七）制定电子商务发展规划和政策措施并组织实施；指导企业信息化及运用电子商务开拓国内外市场；负责建立电子商务行业统计和评价体系，牵头推进电子商务支撑服务体系发展。</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（八）负责对外贸易的管理。贯彻执行国家、</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进出口商品、加工贸易管理办法和进出口管理商品、技术目录，拟订促进外贸增长方式转变的政策措施；组织实施本县进出口配额计划，贯彻落实国家、</w:t>
      </w:r>
      <w:r>
        <w:rPr>
          <w:rFonts w:hint="eastAsia" w:ascii="仿宋_GB2312" w:hAnsi="方正仿宋_GBK" w:eastAsia="仿宋_GB2312" w:cs="方正仿宋_GBK"/>
          <w:sz w:val="32"/>
          <w:szCs w:val="32"/>
        </w:rPr>
        <w:t>自治区和自治</w:t>
      </w:r>
      <w:r>
        <w:rPr>
          <w:rFonts w:hint="eastAsia" w:ascii="仿宋_GB2312" w:hAnsi="仿宋_GB2312" w:eastAsia="仿宋_GB2312" w:cs="仿宋_GB2312"/>
          <w:sz w:val="32"/>
          <w:szCs w:val="32"/>
        </w:rPr>
        <w:t>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p>
    <w:p>
      <w:pPr>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（九）负责招商引资工作的协调、组织、管理；执行</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吉木萨尔县企业（组织）在境外投资项目和驻外机构，协调外派劳务人员的权益保护工作；申报多边、双边国际及民间无偿援助项目。</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（十一）负责与自治区各地州县及内地各省市之间的横向经济联合协作。开展外引内联、对口支援及有关项目的对接落实工作；组织和参与各类商务领域交易会、洽谈会、博览会、展览会和有关招商活动。</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（十二）</w:t>
      </w:r>
      <w:r>
        <w:rPr>
          <w:rFonts w:hint="eastAsia" w:ascii="仿宋_GB2312" w:hAnsi="仿宋_GB2312" w:eastAsia="仿宋_GB2312" w:cs="仿宋_GB2312"/>
          <w:sz w:val="32"/>
          <w:szCs w:val="32"/>
        </w:rPr>
        <w:t>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负责工业经济运行和产业安全有关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（十三）</w:t>
      </w:r>
      <w:r>
        <w:rPr>
          <w:rFonts w:hint="eastAsia" w:ascii="仿宋_GB2312" w:hAnsi="仿宋_GB2312" w:eastAsia="仿宋_GB2312" w:cs="仿宋_GB2312"/>
          <w:sz w:val="32"/>
          <w:szCs w:val="32"/>
        </w:rPr>
        <w:t>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医药工业发展规划、计划及相关政策的拟订和组织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（十四）负责工业和信息产业及信息化建设的技术改造投资管理，负责技术改造和投资项目审核、备案；拟订技术改造投资的有关政策措施；研究和规划本行政区域内技术改造项目投资方向和布局，</w:t>
      </w:r>
      <w:r>
        <w:rPr>
          <w:rFonts w:ascii="仿宋_GB2312" w:hAnsi="仿宋_GB2312" w:eastAsia="仿宋_GB2312" w:cs="仿宋_GB2312"/>
          <w:sz w:val="32"/>
          <w:szCs w:val="32"/>
        </w:rPr>
        <w:t>引导企业、金融机构及社会资金投向。</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（十五）拟订工业和信息化领域技术创新政策措施；培育和发展战略性新兴产业；拟订装备工业发展规划及政策措施；负责推进装备制造产业发展工作。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贯彻落实工业和信息化领域资源节约和综合利用规划、政策；指导工业节能减排综合协调和监督管理工作；指导工业和信息化领域循环经济发展；协调工业和信息化领域清洁生产和节能环保产业发展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（十八）负责民爆行业管理；依据管理权限，对民用爆炸物品生产、销售依法进行监督管理。</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（十九）组织执行国家、</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电力行业技术规范和标准；负责权限范围内的电力行政执法、监督；负责制定年度电力行业运行调控目标；组织协调解决电力生产、运营和供应中的重大问题；指导电力调度工作。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（二十）负责推进信息化工作；指导协调经济社会各领域信息技术的推广应用工作；推进跨行业、跨部门面向社会服务的互联互通及重要信息资源开发利用和共享；</w:t>
      </w:r>
      <w:r>
        <w:rPr>
          <w:rFonts w:ascii="仿宋_GB2312" w:hAnsi="仿宋_GB2312" w:eastAsia="仿宋_GB2312" w:cs="仿宋_GB2312"/>
          <w:sz w:val="32"/>
          <w:szCs w:val="32"/>
        </w:rPr>
        <w:t>协调</w:t>
      </w:r>
      <w:r>
        <w:rPr>
          <w:rFonts w:hint="eastAsia" w:ascii="仿宋_GB2312" w:hAnsi="仿宋_GB2312" w:eastAsia="仿宋_GB2312" w:cs="仿宋_GB2312"/>
          <w:sz w:val="32"/>
          <w:szCs w:val="32"/>
        </w:rPr>
        <w:t>本行政区域内</w:t>
      </w:r>
      <w:r>
        <w:rPr>
          <w:rFonts w:ascii="仿宋_GB2312" w:hAnsi="仿宋_GB2312" w:eastAsia="仿宋_GB2312" w:cs="仿宋_GB2312"/>
          <w:sz w:val="32"/>
          <w:szCs w:val="32"/>
        </w:rPr>
        <w:t>通信业有关工作</w:t>
      </w:r>
      <w:r>
        <w:rPr>
          <w:rFonts w:hint="eastAsia" w:ascii="仿宋_GB2312" w:hAnsi="仿宋_GB2312" w:eastAsia="仿宋_GB2312" w:cs="仿宋_GB2312"/>
          <w:sz w:val="32"/>
          <w:szCs w:val="32"/>
        </w:rPr>
        <w:t>；推进信息化和工业化融合；统筹指导工业信息安全管理工作。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（二十一）指导电子信息产业的发展；指导电子信息产品制造业、软件业、信息服务业发展；指导电子信息产业基地建设；协调电子信息产业重大专项实施。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（二十二）完成县党委、县人民政府交办的其他任务。</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宋体" w:eastAsia="仿宋_GB2312"/>
          <w:sz w:val="32"/>
          <w:szCs w:val="32"/>
        </w:rPr>
        <w:t xml:space="preserve"> </w:t>
      </w: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pacing w:val="-11"/>
          <w:sz w:val="32"/>
          <w:szCs w:val="32"/>
          <w:lang w:eastAsia="zh-CN"/>
        </w:rPr>
        <w:t>一</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z w:val="32"/>
          <w:szCs w:val="32"/>
        </w:rPr>
        <w:t>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医药工业发展规划、计划及相关政策的拟订和组织实施。</w:t>
      </w:r>
    </w:p>
    <w:p>
      <w:pPr>
        <w:ind w:firstLine="640" w:firstLineChars="200"/>
        <w:rPr>
          <w:rFonts w:hint="eastAsia" w:ascii="仿宋_GB2312" w:hAnsi="宋体" w:eastAsia="仿宋_GB2312"/>
          <w:sz w:val="32"/>
          <w:szCs w:val="32"/>
        </w:rPr>
      </w:pPr>
      <w:r>
        <w:rPr>
          <w:rFonts w:hint="eastAsia" w:ascii="仿宋_GB2312" w:hAnsi="华文中宋" w:eastAsia="仿宋_GB2312"/>
          <w:sz w:val="32"/>
          <w:szCs w:val="32"/>
        </w:rPr>
        <w:t>贯彻落实自治区党政机构改革工作部署</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本次划入职能****，划出职能</w:t>
      </w:r>
      <w:r>
        <w:rPr>
          <w:rFonts w:hint="eastAsia" w:ascii="仿宋_GB2312" w:hAnsi="华文中宋" w:eastAsia="仿宋_GB2312"/>
          <w:sz w:val="32"/>
          <w:szCs w:val="32"/>
          <w:lang w:eastAsia="zh-CN"/>
        </w:rPr>
        <w:t>：</w:t>
      </w:r>
      <w:r>
        <w:rPr>
          <w:rFonts w:hint="eastAsia" w:ascii="仿宋_GB2312" w:hAnsi="宋体" w:eastAsia="仿宋_GB2312"/>
          <w:sz w:val="32"/>
          <w:szCs w:val="32"/>
        </w:rPr>
        <w:t>（</w:t>
      </w:r>
      <w:r>
        <w:rPr>
          <w:rFonts w:hint="eastAsia" w:ascii="仿宋_GB2312" w:hAnsi="宋体" w:eastAsia="仿宋_GB2312"/>
          <w:sz w:val="32"/>
          <w:szCs w:val="32"/>
          <w:lang w:eastAsia="zh-CN"/>
        </w:rPr>
        <w:t>一</w:t>
      </w:r>
      <w:r>
        <w:rPr>
          <w:rFonts w:hint="eastAsia" w:ascii="仿宋_GB2312" w:hAnsi="宋体" w:eastAsia="仿宋_GB2312"/>
          <w:sz w:val="32"/>
          <w:szCs w:val="32"/>
        </w:rPr>
        <w:t xml:space="preserve">） </w:t>
      </w:r>
      <w:r>
        <w:rPr>
          <w:rFonts w:hint="eastAsia" w:ascii="仿宋_GB2312" w:hAnsi="仿宋_GB2312" w:eastAsia="仿宋_GB2312"/>
          <w:sz w:val="32"/>
          <w:szCs w:val="32"/>
        </w:rPr>
        <w:t>负责全县工业节能减排综合协调和监督管理工作，落实能源资源节约和综合利用法规、规划、政策；负责推进全县循环经济发展；组织协调全县有关清洁生产和节能环保产业发展工作；负责全县工业节能执法工</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）负责归口管理、指导、协调吉木萨尔县电子政务建设和应用工作；负责指导、协调、管理吉木萨尔县有关网络与信息安全工作。</w:t>
      </w:r>
    </w:p>
    <w:p>
      <w:pPr>
        <w:pStyle w:val="11"/>
        <w:numPr>
          <w:ilvl w:val="0"/>
          <w:numId w:val="0"/>
        </w:numPr>
        <w:ind w:firstLine="640" w:firstLineChars="200"/>
        <w:rPr>
          <w:rFonts w:hint="eastAsia"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490.57</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181.11</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商经委</w:t>
      </w:r>
      <w:r>
        <w:rPr>
          <w:rFonts w:hint="eastAsia" w:ascii="仿宋_GB2312" w:hAnsi="华文中宋" w:eastAsia="仿宋_GB2312"/>
          <w:sz w:val="32"/>
          <w:szCs w:val="32"/>
          <w:lang w:val="en-US"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eastAsia="zh-CN"/>
        </w:rPr>
        <w:t>商经委</w:t>
      </w:r>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181.11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181.11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pStyle w:val="2"/>
        <w:rPr>
          <w:rFonts w:hint="eastAsia" w:ascii="仿宋_GB2312" w:hAnsi="华文中宋" w:eastAsia="仿宋_GB2312"/>
          <w:sz w:val="32"/>
          <w:szCs w:val="32"/>
        </w:rPr>
      </w:pPr>
    </w:p>
    <w:p>
      <w:pPr>
        <w:pStyle w:val="2"/>
        <w:jc w:val="center"/>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 xml:space="preserve">                              商经委</w:t>
      </w:r>
    </w:p>
    <w:p>
      <w:pPr>
        <w:pStyle w:val="2"/>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仿宋_GBK">
    <w:altName w:val="宋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7F1261A"/>
    <w:rsid w:val="134921BA"/>
    <w:rsid w:val="181B08F6"/>
    <w:rsid w:val="1BB57660"/>
    <w:rsid w:val="1F88413C"/>
    <w:rsid w:val="22540765"/>
    <w:rsid w:val="26BE320F"/>
    <w:rsid w:val="2ACB2C32"/>
    <w:rsid w:val="2C766ADB"/>
    <w:rsid w:val="2EF26078"/>
    <w:rsid w:val="322172AC"/>
    <w:rsid w:val="3F70589E"/>
    <w:rsid w:val="409571AF"/>
    <w:rsid w:val="49B906D1"/>
    <w:rsid w:val="71D73B93"/>
    <w:rsid w:val="7F2C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Balloon Text"/>
    <w:basedOn w:val="1"/>
    <w:link w:val="12"/>
    <w:semiHidden/>
    <w:unhideWhenUsed/>
    <w:qFormat/>
    <w:uiPriority w:val="99"/>
    <w:rPr>
      <w:sz w:val="18"/>
      <w:szCs w:val="18"/>
    </w:rPr>
  </w:style>
  <w:style w:type="paragraph" w:styleId="5">
    <w:name w:val="footer"/>
    <w:basedOn w:val="1"/>
    <w:link w:val="10"/>
    <w:semiHidden/>
    <w:unhideWhenUsed/>
    <w:qFormat/>
    <w:uiPriority w:val="99"/>
    <w:pPr>
      <w:tabs>
        <w:tab w:val="center" w:pos="4153"/>
        <w:tab w:val="right" w:pos="8306"/>
      </w:tabs>
      <w:snapToGrid w:val="0"/>
      <w:jc w:val="left"/>
    </w:pPr>
    <w:rPr>
      <w:sz w:val="18"/>
      <w:szCs w:val="18"/>
    </w:rPr>
  </w:style>
  <w:style w:type="paragraph" w:styleId="6">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semiHidden/>
    <w:qFormat/>
    <w:uiPriority w:val="99"/>
    <w:rPr>
      <w:sz w:val="18"/>
      <w:szCs w:val="18"/>
    </w:rPr>
  </w:style>
  <w:style w:type="character" w:customStyle="1" w:styleId="10">
    <w:name w:val="页脚 Char"/>
    <w:basedOn w:val="7"/>
    <w:link w:val="5"/>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2019-07-31T04:02:14Z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