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方正小标宋_GBK" w:hAnsi="宋体" w:eastAsia="方正小标宋_GBK"/>
          <w:sz w:val="44"/>
          <w:szCs w:val="44"/>
          <w:highlight w:val="none"/>
        </w:rPr>
      </w:pPr>
    </w:p>
    <w:p>
      <w:pPr>
        <w:spacing w:line="540" w:lineRule="exact"/>
        <w:jc w:val="center"/>
        <w:rPr>
          <w:rFonts w:hint="eastAsia" w:ascii="方正小标宋_GBK" w:hAnsi="宋体" w:eastAsia="方正小标宋_GBK"/>
          <w:sz w:val="44"/>
          <w:szCs w:val="44"/>
          <w:highlight w:val="none"/>
          <w:lang w:eastAsia="zh-CN"/>
        </w:rPr>
      </w:pPr>
    </w:p>
    <w:p>
      <w:pPr>
        <w:spacing w:line="540" w:lineRule="exact"/>
        <w:jc w:val="center"/>
        <w:rPr>
          <w:rFonts w:hint="eastAsia" w:ascii="方正小标宋_GBK" w:hAnsi="宋体" w:eastAsia="方正小标宋_GBK"/>
          <w:sz w:val="44"/>
          <w:szCs w:val="44"/>
          <w:highlight w:val="none"/>
          <w:lang w:eastAsia="zh-CN"/>
        </w:rPr>
      </w:pPr>
    </w:p>
    <w:p>
      <w:pPr>
        <w:spacing w:line="540" w:lineRule="exact"/>
        <w:jc w:val="center"/>
        <w:rPr>
          <w:rFonts w:hint="eastAsia" w:ascii="方正小标宋_GBK" w:hAnsi="宋体" w:eastAsia="方正小标宋_GBK"/>
          <w:sz w:val="44"/>
          <w:szCs w:val="44"/>
          <w:highlight w:val="none"/>
          <w:lang w:eastAsia="zh-CN"/>
        </w:rPr>
      </w:pPr>
    </w:p>
    <w:p>
      <w:pPr>
        <w:spacing w:line="540" w:lineRule="exact"/>
        <w:jc w:val="center"/>
        <w:rPr>
          <w:rFonts w:hint="eastAsia" w:ascii="方正小标宋_GBK" w:hAnsi="宋体" w:eastAsia="方正小标宋_GBK"/>
          <w:sz w:val="44"/>
          <w:szCs w:val="44"/>
          <w:highlight w:val="none"/>
          <w:lang w:eastAsia="zh-CN"/>
        </w:rPr>
      </w:pPr>
    </w:p>
    <w:p>
      <w:pPr>
        <w:spacing w:line="540" w:lineRule="exact"/>
        <w:jc w:val="center"/>
        <w:rPr>
          <w:rFonts w:hint="eastAsia" w:ascii="方正小标宋_GBK" w:hAnsi="宋体" w:eastAsia="方正小标宋_GBK"/>
          <w:sz w:val="44"/>
          <w:szCs w:val="44"/>
          <w:highlight w:val="none"/>
          <w:lang w:eastAsia="zh-CN"/>
        </w:rPr>
      </w:pPr>
    </w:p>
    <w:p>
      <w:pPr>
        <w:spacing w:line="540" w:lineRule="exact"/>
        <w:jc w:val="center"/>
        <w:rPr>
          <w:rFonts w:hint="eastAsia" w:ascii="方正小标宋_GBK" w:hAnsi="宋体" w:eastAsia="方正小标宋_GBK"/>
          <w:sz w:val="44"/>
          <w:szCs w:val="44"/>
          <w:highlight w:val="none"/>
          <w:lang w:eastAsia="zh-CN"/>
        </w:rPr>
      </w:pPr>
    </w:p>
    <w:p>
      <w:pPr>
        <w:spacing w:line="540" w:lineRule="exact"/>
        <w:jc w:val="center"/>
        <w:rPr>
          <w:rFonts w:hint="eastAsia" w:ascii="方正小标宋_GBK" w:hAnsi="宋体" w:eastAsia="方正小标宋_GBK"/>
          <w:sz w:val="44"/>
          <w:szCs w:val="44"/>
          <w:highlight w:val="none"/>
          <w:lang w:eastAsia="zh-CN"/>
        </w:rPr>
      </w:pPr>
    </w:p>
    <w:p>
      <w:pPr>
        <w:spacing w:line="540" w:lineRule="exact"/>
        <w:jc w:val="center"/>
        <w:rPr>
          <w:rFonts w:hint="eastAsia" w:ascii="方正小标宋_GBK" w:hAnsi="宋体" w:eastAsia="方正小标宋_GBK"/>
          <w:sz w:val="44"/>
          <w:szCs w:val="44"/>
          <w:highlight w:val="none"/>
          <w:lang w:eastAsia="zh-CN"/>
        </w:rPr>
      </w:pPr>
    </w:p>
    <w:p>
      <w:pPr>
        <w:spacing w:line="540" w:lineRule="exact"/>
        <w:jc w:val="center"/>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eastAsia="zh-CN"/>
        </w:rPr>
        <w:t>新疆昌吉吉木萨尔县自然资源局2019年度</w:t>
      </w:r>
    </w:p>
    <w:p>
      <w:pPr>
        <w:spacing w:line="540" w:lineRule="exact"/>
        <w:jc w:val="center"/>
        <w:rPr>
          <w:rFonts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pPr>
        <w:spacing w:line="540" w:lineRule="exact"/>
        <w:rPr>
          <w:rFonts w:ascii="仿宋_GB2312" w:hAnsi="宋体" w:eastAsia="仿宋_GB2312"/>
          <w:sz w:val="32"/>
          <w:szCs w:val="32"/>
          <w:highlight w:val="none"/>
        </w:rPr>
      </w:pPr>
    </w:p>
    <w:p>
      <w:pPr>
        <w:pStyle w:val="2"/>
        <w:rPr>
          <w:rFonts w:ascii="仿宋_GB2312" w:hAnsi="宋体" w:eastAsia="仿宋_GB2312"/>
          <w:sz w:val="32"/>
          <w:szCs w:val="32"/>
          <w:highlight w:val="none"/>
        </w:rPr>
      </w:pPr>
    </w:p>
    <w:p>
      <w:pPr>
        <w:rPr>
          <w:rFonts w:ascii="仿宋_GB2312" w:hAnsi="宋体" w:eastAsia="仿宋_GB2312"/>
          <w:sz w:val="32"/>
          <w:szCs w:val="32"/>
          <w:highlight w:val="none"/>
        </w:rPr>
      </w:pPr>
    </w:p>
    <w:p>
      <w:pPr>
        <w:pStyle w:val="2"/>
        <w:rPr>
          <w:rFonts w:ascii="仿宋_GB2312" w:hAnsi="宋体" w:eastAsia="仿宋_GB2312"/>
          <w:sz w:val="32"/>
          <w:szCs w:val="32"/>
          <w:highlight w:val="none"/>
        </w:rPr>
      </w:pPr>
    </w:p>
    <w:p>
      <w:pPr>
        <w:rPr>
          <w:rFonts w:ascii="仿宋_GB2312" w:hAnsi="宋体" w:eastAsia="仿宋_GB2312"/>
          <w:sz w:val="32"/>
          <w:szCs w:val="32"/>
          <w:highlight w:val="none"/>
        </w:rPr>
      </w:pPr>
    </w:p>
    <w:p>
      <w:pPr>
        <w:pStyle w:val="2"/>
        <w:rPr>
          <w:rFonts w:ascii="仿宋_GB2312" w:hAnsi="宋体" w:eastAsia="仿宋_GB2312"/>
          <w:sz w:val="32"/>
          <w:szCs w:val="32"/>
          <w:highlight w:val="none"/>
        </w:rPr>
      </w:pPr>
    </w:p>
    <w:p>
      <w:pPr>
        <w:rPr>
          <w:rFonts w:ascii="仿宋_GB2312" w:hAnsi="宋体" w:eastAsia="仿宋_GB2312"/>
          <w:sz w:val="32"/>
          <w:szCs w:val="32"/>
          <w:highlight w:val="none"/>
        </w:rPr>
      </w:pPr>
    </w:p>
    <w:p>
      <w:pPr>
        <w:pStyle w:val="2"/>
        <w:rPr>
          <w:rFonts w:ascii="仿宋_GB2312" w:hAnsi="宋体" w:eastAsia="仿宋_GB2312"/>
          <w:sz w:val="32"/>
          <w:szCs w:val="32"/>
          <w:highlight w:val="none"/>
        </w:rPr>
      </w:pPr>
    </w:p>
    <w:p>
      <w:pPr>
        <w:pStyle w:val="2"/>
      </w:pPr>
    </w:p>
    <w:p>
      <w:bookmarkStart w:id="46" w:name="_GoBack"/>
      <w:bookmarkEnd w:id="46"/>
    </w:p>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仿宋_GB2312" w:hAnsi="仿宋_GB2312" w:eastAsia="仿宋_GB2312" w:cs="仿宋_GB2312"/>
          <w:b/>
          <w:bCs w:val="0"/>
          <w:kern w:val="0"/>
          <w:sz w:val="36"/>
          <w:szCs w:val="36"/>
          <w:highlight w:val="none"/>
        </w:rPr>
        <w:t>目  录</w:t>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八、政府性基金预算收入支出决算情况说明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十、预算绩效的情况说明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spacing w:line="54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end"/>
      </w:r>
    </w:p>
    <w:p>
      <w:pPr>
        <w:pStyle w:val="2"/>
        <w:rPr>
          <w:rFonts w:hint="eastAsia" w:ascii="仿宋_GB2312" w:hAnsi="仿宋_GB2312" w:eastAsia="仿宋_GB2312" w:cs="仿宋_GB2312"/>
          <w:sz w:val="32"/>
          <w:szCs w:val="32"/>
          <w:highlight w:val="none"/>
        </w:rPr>
      </w:pPr>
    </w:p>
    <w:p>
      <w:pPr>
        <w:rPr>
          <w:rFonts w:hint="eastAsia" w:ascii="仿宋_GB2312" w:hAnsi="仿宋_GB2312" w:eastAsia="仿宋_GB2312" w:cs="仿宋_GB2312"/>
          <w:sz w:val="32"/>
          <w:szCs w:val="32"/>
          <w:highlight w:val="none"/>
        </w:rPr>
      </w:pPr>
    </w:p>
    <w:p>
      <w:pPr>
        <w:pStyle w:val="2"/>
        <w:rPr>
          <w:rFonts w:hint="eastAsia" w:ascii="仿宋_GB2312" w:hAnsi="仿宋_GB2312" w:eastAsia="仿宋_GB2312" w:cs="仿宋_GB2312"/>
          <w:sz w:val="32"/>
          <w:szCs w:val="32"/>
          <w:highlight w:val="none"/>
        </w:rPr>
      </w:pPr>
    </w:p>
    <w:p>
      <w:pPr>
        <w:rPr>
          <w:rFonts w:hint="eastAsia" w:ascii="仿宋_GB2312" w:hAnsi="仿宋_GB2312" w:eastAsia="仿宋_GB2312" w:cs="仿宋_GB2312"/>
          <w:sz w:val="32"/>
          <w:szCs w:val="32"/>
          <w:highlight w:val="none"/>
        </w:rPr>
      </w:pPr>
    </w:p>
    <w:p>
      <w:pPr>
        <w:pStyle w:val="2"/>
        <w:rPr>
          <w:rFonts w:hint="eastAsia" w:ascii="仿宋_GB2312" w:hAnsi="仿宋_GB2312" w:eastAsia="仿宋_GB2312" w:cs="仿宋_GB2312"/>
          <w:sz w:val="32"/>
          <w:szCs w:val="32"/>
          <w:highlight w:val="none"/>
        </w:rPr>
      </w:pPr>
    </w:p>
    <w:p>
      <w:pPr>
        <w:rPr>
          <w:rFonts w:hint="eastAsia" w:ascii="仿宋_GB2312" w:hAnsi="仿宋_GB2312" w:eastAsia="仿宋_GB2312" w:cs="仿宋_GB2312"/>
          <w:sz w:val="32"/>
          <w:szCs w:val="32"/>
          <w:highlight w:val="none"/>
        </w:rPr>
      </w:pPr>
    </w:p>
    <w:p>
      <w:pPr>
        <w:pStyle w:val="2"/>
        <w:rPr>
          <w:rFonts w:hint="eastAsia" w:ascii="仿宋_GB2312" w:hAnsi="仿宋_GB2312" w:eastAsia="仿宋_GB2312" w:cs="仿宋_GB2312"/>
          <w:sz w:val="32"/>
          <w:szCs w:val="32"/>
          <w:highlight w:val="none"/>
        </w:rPr>
      </w:pPr>
    </w:p>
    <w:p>
      <w:pPr>
        <w:rPr>
          <w:rFonts w:hint="eastAsia" w:ascii="仿宋_GB2312" w:hAnsi="仿宋_GB2312" w:eastAsia="仿宋_GB2312" w:cs="仿宋_GB2312"/>
          <w:sz w:val="32"/>
          <w:szCs w:val="32"/>
          <w:highlight w:val="none"/>
        </w:rPr>
      </w:pPr>
    </w:p>
    <w:p>
      <w:pPr>
        <w:rPr>
          <w:rFonts w:hint="eastAsia" w:ascii="仿宋_GB2312" w:hAnsi="仿宋_GB2312" w:eastAsia="仿宋_GB2312" w:cs="仿宋_GB2312"/>
          <w:sz w:val="32"/>
          <w:szCs w:val="32"/>
          <w:highlight w:val="none"/>
        </w:rPr>
      </w:pPr>
    </w:p>
    <w:p>
      <w:pPr>
        <w:pStyle w:val="2"/>
      </w:pPr>
    </w:p>
    <w:p/>
    <w:p>
      <w:pPr>
        <w:pStyle w:val="2"/>
      </w:pPr>
    </w:p>
    <w:p/>
    <w:p>
      <w:pPr>
        <w:spacing w:line="540" w:lineRule="exact"/>
        <w:jc w:val="center"/>
        <w:rPr>
          <w:rFonts w:ascii="黑体" w:hAnsi="黑体" w:eastAsia="黑体"/>
          <w:sz w:val="32"/>
          <w:szCs w:val="32"/>
          <w:highlight w:val="none"/>
        </w:rPr>
      </w:pPr>
      <w:r>
        <w:rPr>
          <w:rFonts w:hint="eastAsia" w:ascii="黑体" w:hAnsi="黑体" w:eastAsia="黑体"/>
          <w:sz w:val="32"/>
          <w:szCs w:val="32"/>
          <w:highlight w:val="none"/>
        </w:rPr>
        <w:t>第一部分 部门单位概况</w:t>
      </w:r>
    </w:p>
    <w:p>
      <w:pPr>
        <w:spacing w:line="540" w:lineRule="exact"/>
        <w:ind w:firstLine="640" w:firstLineChars="200"/>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一、主要职能</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履行全民所有土地、矿产、森林、草原、湿地、荒漠、水、陆生野生动植物等自然资源资产所有者职责和所有国土空间用途管制职责。贯彻执行自然资源、国土空间规划、城乡规划和测绘地理信息等法律法规。</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负责自然资源调查监测评价。贯彻落实自然资源调查监测评价的指标体系和统计标准，按照统一规范的自然资源调查监测评价制度，实施自然资源基础调查、专项调查和监测。负责自然资源调查监测评价成果的监督管理和信息发布。负责森林、草原、湿地、荒漠和陆生野生动植物资源动态监测与评价。</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三）负责森林、草原、湿地、荒漠和陆生野生动植物资源动态监测与评价。贯彻落实各类自然资源和不动产统一确权登记、权籍调查、不动产测绘、争议调处、成果应用的制度、标准、规范。建立健全自然资源和不动产登记信息管理基础平台。负责县自然资源和不动产登记资料收集、整理、共享、汇交管理等。组织有关部门调查、调处县域内土地、草场、矿山、林地、水域等权属纠纷。</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四）负责自然资源资产有偿使用工作。贯彻执行全民所有自然资源资产统计制度，负责县全民所有自然资源资产核算。编制县全民所有自然资源资产负债表，贯彻执行全民所有自然资源资产划拨、出让、租赁、作价出资和土地储备政策，合理配置县全民所有自然资源资产。负责县自然资源资产价值评估管理，依法收缴相关资产收益。</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五）负责自然资源的合理开发利用。研究县自然资源发展规划，按照自然资源开发利用标准组织实施，建立政府公示自然资源价格体系，组织开展自然资源分等定级价格评估，指导节约集约利用。负责县自然资源市场监管。</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六）负责建立空间规划体系并实施。推进县主体功能区战略和制度，组织编制并监督实施国土空间规划和相关专项规划。开展县国土空间开发适宜性评价，建立国土空间规划实施监测、评估和预警体系。组织划定县生态保护红线、永久基本农田、城镇开发边界等控制线，构建节约资源和保护环境的生产、生活、生态空间布局。建立健全县国土空间用途管制制度。负责全县土地等国土空间用途转用工作及土地征收征用管理。</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七）组织编制全县总体规划、控制性详细规划、修建性详细规划、分区规划以及各类专项规划并组织实施。编制县域乡（镇）规划、村庄规划。负责权限内规划选址工作，负责城乡规划审核、实施、修改工作。指导城镇地下空间开发利用的规划管理工作。负责全县城乡规划行政执法管理工作。</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八）负责统筹国土空间生态修复。牵头组织编制县国土空间生态修复规划并实施有关生态修复重大工程。负责县国土空间综合整治、土地整理复垦、矿山地质环境恢复治理等工作。牵头和实施县生态保护补偿制度，拟订合理利用社会资金进行生态修复的政策措施。</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九）组织林业和草原生态保护修复及造林绿化工作。组织实施林业和草原生态保护修复工程，指导公益林和商品林的培育，指导、监督全民义务植树、城乡绿化工作。指导林业和草原有害生物防治、检疫工作。承担林业和草原应对气候变化相关工作。</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十）负责森林、草原、湿地资源的监督管理。组织编制并监督执行森林采伐限额；负责林地管理，拟订林地保护利用规划并组织实施，管理国有林区的国有森林资源。负责草原禁牧、草畜平衡和草原生态修复治理工作，监督管理草原的开发利用。负责湿地生态保护修复工作，拟订湿地保护规划，监督管理湿地的开发利用。</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十一）贯彻落实最严格的耕地保护制度。贯彻落实国家耕地保护政策并牵头和实施县有关政策，负责耕地数量、质量、生态保护。组织实施耕地保护责任目标考核和永久基本农田特殊保护。落实土地占补平衡制度和占用耕地补偿制度。</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十二）负责矿产资源管理工作。负责县矿产资源储量管理及压覆矿产资源审查。监督指导全县矿产资源合理利用和保护。负责地质资料汇交、保管和利用。承担县保护性开采的特定矿种、优势矿产的调控及相关管理工作。</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（十三）负责管理县地质勘查工作。负责对县域内实施的地质勘查工作进行监督检查。负责县地质灾害预防和治理，监督管理地下水过量开采引发的地面沉降等地质问题。负责县古生物化石的监督管理。</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十四）负责落实综合防灾减灾规划相关要求，负责行业安全生产相关工作。组织编制县地质灾害防治规划、执行防护标准并组织实施。组织协调和监督县地质灾害调查评价及隐患的普查、详查、排查。指导开展群测群防、专业监测和预报预警等工作，指导开展地质灾害工程治理工作。承担县地质灾害应急救援的技术支撑工作。组织编制森林和草原火灾防治规划并监督实施，组织开展林业和草原防火巡护、火源管理、防火设施建设等工作。组织国有林场林区和草原开展宣传教育、监测预警、督促检查等防火工作。必要时，可以提请县应急管理局，以县应急指挥机构名义，部署相关防治工作。</w:t>
      </w:r>
    </w:p>
    <w:p>
      <w:p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（十五）负责监督管理荒漠化防治工作。组织开展荒漠调查，研究制定防沙治沙及沙化土地封禁保护区建设规划、相关地方标准和技术规程并监督实施。监督管理沙化</w:t>
      </w:r>
      <w:r>
        <w:rPr>
          <w:rFonts w:hint="eastAsia" w:ascii="仿宋_GB2312" w:eastAsia="仿宋_GB2312"/>
          <w:sz w:val="32"/>
          <w:szCs w:val="32"/>
          <w:highlight w:val="none"/>
          <w:lang w:eastAsia="zh-CN"/>
        </w:rPr>
        <w:t>。</w:t>
      </w:r>
    </w:p>
    <w:p>
      <w:p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六）负责野生动植物资源监督管理。组织开展野生动植物资源调查，监督管理野生动植物救护繁育、栖息地恢复发展及野生动物疫源疫病监测、防控、应急处置。监督管理野生动植物猎捕或采集、驯养繁殖或培植、经营利用。</w:t>
      </w:r>
    </w:p>
    <w:p>
      <w:p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七）指导国有林场基本建设和发展，组织林木种子、草种种质资源普查，组织建立种质资源库,负责良种选育推广，管理林木种苗、草种生产经营行为，监管林木种苗、草种质量。监督管理林业和草原生物种质资源、转基因生物安全、植物新品种保护。</w:t>
      </w:r>
    </w:p>
    <w:p>
      <w:p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八）负责监督管理各类自然保护地。拟订各类自然保护地规划。负责国家公园、自然保护区、风景名胜区、地质公园、森林公园等设立、规划、建设和特许经营工作。负责县直接行使所有权的自然保护地的自然资源资产管理和国土空间用途管制。提出新建、调整各类自治区级自然保护地的审核建议并按程序报批，负责权限内世界自然遗产及世界自然与文化双重遗产的申报相关工作。负责生物多样性保护相关工作。</w:t>
      </w:r>
    </w:p>
    <w:p>
      <w:p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九）拟订林业和草原资源优化配置及木材利用规划，拟订林业产业地方发展规划并组织实施，负责林产品质量监督，指导林果业发展，指导生态扶贫相关工作。负责推进林业和草原改革相关工作。贯彻落实农村林业发展、维护林业经营者合法权益的政策措施，指导农村林地承包经营工作。开展退耕（牧）还林还草，负责天然林保护工作。组织实施林业和草原生态补偿工作。</w:t>
      </w:r>
    </w:p>
    <w:p>
      <w:p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（二十）负责测绘地理信息管理工作。负责县基础测绘和测绘行业管理。负责县测绘资质资格与信用管理，监督管理县地理信息安全和市场秩序。负责县地理信息公共服务管理。负责县测量标志保护。</w:t>
      </w:r>
    </w:p>
    <w:p>
      <w:p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（二十一）推动自然资源、林业、草原领域科技发展。制定并实施县自然资源、林业、草原领域科技创新发展和人才培养规划和计划。推进自然资源信息化和信息资料的公共服务。</w:t>
      </w:r>
    </w:p>
    <w:p>
      <w:p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（二十二）监督检查各乡（镇）执行和遵守自然资源法律法规的情况，依法调查处理县国土空间规划和自然资源违法案件。</w:t>
      </w:r>
    </w:p>
    <w:p>
      <w:p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（二十三）完成县委、县人民政府交办的其他任务。</w:t>
      </w:r>
    </w:p>
    <w:p>
      <w:pPr>
        <w:bidi w:val="0"/>
        <w:rPr>
          <w:rFonts w:hint="eastAsia"/>
          <w:highlight w:val="none"/>
          <w:lang w:eastAsia="zh-CN"/>
        </w:rPr>
      </w:pPr>
    </w:p>
    <w:p>
      <w:pPr>
        <w:spacing w:line="540" w:lineRule="exact"/>
        <w:ind w:firstLine="640" w:firstLineChars="200"/>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二、机构设置情况</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吉木萨尔县自然资源局</w:t>
      </w:r>
      <w:r>
        <w:rPr>
          <w:rFonts w:hint="eastAsia" w:ascii="仿宋_GB2312" w:eastAsia="仿宋_GB2312"/>
          <w:spacing w:val="0"/>
          <w:sz w:val="32"/>
          <w:szCs w:val="32"/>
          <w:highlight w:val="none"/>
          <w:lang w:val="en-US" w:eastAsia="zh-CN"/>
        </w:rPr>
        <w:t>2019</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实有人数</w:t>
      </w:r>
      <w:r>
        <w:rPr>
          <w:rFonts w:hint="eastAsia" w:ascii="仿宋_GB2312" w:eastAsia="仿宋_GB2312"/>
          <w:sz w:val="32"/>
          <w:szCs w:val="32"/>
          <w:highlight w:val="none"/>
          <w:lang w:val="en-US" w:eastAsia="zh-CN"/>
        </w:rPr>
        <w:t>168</w:t>
      </w:r>
      <w:r>
        <w:rPr>
          <w:rFonts w:hint="eastAsia" w:ascii="仿宋_GB2312" w:eastAsia="仿宋_GB2312"/>
          <w:sz w:val="32"/>
          <w:szCs w:val="32"/>
          <w:highlight w:val="none"/>
        </w:rPr>
        <w:t>人，其中：在职人员</w:t>
      </w:r>
      <w:r>
        <w:rPr>
          <w:rFonts w:hint="eastAsia" w:ascii="仿宋_GB2312" w:eastAsia="仿宋_GB2312"/>
          <w:sz w:val="32"/>
          <w:szCs w:val="32"/>
          <w:highlight w:val="none"/>
          <w:lang w:val="en-US" w:eastAsia="zh-CN"/>
        </w:rPr>
        <w:t>168</w:t>
      </w:r>
      <w:r>
        <w:rPr>
          <w:rFonts w:hint="eastAsia" w:ascii="仿宋_GB2312" w:eastAsia="仿宋_GB2312"/>
          <w:sz w:val="32"/>
          <w:szCs w:val="32"/>
          <w:highlight w:val="none"/>
        </w:rPr>
        <w:t>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离休人员</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人，退休人员</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w:t>
      </w:r>
    </w:p>
    <w:p>
      <w:pPr>
        <w:spacing w:line="540" w:lineRule="exact"/>
        <w:ind w:firstLine="640" w:firstLineChars="200"/>
      </w:pPr>
      <w:r>
        <w:rPr>
          <w:rFonts w:hint="eastAsia" w:ascii="仿宋_GB2312" w:eastAsia="仿宋_GB2312"/>
          <w:sz w:val="32"/>
          <w:szCs w:val="32"/>
          <w:highlight w:val="none"/>
        </w:rPr>
        <w:t>从决算单位构成看，</w:t>
      </w:r>
      <w:r>
        <w:rPr>
          <w:rFonts w:hint="eastAsia" w:ascii="仿宋_GB2312" w:eastAsia="仿宋_GB2312"/>
          <w:sz w:val="32"/>
          <w:szCs w:val="32"/>
          <w:highlight w:val="none"/>
          <w:lang w:eastAsia="zh-CN"/>
        </w:rPr>
        <w:t>吉木萨尔县自然资源局部门决算</w:t>
      </w:r>
      <w:r>
        <w:rPr>
          <w:rFonts w:hint="eastAsia" w:ascii="仿宋_GB2312" w:eastAsia="仿宋_GB2312"/>
          <w:sz w:val="32"/>
          <w:szCs w:val="32"/>
          <w:highlight w:val="none"/>
        </w:rPr>
        <w:t>部门决算包括：</w:t>
      </w:r>
      <w:r>
        <w:rPr>
          <w:rFonts w:hint="eastAsia" w:ascii="仿宋_GB2312" w:eastAsia="仿宋_GB2312"/>
          <w:sz w:val="32"/>
          <w:szCs w:val="32"/>
          <w:highlight w:val="none"/>
          <w:lang w:eastAsia="zh-CN"/>
        </w:rPr>
        <w:t>吉木萨尔县自然资源局</w:t>
      </w:r>
      <w:r>
        <w:rPr>
          <w:rFonts w:hint="eastAsia" w:ascii="仿宋_GB2312" w:eastAsia="仿宋_GB2312"/>
          <w:sz w:val="32"/>
          <w:szCs w:val="32"/>
          <w:highlight w:val="none"/>
        </w:rPr>
        <w:t>决算。</w:t>
      </w:r>
    </w:p>
    <w:p>
      <w:pPr>
        <w:bidi w:val="0"/>
      </w:pPr>
    </w:p>
    <w:p>
      <w:pPr>
        <w:spacing w:line="540" w:lineRule="exact"/>
        <w:jc w:val="center"/>
        <w:rPr>
          <w:rFonts w:ascii="黑体" w:hAnsi="黑体" w:eastAsia="黑体"/>
          <w:sz w:val="32"/>
          <w:szCs w:val="32"/>
          <w:highlight w:val="none"/>
        </w:rPr>
      </w:pPr>
      <w:r>
        <w:rPr>
          <w:rFonts w:hint="eastAsia" w:ascii="黑体" w:hAnsi="黑体" w:eastAsia="黑体"/>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0" w:name="_Toc25314"/>
      <w:bookmarkStart w:id="1" w:name="_Toc12566"/>
      <w:r>
        <w:rPr>
          <w:rFonts w:hint="eastAsia" w:ascii="黑体" w:hAnsi="黑体" w:eastAsia="黑体" w:cs="宋体"/>
          <w:bCs/>
          <w:kern w:val="0"/>
          <w:sz w:val="32"/>
          <w:szCs w:val="32"/>
          <w:highlight w:val="none"/>
        </w:rPr>
        <w:t>一、收入支出决算总体情况说明</w:t>
      </w:r>
      <w:bookmarkEnd w:id="0"/>
      <w:bookmarkEnd w:id="1"/>
    </w:p>
    <w:p>
      <w:pPr>
        <w:spacing w:line="540" w:lineRule="exact"/>
        <w:ind w:firstLine="640" w:firstLineChars="200"/>
        <w:rPr>
          <w:rFonts w:ascii="仿宋_GB2312" w:hAnsi="Calibri" w:eastAsia="仿宋_GB2312"/>
          <w:sz w:val="32"/>
          <w:szCs w:val="32"/>
          <w:highlight w:val="none"/>
          <w:lang w:val="en-GB"/>
        </w:rPr>
      </w:pP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度收入12371.51万元,与上年相比，</w:t>
      </w:r>
      <w:r>
        <w:rPr>
          <w:rFonts w:hint="eastAsia" w:ascii="仿宋_GB2312" w:eastAsia="仿宋_GB2312"/>
          <w:sz w:val="32"/>
          <w:szCs w:val="32"/>
          <w:highlight w:val="none"/>
          <w:lang w:eastAsia="zh-CN"/>
        </w:rPr>
        <w:t>增加10264.42</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rPr>
        <w:t>487.14%，</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：2019年国土局、林业局、规划局、草原站、草原监理所五个单位合并的新单位；</w:t>
      </w:r>
      <w:r>
        <w:rPr>
          <w:rFonts w:hint="eastAsia" w:ascii="仿宋_GB2312" w:eastAsia="仿宋_GB2312"/>
          <w:sz w:val="32"/>
          <w:szCs w:val="32"/>
          <w:highlight w:val="none"/>
          <w:lang w:eastAsia="zh-CN"/>
        </w:rPr>
        <w:t>本年</w:t>
      </w:r>
      <w:r>
        <w:rPr>
          <w:rFonts w:hint="eastAsia" w:ascii="仿宋_GB2312" w:eastAsia="仿宋_GB2312"/>
          <w:sz w:val="32"/>
          <w:szCs w:val="32"/>
          <w:highlight w:val="none"/>
        </w:rPr>
        <w:t>支出8574.44万元,与上年相比，</w:t>
      </w:r>
      <w:r>
        <w:rPr>
          <w:rFonts w:hint="eastAsia" w:ascii="仿宋_GB2312" w:eastAsia="仿宋_GB2312"/>
          <w:sz w:val="32"/>
          <w:szCs w:val="32"/>
          <w:highlight w:val="none"/>
          <w:lang w:eastAsia="zh-CN"/>
        </w:rPr>
        <w:t>增加6488.76</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rPr>
        <w:t>311.11%，</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：2019年国土局、林业局、规划局、草原站、草原监理所五个单位合并的新单位。</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2" w:name="_Toc1979"/>
      <w:bookmarkStart w:id="3" w:name="_Toc12142"/>
      <w:r>
        <w:rPr>
          <w:rFonts w:hint="eastAsia" w:ascii="黑体" w:hAnsi="黑体" w:eastAsia="黑体" w:cs="宋体"/>
          <w:bCs/>
          <w:kern w:val="0"/>
          <w:sz w:val="32"/>
          <w:szCs w:val="32"/>
          <w:highlight w:val="none"/>
          <w:lang w:eastAsia="zh-CN"/>
        </w:rPr>
        <w:t>二、</w:t>
      </w:r>
      <w:r>
        <w:rPr>
          <w:rFonts w:hint="eastAsia" w:ascii="黑体" w:hAnsi="黑体" w:eastAsia="黑体" w:cs="宋体"/>
          <w:bCs/>
          <w:kern w:val="0"/>
          <w:sz w:val="32"/>
          <w:szCs w:val="32"/>
          <w:highlight w:val="none"/>
        </w:rPr>
        <w:t>收入</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情况说明</w:t>
      </w:r>
      <w:bookmarkEnd w:id="2"/>
      <w:bookmarkEnd w:id="3"/>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val="en-US" w:eastAsia="zh-CN"/>
        </w:rPr>
        <w:t>2019年度</w:t>
      </w:r>
      <w:r>
        <w:rPr>
          <w:rFonts w:hint="eastAsia" w:ascii="仿宋_GB2312" w:eastAsia="仿宋_GB2312"/>
          <w:sz w:val="32"/>
          <w:szCs w:val="32"/>
          <w:highlight w:val="none"/>
        </w:rPr>
        <w:t>本年收入12371.51万元，其中：财政拨款收入</w:t>
      </w:r>
      <w:r>
        <w:rPr>
          <w:rFonts w:hint="eastAsia" w:ascii="仿宋_GB2312" w:eastAsia="仿宋_GB2312"/>
          <w:sz w:val="32"/>
          <w:szCs w:val="32"/>
          <w:highlight w:val="none"/>
          <w:lang w:eastAsia="zh-CN"/>
        </w:rPr>
        <w:t>5109.55</w:t>
      </w:r>
      <w:r>
        <w:rPr>
          <w:rFonts w:hint="eastAsia" w:ascii="仿宋_GB2312" w:eastAsia="仿宋_GB2312"/>
          <w:sz w:val="32"/>
          <w:szCs w:val="32"/>
          <w:highlight w:val="none"/>
        </w:rPr>
        <w:t>万元，占</w:t>
      </w:r>
      <w:r>
        <w:rPr>
          <w:rFonts w:hint="eastAsia" w:ascii="仿宋_GB2312" w:eastAsia="仿宋_GB2312"/>
          <w:sz w:val="32"/>
          <w:szCs w:val="32"/>
          <w:highlight w:val="none"/>
          <w:lang w:eastAsia="zh-CN"/>
        </w:rPr>
        <w:t>41.30</w:t>
      </w:r>
      <w:r>
        <w:rPr>
          <w:rFonts w:hint="eastAsia" w:ascii="仿宋_GB2312" w:eastAsia="仿宋_GB2312"/>
          <w:sz w:val="32"/>
          <w:szCs w:val="32"/>
          <w:highlight w:val="none"/>
        </w:rPr>
        <w:t>%；上级补助收入0.00万元，占0.00%；事业收入0.00万元，占0.00%；经营收入0.00万元，占0.00%；附属单位缴款0.00万元，占0.00%；其他收入</w:t>
      </w:r>
      <w:r>
        <w:rPr>
          <w:rFonts w:hint="eastAsia" w:ascii="仿宋_GB2312" w:eastAsia="仿宋_GB2312"/>
          <w:sz w:val="32"/>
          <w:szCs w:val="32"/>
          <w:highlight w:val="none"/>
          <w:lang w:eastAsia="zh-CN"/>
        </w:rPr>
        <w:t>7,261.96</w:t>
      </w:r>
      <w:r>
        <w:rPr>
          <w:rFonts w:hint="eastAsia" w:ascii="仿宋_GB2312" w:eastAsia="仿宋_GB2312"/>
          <w:sz w:val="32"/>
          <w:szCs w:val="32"/>
          <w:highlight w:val="none"/>
        </w:rPr>
        <w:t>万元，占58.70%。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4" w:name="_Toc13201"/>
      <w:bookmarkStart w:id="5" w:name="_Toc27961"/>
      <w:r>
        <w:rPr>
          <w:rFonts w:hint="eastAsia" w:ascii="黑体" w:hAnsi="黑体" w:eastAsia="黑体" w:cs="宋体"/>
          <w:bCs/>
          <w:kern w:val="0"/>
          <w:sz w:val="32"/>
          <w:szCs w:val="32"/>
          <w:highlight w:val="none"/>
          <w:lang w:eastAsia="zh-CN"/>
        </w:rPr>
        <w:t>三、支出决算情况说明</w:t>
      </w:r>
      <w:bookmarkEnd w:id="4"/>
      <w:bookmarkEnd w:id="5"/>
    </w:p>
    <w:p>
      <w:pPr>
        <w:spacing w:line="540" w:lineRule="exact"/>
        <w:ind w:firstLine="640" w:firstLineChars="200"/>
        <w:rPr>
          <w:rFonts w:hint="eastAsia" w:ascii="仿宋_GB2312" w:eastAsia="仿宋_GB2312"/>
          <w:spacing w:val="-6"/>
          <w:sz w:val="32"/>
          <w:szCs w:val="32"/>
          <w:highlight w:val="none"/>
        </w:rPr>
      </w:pPr>
      <w:r>
        <w:rPr>
          <w:rFonts w:hint="eastAsia" w:ascii="仿宋_GB2312" w:eastAsia="仿宋_GB2312"/>
          <w:sz w:val="32"/>
          <w:szCs w:val="32"/>
          <w:highlight w:val="none"/>
          <w:lang w:val="en-US" w:eastAsia="zh-CN"/>
        </w:rPr>
        <w:t>2019年</w:t>
      </w:r>
      <w:r>
        <w:rPr>
          <w:rFonts w:hint="eastAsia" w:ascii="仿宋_GB2312" w:eastAsia="仿宋_GB2312"/>
          <w:sz w:val="32"/>
          <w:szCs w:val="32"/>
          <w:highlight w:val="none"/>
        </w:rPr>
        <w:t>本年支出8574.44万元，其中：基本支出5,095.81万元，占59.43%；项目支出3,478.63万元，占40.57%；上缴上级支出0.00万元，占0.00%；</w:t>
      </w:r>
      <w:r>
        <w:rPr>
          <w:rFonts w:hint="eastAsia" w:ascii="仿宋_GB2312" w:eastAsia="仿宋_GB2312"/>
          <w:spacing w:val="-6"/>
          <w:sz w:val="32"/>
          <w:szCs w:val="32"/>
          <w:highlight w:val="none"/>
        </w:rPr>
        <w:t>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6" w:name="_Toc26564"/>
      <w:bookmarkStart w:id="7" w:name="_Toc4393"/>
      <w:r>
        <w:rPr>
          <w:rFonts w:hint="eastAsia" w:ascii="黑体" w:hAnsi="黑体" w:eastAsia="黑体" w:cs="宋体"/>
          <w:bCs/>
          <w:kern w:val="0"/>
          <w:sz w:val="32"/>
          <w:szCs w:val="32"/>
          <w:highlight w:val="none"/>
          <w:lang w:eastAsia="zh-CN"/>
        </w:rPr>
        <w:t>四、财政拨款收入支出决算总体情况说明</w:t>
      </w:r>
      <w:bookmarkEnd w:id="6"/>
      <w:bookmarkEnd w:id="7"/>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度财政拨款收入</w:t>
      </w:r>
      <w:r>
        <w:rPr>
          <w:rFonts w:hint="eastAsia" w:ascii="仿宋_GB2312" w:eastAsia="仿宋_GB2312"/>
          <w:sz w:val="32"/>
          <w:szCs w:val="32"/>
          <w:highlight w:val="none"/>
          <w:lang w:eastAsia="zh-CN"/>
        </w:rPr>
        <w:t>5,109.55</w:t>
      </w:r>
      <w:r>
        <w:rPr>
          <w:rFonts w:hint="eastAsia" w:ascii="仿宋_GB2312" w:eastAsia="仿宋_GB2312"/>
          <w:sz w:val="32"/>
          <w:szCs w:val="32"/>
          <w:highlight w:val="none"/>
        </w:rPr>
        <w:t>万元，与上年相比，</w:t>
      </w:r>
      <w:r>
        <w:rPr>
          <w:rFonts w:hint="eastAsia" w:ascii="仿宋_GB2312" w:eastAsia="仿宋_GB2312"/>
          <w:sz w:val="32"/>
          <w:szCs w:val="32"/>
          <w:highlight w:val="none"/>
          <w:lang w:eastAsia="zh-CN"/>
        </w:rPr>
        <w:t>增加3071.26</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rPr>
        <w:t>150.68%。主要原因是：2019年国土局、林业局、规划局、草原站、草原监理所五个单位合并的新单位</w:t>
      </w:r>
      <w:r>
        <w:rPr>
          <w:rFonts w:hint="eastAsia" w:ascii="仿宋_GB2312" w:eastAsia="仿宋_GB2312"/>
          <w:sz w:val="32"/>
          <w:szCs w:val="32"/>
          <w:highlight w:val="none"/>
          <w:lang w:eastAsia="zh-CN"/>
        </w:rPr>
        <w:t>，经费增加；</w:t>
      </w:r>
      <w:r>
        <w:rPr>
          <w:rFonts w:hint="eastAsia" w:ascii="仿宋_GB2312" w:eastAsia="仿宋_GB2312"/>
          <w:sz w:val="32"/>
          <w:szCs w:val="32"/>
          <w:highlight w:val="none"/>
        </w:rPr>
        <w:t>财政拨款支出</w:t>
      </w:r>
      <w:r>
        <w:rPr>
          <w:rFonts w:hint="eastAsia" w:ascii="仿宋_GB2312" w:eastAsia="仿宋_GB2312"/>
          <w:sz w:val="32"/>
          <w:szCs w:val="32"/>
          <w:highlight w:val="none"/>
          <w:lang w:eastAsia="zh-CN"/>
        </w:rPr>
        <w:t>5109.55</w:t>
      </w:r>
      <w:r>
        <w:rPr>
          <w:rFonts w:hint="eastAsia" w:ascii="仿宋_GB2312" w:eastAsia="仿宋_GB2312"/>
          <w:sz w:val="32"/>
          <w:szCs w:val="32"/>
          <w:highlight w:val="none"/>
        </w:rPr>
        <w:t>万元，与上年相比，</w:t>
      </w:r>
      <w:r>
        <w:rPr>
          <w:rFonts w:hint="eastAsia" w:ascii="仿宋_GB2312" w:eastAsia="仿宋_GB2312"/>
          <w:sz w:val="32"/>
          <w:szCs w:val="32"/>
          <w:highlight w:val="none"/>
          <w:lang w:eastAsia="zh-CN"/>
        </w:rPr>
        <w:t>增加3071.26</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rPr>
        <w:t>150.68%，主要原因是：2019年国土局、林业局、规划局、草原站、草原监理所五个单位合并的新单位</w:t>
      </w:r>
      <w:r>
        <w:rPr>
          <w:rFonts w:hint="eastAsia" w:ascii="仿宋_GB2312" w:eastAsia="仿宋_GB2312"/>
          <w:sz w:val="32"/>
          <w:szCs w:val="32"/>
          <w:highlight w:val="none"/>
          <w:lang w:eastAsia="zh-CN"/>
        </w:rPr>
        <w:t>，经费增加</w:t>
      </w:r>
      <w:r>
        <w:rPr>
          <w:rFonts w:hint="eastAsia" w:ascii="仿宋_GB2312" w:eastAsia="仿宋_GB2312"/>
          <w:sz w:val="32"/>
          <w:szCs w:val="32"/>
          <w:highlight w:val="none"/>
        </w:rPr>
        <w:t>。</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与年初预算数相比情况：财政拨款收入年初预算数</w:t>
      </w:r>
      <w:r>
        <w:rPr>
          <w:rFonts w:hint="eastAsia" w:ascii="仿宋_GB2312" w:eastAsia="仿宋_GB2312"/>
          <w:sz w:val="32"/>
          <w:szCs w:val="32"/>
          <w:highlight w:val="none"/>
          <w:lang w:eastAsia="zh-CN"/>
        </w:rPr>
        <w:t>1713.45</w:t>
      </w:r>
      <w:r>
        <w:rPr>
          <w:rFonts w:hint="eastAsia" w:ascii="仿宋_GB2312" w:eastAsia="仿宋_GB2312"/>
          <w:sz w:val="32"/>
          <w:szCs w:val="32"/>
          <w:highlight w:val="none"/>
        </w:rPr>
        <w:t>万元，决算数</w:t>
      </w:r>
      <w:r>
        <w:rPr>
          <w:rFonts w:hint="eastAsia" w:ascii="仿宋_GB2312" w:eastAsia="仿宋_GB2312"/>
          <w:sz w:val="32"/>
          <w:szCs w:val="32"/>
          <w:highlight w:val="none"/>
          <w:lang w:eastAsia="zh-CN"/>
        </w:rPr>
        <w:t>5109.55</w:t>
      </w:r>
      <w:r>
        <w:rPr>
          <w:rFonts w:hint="eastAsia" w:ascii="仿宋_GB2312" w:eastAsia="仿宋_GB2312"/>
          <w:sz w:val="32"/>
          <w:szCs w:val="32"/>
          <w:highlight w:val="none"/>
        </w:rPr>
        <w:t>万元，预决算差异率198.20%，主要原因</w:t>
      </w:r>
      <w:r>
        <w:rPr>
          <w:rFonts w:hint="eastAsia" w:ascii="仿宋_GB2312" w:eastAsia="仿宋_GB2312"/>
          <w:sz w:val="32"/>
          <w:szCs w:val="32"/>
          <w:highlight w:val="none"/>
          <w:lang w:eastAsia="zh-CN"/>
        </w:rPr>
        <w:t>年中追加征地和拆迁补偿支出项目、土地开发支出、清死树、育新苗等项目经费，导致预决算差异率较大。</w:t>
      </w:r>
      <w:r>
        <w:rPr>
          <w:rFonts w:hint="eastAsia" w:ascii="仿宋_GB2312" w:eastAsia="仿宋_GB2312"/>
          <w:sz w:val="32"/>
          <w:szCs w:val="32"/>
          <w:highlight w:val="none"/>
        </w:rPr>
        <w:t>财政拨款支出年初预算数</w:t>
      </w:r>
      <w:r>
        <w:rPr>
          <w:rFonts w:hint="eastAsia" w:ascii="仿宋_GB2312" w:eastAsia="仿宋_GB2312"/>
          <w:sz w:val="32"/>
          <w:szCs w:val="32"/>
          <w:highlight w:val="none"/>
          <w:lang w:eastAsia="zh-CN"/>
        </w:rPr>
        <w:t>1713.45</w:t>
      </w:r>
      <w:r>
        <w:rPr>
          <w:rFonts w:hint="eastAsia" w:ascii="仿宋_GB2312" w:eastAsia="仿宋_GB2312"/>
          <w:sz w:val="32"/>
          <w:szCs w:val="32"/>
          <w:highlight w:val="none"/>
        </w:rPr>
        <w:t>万元，决算数</w:t>
      </w:r>
      <w:r>
        <w:rPr>
          <w:rFonts w:hint="eastAsia" w:ascii="仿宋_GB2312" w:eastAsia="仿宋_GB2312"/>
          <w:sz w:val="32"/>
          <w:szCs w:val="32"/>
          <w:highlight w:val="none"/>
          <w:lang w:eastAsia="zh-CN"/>
        </w:rPr>
        <w:t>5109.55</w:t>
      </w:r>
      <w:r>
        <w:rPr>
          <w:rFonts w:hint="eastAsia" w:ascii="仿宋_GB2312" w:eastAsia="仿宋_GB2312"/>
          <w:sz w:val="32"/>
          <w:szCs w:val="32"/>
          <w:highlight w:val="none"/>
        </w:rPr>
        <w:t>万元，预决算差异率198.20%，主要原因</w:t>
      </w:r>
      <w:r>
        <w:rPr>
          <w:rFonts w:hint="eastAsia" w:ascii="仿宋_GB2312" w:eastAsia="仿宋_GB2312"/>
          <w:sz w:val="32"/>
          <w:szCs w:val="32"/>
          <w:highlight w:val="none"/>
          <w:lang w:eastAsia="zh-CN"/>
        </w:rPr>
        <w:t>年中追加征地和拆迁补偿支出项目、土地开发支出、清死树、育新苗等项目经费，导致预决算差异率较大</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8" w:name="_Toc20360"/>
      <w:bookmarkStart w:id="9" w:name="_Toc13833"/>
      <w:r>
        <w:rPr>
          <w:rFonts w:hint="eastAsia" w:ascii="黑体" w:hAnsi="黑体" w:eastAsia="黑体" w:cs="宋体"/>
          <w:bCs/>
          <w:kern w:val="0"/>
          <w:sz w:val="32"/>
          <w:szCs w:val="32"/>
          <w:highlight w:val="none"/>
          <w:lang w:eastAsia="zh-CN"/>
        </w:rPr>
        <w:t>五、一般公共预算财政拨款支出决算情况说明</w:t>
      </w:r>
      <w:bookmarkEnd w:id="8"/>
      <w:bookmarkEnd w:id="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度一般公共预算财政拨款支出</w:t>
      </w:r>
      <w:r>
        <w:rPr>
          <w:rFonts w:hint="eastAsia" w:ascii="仿宋_GB2312" w:eastAsia="仿宋_GB2312"/>
          <w:sz w:val="32"/>
          <w:szCs w:val="32"/>
          <w:highlight w:val="none"/>
          <w:lang w:eastAsia="zh-CN"/>
        </w:rPr>
        <w:t>4849.80</w:t>
      </w:r>
      <w:r>
        <w:rPr>
          <w:rFonts w:hint="eastAsia" w:ascii="仿宋_GB2312" w:eastAsia="仿宋_GB2312"/>
          <w:sz w:val="32"/>
          <w:szCs w:val="32"/>
          <w:highlight w:val="none"/>
        </w:rPr>
        <w:t>万元。</w:t>
      </w:r>
      <w:r>
        <w:rPr>
          <w:rFonts w:hint="eastAsia" w:ascii="仿宋_GB2312" w:eastAsia="仿宋_GB2312"/>
          <w:sz w:val="32"/>
          <w:szCs w:val="32"/>
        </w:rPr>
        <w:t>按功能分类科目</w:t>
      </w:r>
      <w:r>
        <w:rPr>
          <w:rFonts w:hint="eastAsia" w:ascii="仿宋_GB2312" w:eastAsia="仿宋_GB2312"/>
          <w:sz w:val="32"/>
          <w:szCs w:val="32"/>
          <w:lang w:eastAsia="zh-CN"/>
        </w:rPr>
        <w:t>项</w:t>
      </w:r>
      <w:r>
        <w:rPr>
          <w:rFonts w:hint="eastAsia" w:ascii="仿宋_GB2312" w:eastAsia="仿宋_GB2312"/>
          <w:sz w:val="32"/>
          <w:szCs w:val="32"/>
        </w:rPr>
        <w:t>级科目公开</w:t>
      </w:r>
      <w:r>
        <w:rPr>
          <w:rFonts w:hint="eastAsia" w:ascii="仿宋_GB2312" w:eastAsia="仿宋_GB2312"/>
          <w:sz w:val="32"/>
          <w:szCs w:val="32"/>
          <w:lang w:eastAsia="zh-CN"/>
        </w:rPr>
        <w:t>，</w:t>
      </w:r>
      <w:r>
        <w:rPr>
          <w:rFonts w:hint="eastAsia" w:ascii="仿宋_GB2312" w:eastAsia="仿宋_GB2312"/>
          <w:sz w:val="32"/>
          <w:szCs w:val="32"/>
          <w:highlight w:val="none"/>
          <w:lang w:eastAsia="zh-CN"/>
        </w:rPr>
        <w:t>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2080501归口管理的行政单位离退休7.23</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2080502事业单位离退休0.73</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2080505机关事业单位基本养老保险缴费支出150.01</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left="638" w:leftChars="304" w:firstLine="0" w:firstLineChars="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2080506机关事业单位职业年金缴费支出20.24万元；2101101行政单位医疗信息35.07万元；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2101102事业单位医疗47.69万元；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2101103公务员医疗补助61.10万元；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2110602退耕现金681.26万元；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2120201城乡社区规划与管理151.18万元；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2130104事业运行69.16万元；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2130108病虫害控制31.42万元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2130110执法监管58.91万元；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2130135农业资源保护修复与利用10.69万元；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2130199其他农业支出25.60万元；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2130201行政运行123.49万元；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2130204事业机构169.98万元；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2130205森林培育467.51万元；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2130209森林生态效益补偿49.67万元；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2130212湿地保护500.00万元；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2130234防灾减灾7.00万元；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2130237行业业务管理35.92万元；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2130299 其他林业和草原支出1,118.83万元；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2200101行政运行327.60万元；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2200105土地资源调查416.55万元；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2200199其他自然资源事务支出</w:t>
      </w:r>
      <w:r>
        <w:rPr>
          <w:rFonts w:hint="eastAsia" w:ascii="仿宋_GB2312" w:eastAsia="仿宋_GB2312"/>
          <w:sz w:val="32"/>
          <w:szCs w:val="32"/>
          <w:highlight w:val="none"/>
        </w:rPr>
        <w:t>282.97万元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0" w:name="_Toc30870"/>
      <w:bookmarkStart w:id="11" w:name="_Toc11146"/>
      <w:r>
        <w:rPr>
          <w:rFonts w:hint="eastAsia" w:ascii="黑体" w:hAnsi="黑体" w:eastAsia="黑体" w:cs="宋体"/>
          <w:bCs/>
          <w:kern w:val="0"/>
          <w:sz w:val="32"/>
          <w:szCs w:val="32"/>
          <w:highlight w:val="none"/>
          <w:lang w:eastAsia="zh-CN"/>
        </w:rPr>
        <w:t>六、一般公共预算财政拨款基本支出决算情况说明</w:t>
      </w:r>
      <w:bookmarkEnd w:id="10"/>
      <w:bookmarkEnd w:id="1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lang w:val="en-US" w:eastAsia="zh-CN"/>
        </w:rPr>
        <w:t>2019</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一般公共预算财政拨款基本支出1630.91万元，其中：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人员经费1558.13万元，包括：基本工资</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津贴补贴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奖金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伙食补助费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绩效工资</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机关事业单位基本养老保险缴费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职业年金缴费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职工基本医疗保险缴费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公务员医疗补助缴费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其他社会保障缴费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住房公积金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其他工资福利支出</w:t>
      </w:r>
      <w:r>
        <w:rPr>
          <w:rFonts w:hint="eastAsia" w:ascii="仿宋_GB2312" w:eastAsia="仿宋_GB2312"/>
          <w:sz w:val="32"/>
          <w:szCs w:val="32"/>
          <w:highlight w:val="none"/>
          <w:lang w:eastAsia="zh-CN"/>
        </w:rPr>
        <w:t>、退休费、抚恤金、生活补助、其他对个人和家庭的补助。</w:t>
      </w:r>
    </w:p>
    <w:p>
      <w:pPr>
        <w:spacing w:line="54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公用经费72.78万元，包括：办公费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电费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邮电费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取暖费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差旅费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劳务费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工会经费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公务用车运行维护费</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2" w:name="_Toc21518"/>
      <w:bookmarkStart w:id="13" w:name="_Toc7190"/>
      <w:r>
        <w:rPr>
          <w:rFonts w:hint="eastAsia" w:ascii="黑体" w:hAnsi="黑体" w:eastAsia="黑体" w:cs="宋体"/>
          <w:bCs/>
          <w:kern w:val="0"/>
          <w:sz w:val="32"/>
          <w:szCs w:val="32"/>
          <w:highlight w:val="none"/>
          <w:lang w:eastAsia="zh-CN"/>
        </w:rPr>
        <w:t>七</w:t>
      </w:r>
      <w:r>
        <w:rPr>
          <w:rFonts w:hint="eastAsia" w:ascii="黑体" w:hAnsi="黑体" w:eastAsia="黑体" w:cs="宋体"/>
          <w:bCs/>
          <w:kern w:val="0"/>
          <w:sz w:val="32"/>
          <w:szCs w:val="32"/>
          <w:highlight w:val="none"/>
        </w:rPr>
        <w:t>、一般公共预算</w:t>
      </w:r>
      <w:r>
        <w:rPr>
          <w:rFonts w:hint="eastAsia" w:ascii="黑体" w:hAnsi="黑体" w:eastAsia="黑体" w:cs="宋体"/>
          <w:bCs/>
          <w:kern w:val="0"/>
          <w:sz w:val="32"/>
          <w:szCs w:val="32"/>
          <w:highlight w:val="none"/>
          <w:lang w:eastAsia="zh-CN"/>
        </w:rPr>
        <w:t>财政拨款</w:t>
      </w:r>
      <w:r>
        <w:rPr>
          <w:rFonts w:hint="eastAsia" w:ascii="黑体" w:hAnsi="黑体" w:eastAsia="黑体" w:cs="宋体"/>
          <w:bCs/>
          <w:kern w:val="0"/>
          <w:sz w:val="32"/>
          <w:szCs w:val="32"/>
          <w:highlight w:val="none"/>
        </w:rPr>
        <w:t>“三公”经费支出</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w:t>
      </w:r>
      <w:r>
        <w:rPr>
          <w:rFonts w:hint="eastAsia" w:ascii="黑体" w:hAnsi="黑体" w:eastAsia="黑体" w:cs="宋体"/>
          <w:bCs/>
          <w:kern w:val="0"/>
          <w:sz w:val="32"/>
          <w:szCs w:val="32"/>
          <w:highlight w:val="none"/>
          <w:lang w:eastAsia="zh-CN"/>
        </w:rPr>
        <w:t>说明</w:t>
      </w:r>
      <w:bookmarkEnd w:id="12"/>
      <w:bookmarkEnd w:id="13"/>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度一般公共预算“三公”经费支出决算13.84万元，比上年</w:t>
      </w:r>
      <w:r>
        <w:rPr>
          <w:rFonts w:hint="eastAsia" w:ascii="仿宋_GB2312" w:eastAsia="仿宋_GB2312"/>
          <w:sz w:val="32"/>
          <w:szCs w:val="32"/>
          <w:highlight w:val="none"/>
          <w:lang w:eastAsia="zh-CN"/>
        </w:rPr>
        <w:t>增加3.01</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rPr>
        <w:t>27.7</w:t>
      </w:r>
      <w:r>
        <w:rPr>
          <w:rFonts w:hint="eastAsia" w:ascii="仿宋_GB2312" w:eastAsia="仿宋_GB2312"/>
          <w:sz w:val="32"/>
          <w:szCs w:val="32"/>
          <w:highlight w:val="none"/>
          <w:lang w:val="en-US" w:eastAsia="zh-CN"/>
        </w:rPr>
        <w:t>9</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增加</w:t>
      </w:r>
      <w:r>
        <w:rPr>
          <w:rFonts w:hint="eastAsia" w:ascii="仿宋_GB2312" w:eastAsia="仿宋_GB2312"/>
          <w:sz w:val="32"/>
          <w:szCs w:val="32"/>
          <w:highlight w:val="none"/>
        </w:rPr>
        <w:t>原因是</w:t>
      </w:r>
      <w:r>
        <w:rPr>
          <w:rFonts w:hint="eastAsia" w:ascii="仿宋_GB2312" w:eastAsia="仿宋_GB2312"/>
          <w:sz w:val="32"/>
          <w:szCs w:val="32"/>
          <w:highlight w:val="none"/>
          <w:lang w:eastAsia="zh-CN"/>
        </w:rPr>
        <w:t>2019年国土局、林业局、规划局、草原站、草原监理所五个单位合并的新单位</w:t>
      </w:r>
      <w:r>
        <w:rPr>
          <w:rFonts w:hint="eastAsia" w:ascii="仿宋_GB2312" w:eastAsia="仿宋_GB2312"/>
          <w:sz w:val="32"/>
          <w:szCs w:val="32"/>
          <w:highlight w:val="none"/>
        </w:rPr>
        <w:t>。其中，因公出国（境）费支出0.00万元，占0.00%，比上年增加0.0万元，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rPr>
        <w:t>0%，</w:t>
      </w:r>
      <w:r>
        <w:rPr>
          <w:rFonts w:hint="eastAsia" w:ascii="仿宋_GB2312" w:eastAsia="仿宋_GB2312"/>
          <w:sz w:val="32"/>
          <w:szCs w:val="32"/>
          <w:highlight w:val="none"/>
          <w:lang w:eastAsia="zh-CN"/>
        </w:rPr>
        <w:t>主要</w:t>
      </w:r>
      <w:r>
        <w:rPr>
          <w:rFonts w:hint="eastAsia" w:ascii="仿宋_GB2312" w:eastAsia="仿宋_GB2312"/>
          <w:sz w:val="32"/>
          <w:szCs w:val="32"/>
          <w:highlight w:val="none"/>
        </w:rPr>
        <w:t>原因是</w:t>
      </w:r>
      <w:r>
        <w:rPr>
          <w:rFonts w:hint="eastAsia" w:ascii="仿宋_GB2312" w:eastAsia="仿宋_GB2312"/>
          <w:sz w:val="32"/>
          <w:szCs w:val="32"/>
          <w:highlight w:val="none"/>
          <w:lang w:eastAsia="zh-CN"/>
        </w:rPr>
        <w:t>无</w:t>
      </w:r>
      <w:r>
        <w:rPr>
          <w:rFonts w:hint="eastAsia" w:ascii="仿宋_GB2312" w:eastAsia="仿宋_GB2312"/>
          <w:sz w:val="32"/>
          <w:szCs w:val="32"/>
          <w:highlight w:val="none"/>
        </w:rPr>
        <w:t>因公出国（境）费；公务用车购置及运行维护费支出11.11万元，占80.28%，比上年</w:t>
      </w:r>
      <w:r>
        <w:rPr>
          <w:rFonts w:hint="eastAsia" w:ascii="仿宋_GB2312" w:eastAsia="仿宋_GB2312"/>
          <w:sz w:val="32"/>
          <w:szCs w:val="32"/>
          <w:highlight w:val="none"/>
          <w:lang w:eastAsia="zh-CN"/>
        </w:rPr>
        <w:t>增加</w:t>
      </w:r>
      <w:r>
        <w:rPr>
          <w:rFonts w:hint="eastAsia" w:ascii="仿宋_GB2312" w:eastAsia="仿宋_GB2312"/>
          <w:sz w:val="32"/>
          <w:szCs w:val="32"/>
          <w:highlight w:val="none"/>
        </w:rPr>
        <w:t>3.27万元，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rPr>
        <w:t>41.7</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w:t>
      </w:r>
      <w:r>
        <w:rPr>
          <w:rFonts w:hint="eastAsia" w:ascii="仿宋_GB2312" w:eastAsia="仿宋_GB2312"/>
          <w:sz w:val="32"/>
          <w:szCs w:val="32"/>
          <w:highlight w:val="none"/>
        </w:rPr>
        <w:t>原因是2019年国土局、林业局、规划局、草原站、草原监理所五个单位合并的新单位；公务接待费支出2.73万元，占19.72%，比上年</w:t>
      </w:r>
      <w:r>
        <w:rPr>
          <w:rFonts w:hint="eastAsia" w:ascii="仿宋_GB2312" w:eastAsia="仿宋_GB2312"/>
          <w:sz w:val="32"/>
          <w:szCs w:val="32"/>
          <w:highlight w:val="none"/>
          <w:lang w:eastAsia="zh-CN"/>
        </w:rPr>
        <w:t>减少0.26</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下降</w:t>
      </w:r>
      <w:r>
        <w:rPr>
          <w:rFonts w:hint="eastAsia" w:ascii="仿宋_GB2312" w:eastAsia="仿宋_GB2312"/>
          <w:sz w:val="32"/>
          <w:szCs w:val="32"/>
          <w:highlight w:val="none"/>
          <w:lang w:val="en-US" w:eastAsia="zh-CN"/>
        </w:rPr>
        <w:t>8.7</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w:t>
      </w:r>
      <w:r>
        <w:rPr>
          <w:rFonts w:hint="eastAsia" w:ascii="仿宋_GB2312" w:eastAsia="仿宋_GB2312"/>
          <w:sz w:val="32"/>
          <w:szCs w:val="32"/>
          <w:highlight w:val="none"/>
        </w:rPr>
        <w:t>原因是</w:t>
      </w:r>
      <w:r>
        <w:rPr>
          <w:rFonts w:hint="eastAsia" w:ascii="仿宋_GB2312" w:eastAsia="仿宋_GB2312"/>
          <w:sz w:val="32"/>
          <w:szCs w:val="32"/>
          <w:highlight w:val="none"/>
          <w:lang w:eastAsia="zh-CN"/>
        </w:rPr>
        <w:t>严格执行八项规定，减少接待支出</w:t>
      </w:r>
      <w:r>
        <w:rPr>
          <w:rFonts w:hint="eastAsia" w:ascii="仿宋_GB2312" w:eastAsia="仿宋_GB2312"/>
          <w:sz w:val="32"/>
          <w:szCs w:val="32"/>
          <w:highlight w:val="none"/>
        </w:rPr>
        <w:t>。具体情况如下：</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因公出国（境）费支出0.00万元。开支内容包括：</w:t>
      </w:r>
      <w:r>
        <w:rPr>
          <w:rFonts w:hint="eastAsia" w:ascii="仿宋_GB2312" w:eastAsia="仿宋_GB2312"/>
          <w:sz w:val="32"/>
          <w:szCs w:val="32"/>
          <w:highlight w:val="none"/>
          <w:lang w:eastAsia="zh-CN"/>
        </w:rPr>
        <w:t>无</w:t>
      </w:r>
      <w:r>
        <w:rPr>
          <w:rFonts w:hint="eastAsia" w:ascii="仿宋_GB2312" w:eastAsia="仿宋_GB2312"/>
          <w:sz w:val="32"/>
          <w:szCs w:val="32"/>
          <w:highlight w:val="none"/>
        </w:rPr>
        <w:t>因公出国（境）费。</w:t>
      </w:r>
      <w:r>
        <w:rPr>
          <w:rFonts w:hint="eastAsia" w:ascii="仿宋_GB2312" w:eastAsia="仿宋_GB2312"/>
          <w:sz w:val="32"/>
          <w:szCs w:val="32"/>
          <w:highlight w:val="none"/>
          <w:lang w:eastAsia="zh-CN"/>
        </w:rPr>
        <w:t>吉木萨尔县自然资源局全年安排</w:t>
      </w:r>
      <w:r>
        <w:rPr>
          <w:rFonts w:hint="eastAsia" w:ascii="仿宋_GB2312" w:eastAsia="仿宋_GB2312"/>
          <w:sz w:val="32"/>
          <w:szCs w:val="32"/>
          <w:highlight w:val="none"/>
        </w:rPr>
        <w:t>的</w:t>
      </w:r>
      <w:r>
        <w:rPr>
          <w:rFonts w:hint="eastAsia" w:ascii="仿宋_GB2312" w:eastAsia="仿宋_GB2312"/>
          <w:sz w:val="32"/>
          <w:szCs w:val="32"/>
          <w:highlight w:val="none"/>
          <w:lang w:eastAsia="zh-CN"/>
        </w:rPr>
        <w:t>因公</w:t>
      </w:r>
      <w:r>
        <w:rPr>
          <w:rFonts w:hint="eastAsia" w:ascii="仿宋_GB2312" w:eastAsia="仿宋_GB2312"/>
          <w:sz w:val="32"/>
          <w:szCs w:val="32"/>
          <w:highlight w:val="none"/>
        </w:rPr>
        <w:t>出国（境）团组0个，累计0人次。</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公务用车购置及运行维护费11.11万元,其中，公务用车购置0.00万元，公务用车运行维护费11.11万元。公务用车运行维护费开支内容包括</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主要用于公务用车燃料费、维修费、保险费等。公务用车购置</w:t>
      </w:r>
      <w:r>
        <w:rPr>
          <w:rFonts w:hint="eastAsia" w:ascii="仿宋_GB2312" w:eastAsia="仿宋_GB2312"/>
          <w:sz w:val="32"/>
          <w:szCs w:val="32"/>
          <w:highlight w:val="none"/>
          <w:lang w:eastAsia="zh-CN"/>
        </w:rPr>
        <w:t>数</w:t>
      </w:r>
      <w:r>
        <w:rPr>
          <w:rFonts w:hint="eastAsia" w:ascii="仿宋_GB2312" w:eastAsia="仿宋_GB2312"/>
          <w:sz w:val="32"/>
          <w:szCs w:val="32"/>
          <w:highlight w:val="none"/>
        </w:rPr>
        <w:t>0辆，公务用车保有量</w:t>
      </w:r>
      <w:r>
        <w:rPr>
          <w:rFonts w:hint="eastAsia" w:ascii="仿宋_GB2312" w:eastAsia="仿宋_GB2312"/>
          <w:sz w:val="32"/>
          <w:szCs w:val="32"/>
          <w:highlight w:val="none"/>
          <w:lang w:val="en-US" w:eastAsia="zh-CN"/>
        </w:rPr>
        <w:t>11</w:t>
      </w:r>
      <w:r>
        <w:rPr>
          <w:rFonts w:hint="eastAsia" w:ascii="仿宋_GB2312" w:eastAsia="仿宋_GB2312"/>
          <w:sz w:val="32"/>
          <w:szCs w:val="32"/>
          <w:highlight w:val="none"/>
        </w:rPr>
        <w:t>辆。</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公务接待费</w:t>
      </w:r>
      <w:r>
        <w:rPr>
          <w:rFonts w:hint="eastAsia" w:ascii="仿宋_GB2312" w:eastAsia="仿宋_GB2312"/>
          <w:sz w:val="32"/>
          <w:szCs w:val="32"/>
          <w:highlight w:val="none"/>
          <w:lang w:val="en-US" w:eastAsia="zh-CN"/>
        </w:rPr>
        <w:t>2.73</w:t>
      </w:r>
      <w:r>
        <w:rPr>
          <w:rFonts w:hint="eastAsia" w:ascii="仿宋_GB2312" w:eastAsia="仿宋_GB2312"/>
          <w:sz w:val="32"/>
          <w:szCs w:val="32"/>
          <w:highlight w:val="none"/>
        </w:rPr>
        <w:t>万元。开支内容包括</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接待上级单位检查来人。</w:t>
      </w:r>
      <w:r>
        <w:rPr>
          <w:rFonts w:hint="eastAsia" w:ascii="仿宋_GB2312" w:eastAsia="仿宋_GB2312"/>
          <w:sz w:val="32"/>
          <w:szCs w:val="32"/>
          <w:highlight w:val="none"/>
          <w:lang w:eastAsia="zh-CN"/>
        </w:rPr>
        <w:t>吉木萨尔县自然资源局全年安排的</w:t>
      </w:r>
      <w:r>
        <w:rPr>
          <w:rFonts w:hint="eastAsia" w:ascii="仿宋_GB2312" w:eastAsia="仿宋_GB2312"/>
          <w:sz w:val="32"/>
          <w:szCs w:val="32"/>
          <w:highlight w:val="none"/>
        </w:rPr>
        <w:t>国内公务接待</w:t>
      </w:r>
      <w:r>
        <w:rPr>
          <w:rFonts w:hint="eastAsia" w:ascii="仿宋_GB2312" w:eastAsia="仿宋_GB2312"/>
          <w:sz w:val="32"/>
          <w:szCs w:val="32"/>
          <w:highlight w:val="none"/>
          <w:lang w:val="en-US" w:eastAsia="zh-CN"/>
        </w:rPr>
        <w:t>39</w:t>
      </w:r>
      <w:r>
        <w:rPr>
          <w:rFonts w:hint="eastAsia" w:ascii="仿宋_GB2312" w:eastAsia="仿宋_GB2312"/>
          <w:sz w:val="32"/>
          <w:szCs w:val="32"/>
          <w:highlight w:val="none"/>
        </w:rPr>
        <w:t>批次，</w:t>
      </w:r>
      <w:r>
        <w:rPr>
          <w:rFonts w:hint="eastAsia" w:ascii="仿宋_GB2312" w:eastAsia="仿宋_GB2312"/>
          <w:sz w:val="32"/>
          <w:szCs w:val="32"/>
          <w:highlight w:val="none"/>
          <w:lang w:val="en-US" w:eastAsia="zh-CN"/>
        </w:rPr>
        <w:t>631</w:t>
      </w:r>
      <w:r>
        <w:rPr>
          <w:rFonts w:hint="eastAsia" w:ascii="仿宋_GB2312" w:eastAsia="仿宋_GB2312"/>
          <w:sz w:val="32"/>
          <w:szCs w:val="32"/>
          <w:highlight w:val="none"/>
        </w:rPr>
        <w:t>人次。</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与年初预算数相比情况：一般公共预算“三公”经费支出年初预算数13.84万元，决算数13.84万元，预决算差异率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主要原因是：预决算无差异</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其中：因公出国（境）费</w:t>
      </w:r>
      <w:r>
        <w:rPr>
          <w:rFonts w:hint="eastAsia" w:ascii="仿宋_GB2312" w:eastAsia="仿宋_GB2312"/>
          <w:sz w:val="32"/>
          <w:szCs w:val="32"/>
          <w:highlight w:val="none"/>
        </w:rPr>
        <w:t>预算数0.00万元，决算数0.00万元，预决算差异率0.00%，</w:t>
      </w:r>
      <w:r>
        <w:rPr>
          <w:rFonts w:hint="eastAsia" w:ascii="仿宋_GB2312" w:eastAsia="仿宋_GB2312"/>
          <w:sz w:val="32"/>
          <w:szCs w:val="32"/>
          <w:highlight w:val="none"/>
          <w:lang w:eastAsia="zh-CN"/>
        </w:rPr>
        <w:t>主要原因是：预算未安排</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公务用车购置</w:t>
      </w:r>
      <w:r>
        <w:rPr>
          <w:rFonts w:hint="eastAsia" w:ascii="仿宋_GB2312" w:eastAsia="仿宋_GB2312"/>
          <w:sz w:val="32"/>
          <w:szCs w:val="32"/>
          <w:highlight w:val="none"/>
        </w:rPr>
        <w:t>预算数0万元，决算数0.00万元，预决算差异率0.00%，</w:t>
      </w:r>
      <w:r>
        <w:rPr>
          <w:rFonts w:hint="eastAsia" w:ascii="仿宋_GB2312" w:eastAsia="仿宋_GB2312"/>
          <w:sz w:val="32"/>
          <w:szCs w:val="32"/>
          <w:highlight w:val="none"/>
          <w:lang w:eastAsia="zh-CN"/>
        </w:rPr>
        <w:t>主要原因是：预算未安排</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公务用车运行费</w:t>
      </w:r>
      <w:r>
        <w:rPr>
          <w:rFonts w:hint="eastAsia" w:ascii="仿宋_GB2312" w:eastAsia="仿宋_GB2312"/>
          <w:sz w:val="32"/>
          <w:szCs w:val="32"/>
          <w:highlight w:val="none"/>
        </w:rPr>
        <w:t>预算数11.11万元，决算数11.11万元，预决算差异率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主要原因是：预决算无差异</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公务接待费</w:t>
      </w:r>
      <w:r>
        <w:rPr>
          <w:rFonts w:hint="eastAsia" w:ascii="仿宋_GB2312" w:eastAsia="仿宋_GB2312"/>
          <w:sz w:val="32"/>
          <w:szCs w:val="32"/>
          <w:highlight w:val="none"/>
        </w:rPr>
        <w:t>预算数2.73万元，决算数2.73万元，预决算差异率0.00%，</w:t>
      </w:r>
      <w:r>
        <w:rPr>
          <w:rFonts w:hint="eastAsia" w:ascii="仿宋_GB2312" w:eastAsia="仿宋_GB2312"/>
          <w:sz w:val="32"/>
          <w:szCs w:val="32"/>
          <w:highlight w:val="none"/>
          <w:lang w:eastAsia="zh-CN"/>
        </w:rPr>
        <w:t>主要原因是：预算未安排</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4" w:name="_Toc5810"/>
      <w:bookmarkStart w:id="15" w:name="_Toc7927"/>
      <w:r>
        <w:rPr>
          <w:rFonts w:hint="eastAsia" w:ascii="黑体" w:hAnsi="黑体" w:eastAsia="黑体" w:cs="宋体"/>
          <w:bCs/>
          <w:kern w:val="0"/>
          <w:sz w:val="32"/>
          <w:szCs w:val="32"/>
          <w:highlight w:val="none"/>
          <w:lang w:eastAsia="zh-CN"/>
        </w:rPr>
        <w:t>八、政府性基金预算收入支出决算情况说明</w:t>
      </w:r>
      <w:bookmarkEnd w:id="14"/>
      <w:bookmarkEnd w:id="15"/>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度政府性基金预算财政拨款收入259.75万元，与上年相比，</w:t>
      </w:r>
      <w:r>
        <w:rPr>
          <w:rFonts w:hint="eastAsia" w:ascii="仿宋_GB2312" w:eastAsia="仿宋_GB2312"/>
          <w:sz w:val="32"/>
          <w:szCs w:val="32"/>
          <w:highlight w:val="none"/>
          <w:lang w:eastAsia="zh-CN"/>
        </w:rPr>
        <w:t>减少</w:t>
      </w:r>
      <w:r>
        <w:rPr>
          <w:rFonts w:hint="eastAsia" w:ascii="仿宋_GB2312" w:eastAsia="仿宋_GB2312"/>
          <w:sz w:val="32"/>
          <w:szCs w:val="32"/>
          <w:highlight w:val="none"/>
        </w:rPr>
        <w:t>96.10万元，</w:t>
      </w:r>
      <w:r>
        <w:rPr>
          <w:rFonts w:hint="eastAsia" w:ascii="仿宋_GB2312" w:eastAsia="仿宋_GB2312"/>
          <w:sz w:val="32"/>
          <w:szCs w:val="32"/>
          <w:highlight w:val="none"/>
          <w:lang w:eastAsia="zh-CN"/>
        </w:rPr>
        <w:t>下降</w:t>
      </w:r>
      <w:r>
        <w:rPr>
          <w:rFonts w:hint="eastAsia" w:ascii="仿宋_GB2312" w:eastAsia="仿宋_GB2312"/>
          <w:sz w:val="32"/>
          <w:szCs w:val="32"/>
          <w:highlight w:val="none"/>
        </w:rPr>
        <w:t>27.01%。</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土地征面积少，补偿款减少。政府性基金预算财政拨款支出259.75万元，与上年相比，</w:t>
      </w:r>
      <w:r>
        <w:rPr>
          <w:rFonts w:hint="eastAsia" w:ascii="仿宋_GB2312" w:eastAsia="仿宋_GB2312"/>
          <w:sz w:val="32"/>
          <w:szCs w:val="32"/>
          <w:highlight w:val="none"/>
          <w:lang w:eastAsia="zh-CN"/>
        </w:rPr>
        <w:t>减少</w:t>
      </w:r>
      <w:r>
        <w:rPr>
          <w:rFonts w:hint="eastAsia" w:ascii="仿宋_GB2312" w:eastAsia="仿宋_GB2312"/>
          <w:sz w:val="32"/>
          <w:szCs w:val="32"/>
          <w:highlight w:val="none"/>
        </w:rPr>
        <w:t>96.10万元，</w:t>
      </w:r>
      <w:r>
        <w:rPr>
          <w:rFonts w:hint="eastAsia" w:ascii="仿宋_GB2312" w:eastAsia="仿宋_GB2312"/>
          <w:sz w:val="32"/>
          <w:szCs w:val="32"/>
          <w:highlight w:val="none"/>
          <w:lang w:eastAsia="zh-CN"/>
        </w:rPr>
        <w:t>下降</w:t>
      </w:r>
      <w:r>
        <w:rPr>
          <w:rFonts w:hint="eastAsia" w:ascii="仿宋_GB2312" w:eastAsia="仿宋_GB2312"/>
          <w:sz w:val="32"/>
          <w:szCs w:val="32"/>
          <w:highlight w:val="none"/>
        </w:rPr>
        <w:t>27.01%。</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土地征面积少，补偿款减少。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6" w:name="_Toc1235"/>
      <w:bookmarkStart w:id="17" w:name="_Toc7314"/>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、其他重要事项的情况</w:t>
      </w:r>
      <w:r>
        <w:rPr>
          <w:rFonts w:hint="eastAsia" w:ascii="黑体" w:hAnsi="黑体" w:eastAsia="黑体" w:cs="宋体"/>
          <w:bCs/>
          <w:kern w:val="0"/>
          <w:sz w:val="32"/>
          <w:szCs w:val="32"/>
          <w:highlight w:val="none"/>
          <w:lang w:eastAsia="zh-CN"/>
        </w:rPr>
        <w:t>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18" w:name="_Toc14519"/>
      <w:bookmarkStart w:id="19"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18"/>
      <w:bookmarkEnd w:id="19"/>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2019年度吉木萨尔县自然资源局</w:t>
      </w:r>
      <w:r>
        <w:rPr>
          <w:rFonts w:hint="eastAsia" w:ascii="仿宋_GB2312" w:eastAsia="仿宋_GB2312"/>
          <w:sz w:val="32"/>
          <w:szCs w:val="32"/>
          <w:highlight w:val="none"/>
        </w:rPr>
        <w:t>部门机关运行经费支出72.78万元，比上年</w:t>
      </w:r>
      <w:r>
        <w:rPr>
          <w:rFonts w:hint="eastAsia" w:ascii="仿宋_GB2312" w:eastAsia="仿宋_GB2312"/>
          <w:sz w:val="32"/>
          <w:szCs w:val="32"/>
          <w:highlight w:val="none"/>
          <w:lang w:eastAsia="zh-CN"/>
        </w:rPr>
        <w:t>增加</w:t>
      </w:r>
      <w:r>
        <w:rPr>
          <w:rFonts w:hint="eastAsia" w:ascii="仿宋_GB2312" w:eastAsia="仿宋_GB2312"/>
          <w:sz w:val="32"/>
          <w:szCs w:val="32"/>
          <w:highlight w:val="none"/>
        </w:rPr>
        <w:t>28.21万元，</w:t>
      </w:r>
      <w:r>
        <w:rPr>
          <w:rFonts w:hint="eastAsia" w:ascii="仿宋_GB2312" w:eastAsia="仿宋_GB2312"/>
          <w:sz w:val="32"/>
          <w:szCs w:val="32"/>
          <w:highlight w:val="none"/>
          <w:lang w:eastAsia="zh-CN"/>
        </w:rPr>
        <w:t>增长63.</w:t>
      </w:r>
      <w:r>
        <w:rPr>
          <w:rFonts w:hint="eastAsia" w:ascii="仿宋_GB2312" w:eastAsia="仿宋_GB2312"/>
          <w:sz w:val="32"/>
          <w:szCs w:val="32"/>
          <w:highlight w:val="none"/>
          <w:lang w:val="en-US" w:eastAsia="zh-CN"/>
        </w:rPr>
        <w:t>29</w:t>
      </w:r>
      <w:r>
        <w:rPr>
          <w:rFonts w:hint="eastAsia" w:ascii="仿宋_GB2312" w:eastAsia="仿宋_GB2312"/>
          <w:sz w:val="32"/>
          <w:szCs w:val="32"/>
          <w:highlight w:val="none"/>
        </w:rPr>
        <w:t>%，主要原因是</w:t>
      </w:r>
      <w:r>
        <w:rPr>
          <w:rFonts w:hint="eastAsia" w:ascii="仿宋_GB2312" w:eastAsia="仿宋_GB2312"/>
          <w:sz w:val="32"/>
          <w:szCs w:val="32"/>
          <w:highlight w:val="none"/>
          <w:lang w:eastAsia="zh-CN"/>
        </w:rPr>
        <w:t>2019年国土局、林业局、规划局、草原站、草原监理所五个单位合并的新单位。</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0" w:name="_Toc26704"/>
      <w:bookmarkStart w:id="21" w:name="_Toc227"/>
      <w:r>
        <w:rPr>
          <w:rFonts w:hint="eastAsia" w:ascii="黑体" w:hAnsi="黑体" w:eastAsia="黑体"/>
          <w:sz w:val="32"/>
          <w:szCs w:val="32"/>
          <w:highlight w:val="none"/>
          <w:lang w:eastAsia="zh-CN"/>
        </w:rPr>
        <w:t>（二）政府采购情况</w:t>
      </w:r>
      <w:bookmarkEnd w:id="20"/>
      <w:bookmarkEnd w:id="21"/>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授予中小企业合同金额0.00万元，占政府采购支出总额的</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，其中：授予小微企业合同金额0.00万元，占政府采购支出总额的</w:t>
      </w:r>
      <w:r>
        <w:rPr>
          <w:rFonts w:hint="eastAsia" w:ascii="仿宋_GB2312" w:eastAsia="仿宋_GB2312"/>
          <w:sz w:val="32"/>
          <w:szCs w:val="32"/>
          <w:highlight w:val="none"/>
          <w:lang w:val="en-US" w:eastAsia="zh-CN"/>
        </w:rPr>
        <w:t>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2" w:name="_Toc4591"/>
      <w:bookmarkStart w:id="23" w:name="_Toc8391"/>
      <w:r>
        <w:rPr>
          <w:rFonts w:hint="eastAsia" w:ascii="黑体" w:hAnsi="黑体" w:eastAsia="黑体"/>
          <w:sz w:val="32"/>
          <w:szCs w:val="32"/>
          <w:highlight w:val="none"/>
          <w:lang w:eastAsia="zh-CN"/>
        </w:rPr>
        <w:t>（三）国有资产占用情况说明</w:t>
      </w:r>
      <w:bookmarkEnd w:id="22"/>
      <w:bookmarkEnd w:id="23"/>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截至</w:t>
      </w: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12月31日，单位共有房屋12700.00（平方米）</w:t>
      </w:r>
      <w:r>
        <w:rPr>
          <w:rFonts w:hint="eastAsia" w:ascii="仿宋_GB2312" w:eastAsia="仿宋_GB2312"/>
          <w:sz w:val="32"/>
          <w:szCs w:val="32"/>
          <w:highlight w:val="none"/>
          <w:lang w:eastAsia="zh-CN"/>
        </w:rPr>
        <w:t>，价值</w:t>
      </w:r>
      <w:r>
        <w:rPr>
          <w:rFonts w:hint="eastAsia" w:ascii="仿宋_GB2312" w:eastAsia="仿宋_GB2312"/>
          <w:sz w:val="32"/>
          <w:szCs w:val="32"/>
          <w:highlight w:val="none"/>
        </w:rPr>
        <w:t>1471.57万元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车辆</w:t>
      </w:r>
      <w:r>
        <w:rPr>
          <w:rFonts w:hint="eastAsia" w:ascii="仿宋_GB2312" w:eastAsia="仿宋_GB2312"/>
          <w:sz w:val="32"/>
          <w:szCs w:val="32"/>
          <w:highlight w:val="none"/>
          <w:lang w:val="en-US" w:eastAsia="zh-CN"/>
        </w:rPr>
        <w:t>11</w:t>
      </w:r>
      <w:r>
        <w:rPr>
          <w:rFonts w:hint="eastAsia" w:ascii="仿宋_GB2312" w:eastAsia="仿宋_GB2312"/>
          <w:sz w:val="32"/>
          <w:szCs w:val="32"/>
          <w:highlight w:val="none"/>
        </w:rPr>
        <w:t>辆，价值365.31万元，其中：副部（省）级及以上领导用车0辆、主要领导干部用车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辆、机要通信用车0辆、应急保障用车0辆、执法执勤用车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辆、特种专业技术用车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辆、离退休干部用车0辆、其他用车</w:t>
      </w:r>
      <w:r>
        <w:rPr>
          <w:rFonts w:hint="eastAsia" w:ascii="仿宋_GB2312" w:eastAsia="仿宋_GB2312"/>
          <w:sz w:val="32"/>
          <w:szCs w:val="32"/>
          <w:highlight w:val="none"/>
          <w:lang w:val="en-US" w:eastAsia="zh-CN"/>
        </w:rPr>
        <w:t>11</w:t>
      </w:r>
      <w:r>
        <w:rPr>
          <w:rFonts w:hint="eastAsia" w:ascii="仿宋_GB2312" w:eastAsia="仿宋_GB2312"/>
          <w:sz w:val="32"/>
          <w:szCs w:val="32"/>
          <w:highlight w:val="none"/>
        </w:rPr>
        <w:t>辆，其他用车主要是：</w:t>
      </w:r>
      <w:r>
        <w:rPr>
          <w:rFonts w:hint="eastAsia" w:ascii="仿宋_GB2312" w:eastAsia="仿宋_GB2312"/>
          <w:sz w:val="32"/>
          <w:szCs w:val="32"/>
          <w:highlight w:val="none"/>
          <w:lang w:eastAsia="zh-CN"/>
        </w:rPr>
        <w:t>越野车、皮卡车</w:t>
      </w:r>
      <w:r>
        <w:rPr>
          <w:rFonts w:hint="eastAsia" w:ascii="仿宋_GB2312" w:eastAsia="仿宋_GB2312"/>
          <w:sz w:val="32"/>
          <w:szCs w:val="32"/>
          <w:highlight w:val="none"/>
        </w:rPr>
        <w:t>；单位价值50万元以上通用设备</w:t>
      </w:r>
      <w:r>
        <w:rPr>
          <w:rFonts w:hint="eastAsia" w:ascii="仿宋_GB2312" w:eastAsia="仿宋_GB2312"/>
          <w:sz w:val="32"/>
          <w:szCs w:val="32"/>
          <w:highlight w:val="none"/>
          <w:lang w:val="en-US" w:eastAsia="zh-CN"/>
        </w:rPr>
        <w:t>11</w:t>
      </w:r>
      <w:r>
        <w:rPr>
          <w:rFonts w:hint="eastAsia" w:ascii="仿宋_GB2312" w:eastAsia="仿宋_GB2312"/>
          <w:sz w:val="32"/>
          <w:szCs w:val="32"/>
          <w:highlight w:val="none"/>
        </w:rPr>
        <w:t>台（套）、单位价值100万元以上专用设备</w:t>
      </w:r>
      <w:r>
        <w:rPr>
          <w:rFonts w:hint="eastAsia" w:ascii="仿宋_GB2312" w:eastAsia="仿宋_GB2312"/>
          <w:sz w:val="32"/>
          <w:szCs w:val="32"/>
          <w:highlight w:val="none"/>
          <w:lang w:val="en-US" w:eastAsia="zh-CN"/>
        </w:rPr>
        <w:t>14</w:t>
      </w:r>
      <w:r>
        <w:rPr>
          <w:rFonts w:hint="eastAsia" w:ascii="仿宋_GB2312" w:eastAsia="仿宋_GB2312"/>
          <w:sz w:val="32"/>
          <w:szCs w:val="32"/>
          <w:highlight w:val="none"/>
        </w:rPr>
        <w:t>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4" w:name="_Toc435"/>
      <w:bookmarkStart w:id="25" w:name="_Toc11283"/>
      <w:r>
        <w:rPr>
          <w:rFonts w:hint="eastAsia" w:ascii="黑体" w:hAnsi="黑体" w:eastAsia="黑体" w:cs="宋体"/>
          <w:bCs/>
          <w:kern w:val="0"/>
          <w:sz w:val="32"/>
          <w:szCs w:val="32"/>
          <w:highlight w:val="none"/>
          <w:lang w:eastAsia="zh-CN"/>
        </w:rPr>
        <w:t>十、预算绩效的情况说明</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w:t>
      </w:r>
      <w:r>
        <w:rPr>
          <w:rFonts w:hint="eastAsia" w:ascii="仿宋_GB2312" w:eastAsia="仿宋_GB2312"/>
          <w:sz w:val="32"/>
          <w:szCs w:val="32"/>
          <w:highlight w:val="none"/>
          <w:lang w:val="en-US" w:eastAsia="zh-CN"/>
        </w:rPr>
        <w:t>2019</w:t>
      </w:r>
      <w:r>
        <w:rPr>
          <w:rFonts w:hint="eastAsia" w:ascii="仿宋_GB2312" w:eastAsia="仿宋_GB2312"/>
          <w:sz w:val="32"/>
          <w:szCs w:val="32"/>
          <w:highlight w:val="none"/>
          <w:lang w:eastAsia="zh-CN"/>
        </w:rPr>
        <w:t>年度开展预算绩效评价项目</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个，共涉及资金</w:t>
      </w:r>
      <w:r>
        <w:rPr>
          <w:rFonts w:hint="eastAsia" w:ascii="仿宋_GB2312" w:eastAsia="仿宋_GB2312"/>
          <w:sz w:val="32"/>
          <w:szCs w:val="32"/>
          <w:highlight w:val="none"/>
          <w:lang w:val="en-US" w:eastAsia="zh-CN"/>
        </w:rPr>
        <w:t>337.61</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预算绩效管理取得的成效：加强制度建设，打牢绩效管理工作基础。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w:t>
      </w:r>
      <w:r>
        <w:rPr>
          <w:rFonts w:hint="eastAsia" w:ascii="仿宋_GB2312" w:eastAsia="仿宋_GB2312"/>
          <w:sz w:val="32"/>
          <w:szCs w:val="32"/>
          <w:highlight w:val="none"/>
        </w:rPr>
        <w:t>项目自评情况附项目支出绩效自评表。</w:t>
      </w:r>
    </w:p>
    <w:tbl>
      <w:tblPr>
        <w:tblStyle w:val="13"/>
        <w:tblW w:w="8910" w:type="dxa"/>
        <w:tblInd w:w="0" w:type="dxa"/>
        <w:shd w:val="clear" w:color="auto" w:fill="auto"/>
        <w:tblLayout w:type="fixed"/>
        <w:tblCellMar>
          <w:top w:w="0" w:type="dxa"/>
          <w:left w:w="0" w:type="dxa"/>
          <w:bottom w:w="0" w:type="dxa"/>
          <w:right w:w="0" w:type="dxa"/>
        </w:tblCellMar>
      </w:tblPr>
      <w:tblGrid>
        <w:gridCol w:w="556"/>
        <w:gridCol w:w="16"/>
        <w:gridCol w:w="11"/>
        <w:gridCol w:w="47"/>
        <w:gridCol w:w="368"/>
        <w:gridCol w:w="19"/>
        <w:gridCol w:w="18"/>
        <w:gridCol w:w="27"/>
        <w:gridCol w:w="720"/>
        <w:gridCol w:w="62"/>
        <w:gridCol w:w="8"/>
        <w:gridCol w:w="353"/>
        <w:gridCol w:w="364"/>
        <w:gridCol w:w="102"/>
        <w:gridCol w:w="12"/>
        <w:gridCol w:w="407"/>
        <w:gridCol w:w="352"/>
        <w:gridCol w:w="139"/>
        <w:gridCol w:w="37"/>
        <w:gridCol w:w="97"/>
        <w:gridCol w:w="150"/>
        <w:gridCol w:w="58"/>
        <w:gridCol w:w="214"/>
        <w:gridCol w:w="318"/>
        <w:gridCol w:w="273"/>
        <w:gridCol w:w="30"/>
        <w:gridCol w:w="70"/>
        <w:gridCol w:w="557"/>
        <w:gridCol w:w="125"/>
        <w:gridCol w:w="78"/>
        <w:gridCol w:w="105"/>
        <w:gridCol w:w="97"/>
        <w:gridCol w:w="75"/>
        <w:gridCol w:w="97"/>
        <w:gridCol w:w="113"/>
        <w:gridCol w:w="169"/>
        <w:gridCol w:w="58"/>
        <w:gridCol w:w="78"/>
        <w:gridCol w:w="70"/>
        <w:gridCol w:w="317"/>
        <w:gridCol w:w="50"/>
        <w:gridCol w:w="57"/>
        <w:gridCol w:w="26"/>
        <w:gridCol w:w="6"/>
        <w:gridCol w:w="44"/>
        <w:gridCol w:w="53"/>
        <w:gridCol w:w="362"/>
        <w:gridCol w:w="165"/>
        <w:gridCol w:w="100"/>
        <w:gridCol w:w="30"/>
        <w:gridCol w:w="27"/>
        <w:gridCol w:w="533"/>
        <w:gridCol w:w="116"/>
        <w:gridCol w:w="574"/>
      </w:tblGrid>
      <w:tr>
        <w:tblPrEx>
          <w:shd w:val="clear" w:color="auto" w:fill="auto"/>
          <w:tblLayout w:type="fixed"/>
          <w:tblCellMar>
            <w:top w:w="0" w:type="dxa"/>
            <w:left w:w="0" w:type="dxa"/>
            <w:bottom w:w="0" w:type="dxa"/>
            <w:right w:w="0" w:type="dxa"/>
          </w:tblCellMar>
        </w:tblPrEx>
        <w:trPr>
          <w:trHeight w:val="405" w:hRule="atLeast"/>
        </w:trPr>
        <w:tc>
          <w:tcPr>
            <w:tcW w:w="8910" w:type="dxa"/>
            <w:gridSpan w:val="5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8910" w:type="dxa"/>
            <w:gridSpan w:val="5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101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7893" w:type="dxa"/>
            <w:gridSpan w:val="4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吉木萨尔北庭国家湿地公园</w:t>
            </w:r>
          </w:p>
        </w:tc>
      </w:tr>
      <w:tr>
        <w:tblPrEx>
          <w:tblLayout w:type="fixed"/>
          <w:tblCellMar>
            <w:top w:w="0" w:type="dxa"/>
            <w:left w:w="0" w:type="dxa"/>
            <w:bottom w:w="0" w:type="dxa"/>
            <w:right w:w="0" w:type="dxa"/>
          </w:tblCellMar>
        </w:tblPrEx>
        <w:trPr>
          <w:trHeight w:val="319" w:hRule="atLeast"/>
        </w:trPr>
        <w:tc>
          <w:tcPr>
            <w:tcW w:w="101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4368" w:type="dxa"/>
            <w:gridSpan w:val="2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吉木萨尔县自然资源局</w:t>
            </w:r>
          </w:p>
        </w:tc>
        <w:tc>
          <w:tcPr>
            <w:tcW w:w="1065"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2460" w:type="dxa"/>
            <w:gridSpan w:val="1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吉木萨尔县自然资源局</w:t>
            </w:r>
          </w:p>
        </w:tc>
      </w:tr>
      <w:tr>
        <w:tblPrEx>
          <w:tblLayout w:type="fixed"/>
          <w:tblCellMar>
            <w:top w:w="0" w:type="dxa"/>
            <w:left w:w="0" w:type="dxa"/>
            <w:bottom w:w="0" w:type="dxa"/>
            <w:right w:w="0" w:type="dxa"/>
          </w:tblCellMar>
        </w:tblPrEx>
        <w:trPr>
          <w:trHeight w:val="600" w:hRule="atLeast"/>
        </w:trPr>
        <w:tc>
          <w:tcPr>
            <w:tcW w:w="1017"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       （万元）</w:t>
            </w:r>
          </w:p>
        </w:tc>
        <w:tc>
          <w:tcPr>
            <w:tcW w:w="20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4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年初预算数</w:t>
            </w:r>
          </w:p>
        </w:tc>
        <w:tc>
          <w:tcPr>
            <w:tcW w:w="124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w:t>
            </w:r>
          </w:p>
        </w:tc>
        <w:tc>
          <w:tcPr>
            <w:tcW w:w="1065"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w:t>
            </w:r>
          </w:p>
        </w:tc>
        <w:tc>
          <w:tcPr>
            <w:tcW w:w="91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85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执行率</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101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04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300.00 </w:t>
            </w:r>
          </w:p>
        </w:tc>
        <w:tc>
          <w:tcPr>
            <w:tcW w:w="124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300.00 </w:t>
            </w:r>
          </w:p>
        </w:tc>
        <w:tc>
          <w:tcPr>
            <w:tcW w:w="1065"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300.00 </w:t>
            </w:r>
          </w:p>
        </w:tc>
        <w:tc>
          <w:tcPr>
            <w:tcW w:w="91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85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101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其中：当年财政拨款</w:t>
            </w:r>
          </w:p>
        </w:tc>
        <w:tc>
          <w:tcPr>
            <w:tcW w:w="104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300.00 </w:t>
            </w:r>
          </w:p>
        </w:tc>
        <w:tc>
          <w:tcPr>
            <w:tcW w:w="124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300.00 </w:t>
            </w:r>
          </w:p>
        </w:tc>
        <w:tc>
          <w:tcPr>
            <w:tcW w:w="1065"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300.00 </w:t>
            </w:r>
          </w:p>
        </w:tc>
        <w:tc>
          <w:tcPr>
            <w:tcW w:w="91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85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01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上年结转资金</w:t>
            </w:r>
          </w:p>
        </w:tc>
        <w:tc>
          <w:tcPr>
            <w:tcW w:w="104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65"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1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85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01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其他资金</w:t>
            </w:r>
          </w:p>
        </w:tc>
        <w:tc>
          <w:tcPr>
            <w:tcW w:w="104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65"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1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85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63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4755" w:type="dxa"/>
            <w:gridSpan w:val="2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3525" w:type="dxa"/>
            <w:gridSpan w:val="2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实际完成情况</w:t>
            </w:r>
          </w:p>
        </w:tc>
      </w:tr>
      <w:tr>
        <w:tblPrEx>
          <w:tblLayout w:type="fixed"/>
          <w:tblCellMar>
            <w:top w:w="0" w:type="dxa"/>
            <w:left w:w="0" w:type="dxa"/>
            <w:bottom w:w="0" w:type="dxa"/>
            <w:right w:w="0" w:type="dxa"/>
          </w:tblCellMar>
        </w:tblPrEx>
        <w:trPr>
          <w:trHeight w:val="2040" w:hRule="atLeast"/>
        </w:trPr>
        <w:tc>
          <w:tcPr>
            <w:tcW w:w="63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755" w:type="dxa"/>
            <w:gridSpan w:val="2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湿地公园于2014年12月经国家林业局批准(林湿发[2014]205号)同意开展试点建设，规划面积1492公顷，全长40公里，分生态保育区、宣教展示区、恢复重建区、合理利用区及管理服务区等设施建设。2019年迎接国家林业和草原局试点验收，验收通过后将对吉木萨尔县湿地生态恢复，人居环境改善，以及主推全域旅游的发展起到积极作用。2019计划完成核心区宣教长廊、木栈道、草坪灯、射灯、墙头灯、地角灯安装工程</w:t>
            </w:r>
          </w:p>
        </w:tc>
        <w:tc>
          <w:tcPr>
            <w:tcW w:w="3525" w:type="dxa"/>
            <w:gridSpan w:val="2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已完成核心区观鸟塔、宣教长廊、木栈道、草坪灯、射灯、墙头灯、地角灯安装工程，基本完成《新疆吉木萨尔北庭国家湿地公园（试点）建设总体规划》中剩余建设任务，并迎接国家林业和草原局试点验收。</w:t>
            </w:r>
          </w:p>
        </w:tc>
      </w:tr>
      <w:tr>
        <w:tblPrEx>
          <w:tblLayout w:type="fixed"/>
          <w:tblCellMar>
            <w:top w:w="0" w:type="dxa"/>
            <w:left w:w="0" w:type="dxa"/>
            <w:bottom w:w="0" w:type="dxa"/>
            <w:right w:w="0" w:type="dxa"/>
          </w:tblCellMar>
        </w:tblPrEx>
        <w:trPr>
          <w:trHeight w:val="319" w:hRule="atLeast"/>
        </w:trPr>
        <w:tc>
          <w:tcPr>
            <w:tcW w:w="630"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              效    指    标</w:t>
            </w:r>
          </w:p>
        </w:tc>
        <w:tc>
          <w:tcPr>
            <w:tcW w:w="3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1188"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2250" w:type="dxa"/>
            <w:gridSpan w:val="1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w:t>
            </w:r>
          </w:p>
        </w:tc>
        <w:tc>
          <w:tcPr>
            <w:tcW w:w="825" w:type="dxa"/>
            <w:gridSpan w:val="8"/>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630"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c>
          <w:tcPr>
            <w:tcW w:w="1380"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偏差原因分析及改进措施</w:t>
            </w:r>
          </w:p>
        </w:tc>
      </w:tr>
      <w:tr>
        <w:tblPrEx>
          <w:tblLayout w:type="fixed"/>
          <w:tblCellMar>
            <w:top w:w="0" w:type="dxa"/>
            <w:left w:w="0" w:type="dxa"/>
            <w:bottom w:w="0" w:type="dxa"/>
            <w:right w:w="0" w:type="dxa"/>
          </w:tblCellMar>
        </w:tblPrEx>
        <w:trPr>
          <w:trHeight w:val="944"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50"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完成值</w:t>
            </w:r>
          </w:p>
        </w:tc>
        <w:tc>
          <w:tcPr>
            <w:tcW w:w="825"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8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19"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产出指标</w:t>
            </w:r>
          </w:p>
        </w:tc>
        <w:tc>
          <w:tcPr>
            <w:tcW w:w="1188"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观鸟塔</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1个</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1个</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trHeight w:val="560"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宣教长廊</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21"/>
                <w:sz w:val="20"/>
                <w:szCs w:val="20"/>
                <w:lang w:val="en-US" w:eastAsia="zh-CN" w:bidi="ar"/>
              </w:rPr>
              <w:t>500</w:t>
            </w:r>
            <w:r>
              <w:rPr>
                <w:rStyle w:val="19"/>
                <w:sz w:val="20"/>
                <w:szCs w:val="20"/>
                <w:lang w:val="en-US" w:eastAsia="zh-CN" w:bidi="ar"/>
              </w:rPr>
              <w:t>㎡</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21"/>
                <w:sz w:val="20"/>
                <w:szCs w:val="20"/>
                <w:lang w:val="en-US" w:eastAsia="zh-CN" w:bidi="ar"/>
              </w:rPr>
              <w:t>500</w:t>
            </w:r>
            <w:r>
              <w:rPr>
                <w:rStyle w:val="19"/>
                <w:sz w:val="20"/>
                <w:szCs w:val="20"/>
                <w:lang w:val="en-US" w:eastAsia="zh-CN" w:bidi="ar"/>
              </w:rPr>
              <w:t>㎡</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trHeight w:val="560"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木栈道</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2500㎡</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2500㎡</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465" w:type="dxa"/>
            <w:gridSpan w:val="4"/>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6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trHeight w:val="620"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草坪灯、射灯、墙头灯、地角灯</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618个</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618个</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trHeight w:val="319"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项目完工及验收率</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trHeight w:val="319"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资金保障率</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trHeight w:val="319"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资金支付及时率</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trHeight w:val="319"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工程费用</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240</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240</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trHeight w:val="319"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人工费用</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trHeight w:val="480"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w:t>
            </w:r>
          </w:p>
        </w:tc>
        <w:tc>
          <w:tcPr>
            <w:tcW w:w="1188"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18"/>
                <w:szCs w:val="18"/>
                <w:u w:val="none"/>
                <w:lang w:val="en-US" w:eastAsia="zh-CN" w:bidi="ar"/>
              </w:rPr>
              <w:t>经济效益指标</w:t>
            </w: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trHeight w:val="540"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有效促进湿地文化和生态文明的形成和传播</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促进</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促进</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trHeight w:val="840"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有效提高社会各界爱护湿地、保护环境的意识</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trHeight w:val="600"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生态效益指标</w:t>
            </w: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调节气候，提高湿地公园涵养水源功能</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trHeight w:val="780"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丰富湿地生物多样性，保护野生动植物资源及栖息地环境</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改善</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改善</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trHeight w:val="700"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88"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保护湿地资源，改善全县生态环境</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50年</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50年</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trHeight w:val="319" w:hRule="atLeast"/>
        </w:trPr>
        <w:tc>
          <w:tcPr>
            <w:tcW w:w="63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7"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1188"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服务对象满意度指标</w:t>
            </w:r>
          </w:p>
        </w:tc>
        <w:tc>
          <w:tcPr>
            <w:tcW w:w="22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受益群众满意度</w:t>
            </w:r>
          </w:p>
        </w:tc>
        <w:tc>
          <w:tcPr>
            <w:tcW w:w="9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trHeight w:val="319" w:hRule="atLeast"/>
        </w:trPr>
        <w:tc>
          <w:tcPr>
            <w:tcW w:w="6075" w:type="dxa"/>
            <w:gridSpan w:val="3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总分</w:t>
            </w:r>
          </w:p>
        </w:tc>
        <w:tc>
          <w:tcPr>
            <w:tcW w:w="82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w:t>
            </w:r>
          </w:p>
        </w:tc>
        <w:tc>
          <w:tcPr>
            <w:tcW w:w="13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405" w:hRule="atLeast"/>
        </w:trPr>
        <w:tc>
          <w:tcPr>
            <w:tcW w:w="8336" w:type="dxa"/>
            <w:gridSpan w:val="5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Layout w:type="fixed"/>
          <w:tblCellMar>
            <w:top w:w="0" w:type="dxa"/>
            <w:left w:w="0" w:type="dxa"/>
            <w:bottom w:w="0" w:type="dxa"/>
            <w:right w:w="0" w:type="dxa"/>
          </w:tblCellMar>
        </w:tblPrEx>
        <w:trPr>
          <w:gridAfter w:val="1"/>
          <w:wAfter w:w="574" w:type="dxa"/>
          <w:trHeight w:val="405" w:hRule="atLeast"/>
        </w:trPr>
        <w:tc>
          <w:tcPr>
            <w:tcW w:w="8336" w:type="dxa"/>
            <w:gridSpan w:val="5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（2019年度）</w:t>
            </w:r>
          </w:p>
        </w:tc>
      </w:tr>
      <w:tr>
        <w:tblPrEx>
          <w:tblLayout w:type="fixed"/>
          <w:tblCellMar>
            <w:top w:w="0" w:type="dxa"/>
            <w:left w:w="0" w:type="dxa"/>
            <w:bottom w:w="0" w:type="dxa"/>
            <w:right w:w="0" w:type="dxa"/>
          </w:tblCellMar>
        </w:tblPrEx>
        <w:trPr>
          <w:gridAfter w:val="1"/>
          <w:wAfter w:w="574" w:type="dxa"/>
          <w:trHeight w:val="319" w:hRule="atLeast"/>
        </w:trPr>
        <w:tc>
          <w:tcPr>
            <w:tcW w:w="99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项目名称</w:t>
            </w:r>
          </w:p>
        </w:tc>
        <w:tc>
          <w:tcPr>
            <w:tcW w:w="7338" w:type="dxa"/>
            <w:gridSpan w:val="4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吉木萨尔县历史文化名城保护规划</w:t>
            </w:r>
          </w:p>
        </w:tc>
      </w:tr>
      <w:tr>
        <w:tblPrEx>
          <w:tblLayout w:type="fixed"/>
          <w:tblCellMar>
            <w:top w:w="0" w:type="dxa"/>
            <w:left w:w="0" w:type="dxa"/>
            <w:bottom w:w="0" w:type="dxa"/>
            <w:right w:w="0" w:type="dxa"/>
          </w:tblCellMar>
        </w:tblPrEx>
        <w:trPr>
          <w:gridAfter w:val="1"/>
          <w:wAfter w:w="574" w:type="dxa"/>
          <w:trHeight w:val="319" w:hRule="atLeast"/>
        </w:trPr>
        <w:tc>
          <w:tcPr>
            <w:tcW w:w="99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主管部门</w:t>
            </w:r>
          </w:p>
        </w:tc>
        <w:tc>
          <w:tcPr>
            <w:tcW w:w="3760" w:type="dxa"/>
            <w:gridSpan w:val="2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吉木萨尔县自然资源局</w:t>
            </w:r>
          </w:p>
        </w:tc>
        <w:tc>
          <w:tcPr>
            <w:tcW w:w="120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实施单位</w:t>
            </w:r>
          </w:p>
        </w:tc>
        <w:tc>
          <w:tcPr>
            <w:tcW w:w="2374" w:type="dxa"/>
            <w:gridSpan w:val="1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吉木萨尔县自然资源局</w:t>
            </w:r>
          </w:p>
        </w:tc>
      </w:tr>
      <w:tr>
        <w:tblPrEx>
          <w:tblLayout w:type="fixed"/>
          <w:tblCellMar>
            <w:top w:w="0" w:type="dxa"/>
            <w:left w:w="0" w:type="dxa"/>
            <w:bottom w:w="0" w:type="dxa"/>
            <w:right w:w="0" w:type="dxa"/>
          </w:tblCellMar>
        </w:tblPrEx>
        <w:trPr>
          <w:gridAfter w:val="1"/>
          <w:wAfter w:w="574" w:type="dxa"/>
          <w:trHeight w:val="319" w:hRule="atLeast"/>
        </w:trPr>
        <w:tc>
          <w:tcPr>
            <w:tcW w:w="998"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项目资金       （万元）</w:t>
            </w:r>
          </w:p>
        </w:tc>
        <w:tc>
          <w:tcPr>
            <w:tcW w:w="1571"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年初预算数</w:t>
            </w:r>
          </w:p>
        </w:tc>
        <w:tc>
          <w:tcPr>
            <w:tcW w:w="1316"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全年预算数</w:t>
            </w:r>
          </w:p>
        </w:tc>
        <w:tc>
          <w:tcPr>
            <w:tcW w:w="120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全年执行数</w:t>
            </w: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分值</w:t>
            </w:r>
          </w:p>
        </w:tc>
        <w:tc>
          <w:tcPr>
            <w:tcW w:w="81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执行率</w:t>
            </w:r>
          </w:p>
        </w:tc>
        <w:tc>
          <w:tcPr>
            <w:tcW w:w="64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得分</w:t>
            </w:r>
          </w:p>
        </w:tc>
      </w:tr>
      <w:tr>
        <w:tblPrEx>
          <w:tblLayout w:type="fixed"/>
          <w:tblCellMar>
            <w:top w:w="0" w:type="dxa"/>
            <w:left w:w="0" w:type="dxa"/>
            <w:bottom w:w="0" w:type="dxa"/>
            <w:right w:w="0" w:type="dxa"/>
          </w:tblCellMar>
        </w:tblPrEx>
        <w:trPr>
          <w:gridAfter w:val="1"/>
          <w:wAfter w:w="574" w:type="dxa"/>
          <w:trHeight w:val="319" w:hRule="atLeast"/>
        </w:trPr>
        <w:tc>
          <w:tcPr>
            <w:tcW w:w="998"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71"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年度资金总额</w:t>
            </w:r>
          </w:p>
        </w:tc>
        <w:tc>
          <w:tcPr>
            <w:tcW w:w="8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316"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20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81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64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r>
      <w:tr>
        <w:tblPrEx>
          <w:tblLayout w:type="fixed"/>
          <w:tblCellMar>
            <w:top w:w="0" w:type="dxa"/>
            <w:left w:w="0" w:type="dxa"/>
            <w:bottom w:w="0" w:type="dxa"/>
            <w:right w:w="0" w:type="dxa"/>
          </w:tblCellMar>
        </w:tblPrEx>
        <w:trPr>
          <w:gridAfter w:val="1"/>
          <w:wAfter w:w="574" w:type="dxa"/>
          <w:trHeight w:val="319" w:hRule="atLeast"/>
        </w:trPr>
        <w:tc>
          <w:tcPr>
            <w:tcW w:w="998"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71"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其中：当年财政拨款</w:t>
            </w:r>
          </w:p>
        </w:tc>
        <w:tc>
          <w:tcPr>
            <w:tcW w:w="8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316"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20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81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4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tblLayout w:type="fixed"/>
          <w:tblCellMar>
            <w:top w:w="0" w:type="dxa"/>
            <w:left w:w="0" w:type="dxa"/>
            <w:bottom w:w="0" w:type="dxa"/>
            <w:right w:w="0" w:type="dxa"/>
          </w:tblCellMar>
        </w:tblPrEx>
        <w:trPr>
          <w:gridAfter w:val="1"/>
          <w:wAfter w:w="574" w:type="dxa"/>
          <w:trHeight w:val="319" w:hRule="atLeast"/>
        </w:trPr>
        <w:tc>
          <w:tcPr>
            <w:tcW w:w="998"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71"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上年结转资金</w:t>
            </w:r>
          </w:p>
        </w:tc>
        <w:tc>
          <w:tcPr>
            <w:tcW w:w="8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16"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0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81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4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tblLayout w:type="fixed"/>
          <w:tblCellMar>
            <w:top w:w="0" w:type="dxa"/>
            <w:left w:w="0" w:type="dxa"/>
            <w:bottom w:w="0" w:type="dxa"/>
            <w:right w:w="0" w:type="dxa"/>
          </w:tblCellMar>
        </w:tblPrEx>
        <w:trPr>
          <w:gridAfter w:val="1"/>
          <w:wAfter w:w="574" w:type="dxa"/>
          <w:trHeight w:val="319" w:hRule="atLeast"/>
        </w:trPr>
        <w:tc>
          <w:tcPr>
            <w:tcW w:w="998"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71"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其他资金</w:t>
            </w:r>
          </w:p>
        </w:tc>
        <w:tc>
          <w:tcPr>
            <w:tcW w:w="8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16"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0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1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81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4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tblLayout w:type="fixed"/>
          <w:tblCellMar>
            <w:top w:w="0" w:type="dxa"/>
            <w:left w:w="0" w:type="dxa"/>
            <w:bottom w:w="0" w:type="dxa"/>
            <w:right w:w="0" w:type="dxa"/>
          </w:tblCellMar>
        </w:tblPrEx>
        <w:trPr>
          <w:gridAfter w:val="1"/>
          <w:wAfter w:w="574" w:type="dxa"/>
          <w:trHeight w:val="319" w:hRule="atLeast"/>
        </w:trPr>
        <w:tc>
          <w:tcPr>
            <w:tcW w:w="5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年度总体目标</w:t>
            </w:r>
          </w:p>
        </w:tc>
        <w:tc>
          <w:tcPr>
            <w:tcW w:w="4202" w:type="dxa"/>
            <w:gridSpan w:val="2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预期目标</w:t>
            </w:r>
          </w:p>
        </w:tc>
        <w:tc>
          <w:tcPr>
            <w:tcW w:w="3578" w:type="dxa"/>
            <w:gridSpan w:val="2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实际完成情况</w:t>
            </w:r>
          </w:p>
        </w:tc>
      </w:tr>
      <w:tr>
        <w:tblPrEx>
          <w:tblLayout w:type="fixed"/>
          <w:tblCellMar>
            <w:top w:w="0" w:type="dxa"/>
            <w:left w:w="0" w:type="dxa"/>
            <w:bottom w:w="0" w:type="dxa"/>
            <w:right w:w="0" w:type="dxa"/>
          </w:tblCellMar>
        </w:tblPrEx>
        <w:trPr>
          <w:gridAfter w:val="1"/>
          <w:wAfter w:w="574" w:type="dxa"/>
          <w:trHeight w:val="1365" w:hRule="atLeast"/>
        </w:trPr>
        <w:tc>
          <w:tcPr>
            <w:tcW w:w="5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202" w:type="dxa"/>
            <w:gridSpan w:val="2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为申报国家级历史文化名城，在自治区级历史文化名城保护规划的框架体系的基础上，加强前期研究工作和操作层面上规划对策的制定。提出具体规划设计方案。</w:t>
            </w:r>
          </w:p>
        </w:tc>
        <w:tc>
          <w:tcPr>
            <w:tcW w:w="3578" w:type="dxa"/>
            <w:gridSpan w:val="2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目前吉木萨尔县历史文化名城保护规划设计方案已通过州规委会评审，准备提交自治区住建厅评审。</w:t>
            </w:r>
          </w:p>
        </w:tc>
      </w:tr>
      <w:tr>
        <w:tblPrEx>
          <w:tblLayout w:type="fixed"/>
          <w:tblCellMar>
            <w:top w:w="0" w:type="dxa"/>
            <w:left w:w="0" w:type="dxa"/>
            <w:bottom w:w="0" w:type="dxa"/>
            <w:right w:w="0" w:type="dxa"/>
          </w:tblCellMar>
        </w:tblPrEx>
        <w:trPr>
          <w:gridAfter w:val="1"/>
          <w:wAfter w:w="574" w:type="dxa"/>
          <w:trHeight w:val="319" w:hRule="atLeast"/>
        </w:trPr>
        <w:tc>
          <w:tcPr>
            <w:tcW w:w="556"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              效    指    标</w:t>
            </w:r>
          </w:p>
        </w:tc>
        <w:tc>
          <w:tcPr>
            <w:tcW w:w="442"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78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1933" w:type="dxa"/>
            <w:gridSpan w:val="11"/>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w:t>
            </w:r>
          </w:p>
        </w:tc>
        <w:tc>
          <w:tcPr>
            <w:tcW w:w="687" w:type="dxa"/>
            <w:gridSpan w:val="7"/>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分值</w:t>
            </w:r>
          </w:p>
        </w:tc>
        <w:tc>
          <w:tcPr>
            <w:tcW w:w="623" w:type="dxa"/>
            <w:gridSpan w:val="8"/>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得分</w:t>
            </w:r>
          </w:p>
        </w:tc>
        <w:tc>
          <w:tcPr>
            <w:tcW w:w="1333" w:type="dxa"/>
            <w:gridSpan w:val="7"/>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偏差原因分析及改进措施</w:t>
            </w:r>
          </w:p>
        </w:tc>
      </w:tr>
      <w:tr>
        <w:tblPrEx>
          <w:tblLayout w:type="fixed"/>
          <w:tblCellMar>
            <w:top w:w="0" w:type="dxa"/>
            <w:left w:w="0" w:type="dxa"/>
            <w:bottom w:w="0" w:type="dxa"/>
            <w:right w:w="0" w:type="dxa"/>
          </w:tblCellMar>
        </w:tblPrEx>
        <w:trPr>
          <w:gridAfter w:val="1"/>
          <w:wAfter w:w="574" w:type="dxa"/>
          <w:trHeight w:val="319"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33"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指标值</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完成值</w:t>
            </w:r>
          </w:p>
        </w:tc>
        <w:tc>
          <w:tcPr>
            <w:tcW w:w="687"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23"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33"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gridAfter w:val="1"/>
          <w:wAfter w:w="574" w:type="dxa"/>
          <w:trHeight w:val="660"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78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规划范围</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8145平方公里</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8145平方公里</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r>
      <w:tr>
        <w:tblPrEx>
          <w:tblLayout w:type="fixed"/>
          <w:tblCellMar>
            <w:top w:w="0" w:type="dxa"/>
            <w:left w:w="0" w:type="dxa"/>
            <w:bottom w:w="0" w:type="dxa"/>
            <w:right w:w="0" w:type="dxa"/>
          </w:tblCellMar>
        </w:tblPrEx>
        <w:trPr>
          <w:gridAfter w:val="1"/>
          <w:wAfter w:w="574" w:type="dxa"/>
          <w:trHeight w:val="1020"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规划年限</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近期至2020年，远期至2030年</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近期至2020年，远期至2030年</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r>
      <w:tr>
        <w:tblPrEx>
          <w:tblLayout w:type="fixed"/>
          <w:tblCellMar>
            <w:top w:w="0" w:type="dxa"/>
            <w:left w:w="0" w:type="dxa"/>
            <w:bottom w:w="0" w:type="dxa"/>
            <w:right w:w="0" w:type="dxa"/>
          </w:tblCellMar>
        </w:tblPrEx>
        <w:trPr>
          <w:gridAfter w:val="1"/>
          <w:wAfter w:w="574" w:type="dxa"/>
          <w:trHeight w:val="420"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设计方案检验合格率</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r>
      <w:tr>
        <w:tblPrEx>
          <w:tblLayout w:type="fixed"/>
          <w:tblCellMar>
            <w:top w:w="0" w:type="dxa"/>
            <w:left w:w="0" w:type="dxa"/>
            <w:bottom w:w="0" w:type="dxa"/>
            <w:right w:w="0" w:type="dxa"/>
          </w:tblCellMar>
        </w:tblPrEx>
        <w:trPr>
          <w:gridAfter w:val="1"/>
          <w:wAfter w:w="574" w:type="dxa"/>
          <w:trHeight w:val="380"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设计方案提交及时率</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r>
      <w:tr>
        <w:tblPrEx>
          <w:tblLayout w:type="fixed"/>
          <w:tblCellMar>
            <w:top w:w="0" w:type="dxa"/>
            <w:left w:w="0" w:type="dxa"/>
            <w:bottom w:w="0" w:type="dxa"/>
            <w:right w:w="0" w:type="dxa"/>
          </w:tblCellMar>
        </w:tblPrEx>
        <w:trPr>
          <w:gridAfter w:val="1"/>
          <w:wAfter w:w="574" w:type="dxa"/>
          <w:trHeight w:val="480"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资金及时支付率</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r>
      <w:tr>
        <w:tblPrEx>
          <w:tblLayout w:type="fixed"/>
          <w:tblCellMar>
            <w:top w:w="0" w:type="dxa"/>
            <w:left w:w="0" w:type="dxa"/>
            <w:bottom w:w="0" w:type="dxa"/>
            <w:right w:w="0" w:type="dxa"/>
          </w:tblCellMar>
        </w:tblPrEx>
        <w:trPr>
          <w:gridAfter w:val="1"/>
          <w:wAfter w:w="574" w:type="dxa"/>
          <w:trHeight w:val="520"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规划设计方案费总金额</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5万元</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5万元</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r>
      <w:tr>
        <w:tblPrEx>
          <w:tblLayout w:type="fixed"/>
          <w:tblCellMar>
            <w:top w:w="0" w:type="dxa"/>
            <w:left w:w="0" w:type="dxa"/>
            <w:bottom w:w="0" w:type="dxa"/>
            <w:right w:w="0" w:type="dxa"/>
          </w:tblCellMar>
        </w:tblPrEx>
        <w:trPr>
          <w:gridAfter w:val="1"/>
          <w:wAfter w:w="574" w:type="dxa"/>
          <w:trHeight w:val="560"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784"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r>
      <w:tr>
        <w:tblPrEx>
          <w:tblLayout w:type="fixed"/>
          <w:tblCellMar>
            <w:top w:w="0" w:type="dxa"/>
            <w:left w:w="0" w:type="dxa"/>
            <w:bottom w:w="0" w:type="dxa"/>
            <w:right w:w="0" w:type="dxa"/>
          </w:tblCellMar>
        </w:tblPrEx>
        <w:trPr>
          <w:gridAfter w:val="1"/>
          <w:wAfter w:w="574" w:type="dxa"/>
          <w:trHeight w:val="720"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4"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增强保护历史文化名城意识</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r>
      <w:tr>
        <w:tblPrEx>
          <w:tblLayout w:type="fixed"/>
          <w:tblCellMar>
            <w:top w:w="0" w:type="dxa"/>
            <w:left w:w="0" w:type="dxa"/>
            <w:bottom w:w="0" w:type="dxa"/>
            <w:right w:w="0" w:type="dxa"/>
          </w:tblCellMar>
        </w:tblPrEx>
        <w:trPr>
          <w:gridAfter w:val="1"/>
          <w:wAfter w:w="574" w:type="dxa"/>
          <w:trHeight w:val="319"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4"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打造历史文化名城</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r>
      <w:tr>
        <w:tblPrEx>
          <w:tblLayout w:type="fixed"/>
          <w:tblCellMar>
            <w:top w:w="0" w:type="dxa"/>
            <w:left w:w="0" w:type="dxa"/>
            <w:bottom w:w="0" w:type="dxa"/>
            <w:right w:w="0" w:type="dxa"/>
          </w:tblCellMar>
        </w:tblPrEx>
        <w:trPr>
          <w:gridAfter w:val="1"/>
          <w:wAfter w:w="574" w:type="dxa"/>
          <w:trHeight w:val="580"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4"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r>
      <w:tr>
        <w:tblPrEx>
          <w:tblLayout w:type="fixed"/>
          <w:tblCellMar>
            <w:top w:w="0" w:type="dxa"/>
            <w:left w:w="0" w:type="dxa"/>
            <w:bottom w:w="0" w:type="dxa"/>
            <w:right w:w="0" w:type="dxa"/>
          </w:tblCellMar>
        </w:tblPrEx>
        <w:trPr>
          <w:gridAfter w:val="1"/>
          <w:wAfter w:w="574" w:type="dxa"/>
          <w:trHeight w:val="319"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可持续影响指标</w:t>
            </w: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可持续影响期限</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长期</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长期</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r>
      <w:tr>
        <w:tblPrEx>
          <w:tblLayout w:type="fixed"/>
          <w:tblCellMar>
            <w:top w:w="0" w:type="dxa"/>
            <w:left w:w="0" w:type="dxa"/>
            <w:bottom w:w="0" w:type="dxa"/>
            <w:right w:w="0" w:type="dxa"/>
          </w:tblCellMar>
        </w:tblPrEx>
        <w:trPr>
          <w:gridAfter w:val="1"/>
          <w:wAfter w:w="574" w:type="dxa"/>
          <w:trHeight w:val="319"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规划设计使用年限 </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Calibri" w:hAnsi="Calibri" w:eastAsia="宋体" w:cs="Calibri"/>
                <w:i w:val="0"/>
                <w:color w:val="000000"/>
                <w:sz w:val="20"/>
                <w:szCs w:val="20"/>
                <w:u w:val="none"/>
              </w:rPr>
            </w:pPr>
            <w:r>
              <w:rPr>
                <w:rFonts w:hint="default" w:ascii="Calibri" w:hAnsi="Calibri" w:eastAsia="宋体" w:cs="Calibri"/>
                <w:i w:val="0"/>
                <w:color w:val="000000"/>
                <w:kern w:val="0"/>
                <w:sz w:val="20"/>
                <w:szCs w:val="20"/>
                <w:u w:val="none"/>
                <w:lang w:val="en-US" w:eastAsia="zh-CN" w:bidi="ar"/>
              </w:rPr>
              <w:t>15</w:t>
            </w:r>
            <w:r>
              <w:rPr>
                <w:rFonts w:hint="eastAsia" w:ascii="宋体" w:hAnsi="宋体" w:eastAsia="宋体" w:cs="宋体"/>
                <w:i w:val="0"/>
                <w:color w:val="000000"/>
                <w:kern w:val="0"/>
                <w:sz w:val="20"/>
                <w:szCs w:val="20"/>
                <w:u w:val="none"/>
                <w:lang w:val="en-US" w:eastAsia="zh-CN" w:bidi="ar"/>
              </w:rPr>
              <w:t>年</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Calibri" w:hAnsi="Calibri" w:eastAsia="宋体" w:cs="Calibri"/>
                <w:i w:val="0"/>
                <w:color w:val="000000"/>
                <w:sz w:val="20"/>
                <w:szCs w:val="20"/>
                <w:u w:val="none"/>
              </w:rPr>
            </w:pPr>
            <w:r>
              <w:rPr>
                <w:rFonts w:hint="default" w:ascii="Calibri" w:hAnsi="Calibri" w:eastAsia="宋体" w:cs="Calibri"/>
                <w:i w:val="0"/>
                <w:color w:val="000000"/>
                <w:kern w:val="0"/>
                <w:sz w:val="20"/>
                <w:szCs w:val="20"/>
                <w:u w:val="none"/>
                <w:lang w:val="en-US" w:eastAsia="zh-CN" w:bidi="ar"/>
              </w:rPr>
              <w:t>15</w:t>
            </w:r>
            <w:r>
              <w:rPr>
                <w:rFonts w:hint="eastAsia" w:ascii="宋体" w:hAnsi="宋体" w:eastAsia="宋体" w:cs="宋体"/>
                <w:i w:val="0"/>
                <w:color w:val="000000"/>
                <w:kern w:val="0"/>
                <w:sz w:val="20"/>
                <w:szCs w:val="20"/>
                <w:u w:val="none"/>
                <w:lang w:val="en-US" w:eastAsia="zh-CN" w:bidi="ar"/>
              </w:rPr>
              <w:t>年</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r>
      <w:tr>
        <w:tblPrEx>
          <w:tblLayout w:type="fixed"/>
          <w:tblCellMar>
            <w:top w:w="0" w:type="dxa"/>
            <w:left w:w="0" w:type="dxa"/>
            <w:bottom w:w="0" w:type="dxa"/>
            <w:right w:w="0" w:type="dxa"/>
          </w:tblCellMar>
        </w:tblPrEx>
        <w:trPr>
          <w:gridAfter w:val="1"/>
          <w:wAfter w:w="574" w:type="dxa"/>
          <w:trHeight w:val="900" w:hRule="atLeast"/>
        </w:trPr>
        <w:tc>
          <w:tcPr>
            <w:tcW w:w="55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2"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满意度指标-</w:t>
            </w:r>
          </w:p>
        </w:tc>
        <w:tc>
          <w:tcPr>
            <w:tcW w:w="78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服务对象满意度指标</w:t>
            </w:r>
          </w:p>
        </w:tc>
        <w:tc>
          <w:tcPr>
            <w:tcW w:w="193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受益满意度（%）</w:t>
            </w:r>
          </w:p>
        </w:tc>
        <w:tc>
          <w:tcPr>
            <w:tcW w:w="10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9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r>
      <w:tr>
        <w:tblPrEx>
          <w:tblLayout w:type="fixed"/>
          <w:tblCellMar>
            <w:top w:w="0" w:type="dxa"/>
            <w:left w:w="0" w:type="dxa"/>
            <w:bottom w:w="0" w:type="dxa"/>
            <w:right w:w="0" w:type="dxa"/>
          </w:tblCellMar>
        </w:tblPrEx>
        <w:trPr>
          <w:gridAfter w:val="1"/>
          <w:wAfter w:w="574" w:type="dxa"/>
          <w:trHeight w:val="500" w:hRule="atLeast"/>
        </w:trPr>
        <w:tc>
          <w:tcPr>
            <w:tcW w:w="5693" w:type="dxa"/>
            <w:gridSpan w:val="3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总分</w:t>
            </w:r>
          </w:p>
        </w:tc>
        <w:tc>
          <w:tcPr>
            <w:tcW w:w="6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62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3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w:t>
            </w:r>
          </w:p>
        </w:tc>
      </w:tr>
      <w:tr>
        <w:tblPrEx>
          <w:tblLayout w:type="fixed"/>
          <w:tblCellMar>
            <w:top w:w="0" w:type="dxa"/>
            <w:left w:w="0" w:type="dxa"/>
            <w:bottom w:w="0" w:type="dxa"/>
            <w:right w:w="0" w:type="dxa"/>
          </w:tblCellMar>
        </w:tblPrEx>
        <w:trPr>
          <w:gridAfter w:val="1"/>
          <w:wAfter w:w="574" w:type="dxa"/>
          <w:trHeight w:val="405" w:hRule="atLeast"/>
        </w:trPr>
        <w:tc>
          <w:tcPr>
            <w:tcW w:w="8336" w:type="dxa"/>
            <w:gridSpan w:val="5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Layout w:type="fixed"/>
          <w:tblCellMar>
            <w:top w:w="0" w:type="dxa"/>
            <w:left w:w="0" w:type="dxa"/>
            <w:bottom w:w="0" w:type="dxa"/>
            <w:right w:w="0" w:type="dxa"/>
          </w:tblCellMar>
        </w:tblPrEx>
        <w:trPr>
          <w:gridAfter w:val="1"/>
          <w:wAfter w:w="574" w:type="dxa"/>
          <w:trHeight w:val="405" w:hRule="atLeast"/>
        </w:trPr>
        <w:tc>
          <w:tcPr>
            <w:tcW w:w="8336" w:type="dxa"/>
            <w:gridSpan w:val="5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（2019年度）</w:t>
            </w:r>
          </w:p>
        </w:tc>
      </w:tr>
      <w:tr>
        <w:tblPrEx>
          <w:tblLayout w:type="fixed"/>
          <w:tblCellMar>
            <w:top w:w="0" w:type="dxa"/>
            <w:left w:w="0" w:type="dxa"/>
            <w:bottom w:w="0" w:type="dxa"/>
            <w:right w:w="0" w:type="dxa"/>
          </w:tblCellMar>
        </w:tblPrEx>
        <w:trPr>
          <w:gridAfter w:val="1"/>
          <w:wAfter w:w="574" w:type="dxa"/>
          <w:trHeight w:val="319" w:hRule="atLeast"/>
        </w:trPr>
        <w:tc>
          <w:tcPr>
            <w:tcW w:w="103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7301" w:type="dxa"/>
            <w:gridSpan w:val="4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吉木萨尔县人民法院案件诉讼费</w:t>
            </w:r>
          </w:p>
        </w:tc>
      </w:tr>
      <w:tr>
        <w:tblPrEx>
          <w:tblLayout w:type="fixed"/>
          <w:tblCellMar>
            <w:top w:w="0" w:type="dxa"/>
            <w:left w:w="0" w:type="dxa"/>
            <w:bottom w:w="0" w:type="dxa"/>
            <w:right w:w="0" w:type="dxa"/>
          </w:tblCellMar>
        </w:tblPrEx>
        <w:trPr>
          <w:gridAfter w:val="1"/>
          <w:wAfter w:w="574" w:type="dxa"/>
          <w:trHeight w:val="319" w:hRule="atLeast"/>
        </w:trPr>
        <w:tc>
          <w:tcPr>
            <w:tcW w:w="103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3793" w:type="dxa"/>
            <w:gridSpan w:val="2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吉木萨尔县自然资源局</w:t>
            </w:r>
          </w:p>
        </w:tc>
        <w:tc>
          <w:tcPr>
            <w:tcW w:w="103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2471" w:type="dxa"/>
            <w:gridSpan w:val="2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吉木萨尔县自然资源局</w:t>
            </w:r>
          </w:p>
        </w:tc>
      </w:tr>
      <w:tr>
        <w:tblPrEx>
          <w:tblLayout w:type="fixed"/>
          <w:tblCellMar>
            <w:top w:w="0" w:type="dxa"/>
            <w:left w:w="0" w:type="dxa"/>
            <w:bottom w:w="0" w:type="dxa"/>
            <w:right w:w="0" w:type="dxa"/>
          </w:tblCellMar>
        </w:tblPrEx>
        <w:trPr>
          <w:gridAfter w:val="1"/>
          <w:wAfter w:w="574" w:type="dxa"/>
          <w:trHeight w:val="319" w:hRule="atLeast"/>
        </w:trPr>
        <w:tc>
          <w:tcPr>
            <w:tcW w:w="1035" w:type="dxa"/>
            <w:gridSpan w:val="7"/>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       （万元）</w:t>
            </w:r>
          </w:p>
        </w:tc>
        <w:tc>
          <w:tcPr>
            <w:tcW w:w="163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1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年初预算数</w:t>
            </w:r>
          </w:p>
        </w:tc>
        <w:tc>
          <w:tcPr>
            <w:tcW w:w="1247"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w:t>
            </w:r>
          </w:p>
        </w:tc>
        <w:tc>
          <w:tcPr>
            <w:tcW w:w="103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w:t>
            </w:r>
          </w:p>
        </w:tc>
        <w:tc>
          <w:tcPr>
            <w:tcW w:w="95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84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执行率</w:t>
            </w:r>
          </w:p>
        </w:tc>
        <w:tc>
          <w:tcPr>
            <w:tcW w:w="67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r>
      <w:tr>
        <w:tblPrEx>
          <w:tblLayout w:type="fixed"/>
          <w:tblCellMar>
            <w:top w:w="0" w:type="dxa"/>
            <w:left w:w="0" w:type="dxa"/>
            <w:bottom w:w="0" w:type="dxa"/>
            <w:right w:w="0" w:type="dxa"/>
          </w:tblCellMar>
        </w:tblPrEx>
        <w:trPr>
          <w:gridAfter w:val="1"/>
          <w:wAfter w:w="574" w:type="dxa"/>
          <w:trHeight w:val="319" w:hRule="atLeast"/>
        </w:trPr>
        <w:tc>
          <w:tcPr>
            <w:tcW w:w="1035"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3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91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30.00 </w:t>
            </w:r>
          </w:p>
        </w:tc>
        <w:tc>
          <w:tcPr>
            <w:tcW w:w="1247"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30.00 </w:t>
            </w:r>
          </w:p>
        </w:tc>
        <w:tc>
          <w:tcPr>
            <w:tcW w:w="103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30.00 </w:t>
            </w:r>
          </w:p>
        </w:tc>
        <w:tc>
          <w:tcPr>
            <w:tcW w:w="95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84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7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r>
      <w:tr>
        <w:tblPrEx>
          <w:tblLayout w:type="fixed"/>
          <w:tblCellMar>
            <w:top w:w="0" w:type="dxa"/>
            <w:left w:w="0" w:type="dxa"/>
            <w:bottom w:w="0" w:type="dxa"/>
            <w:right w:w="0" w:type="dxa"/>
          </w:tblCellMar>
        </w:tblPrEx>
        <w:trPr>
          <w:gridAfter w:val="1"/>
          <w:wAfter w:w="574" w:type="dxa"/>
          <w:trHeight w:val="319" w:hRule="atLeast"/>
        </w:trPr>
        <w:tc>
          <w:tcPr>
            <w:tcW w:w="1035"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3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其中：当年财政拨款</w:t>
            </w:r>
          </w:p>
        </w:tc>
        <w:tc>
          <w:tcPr>
            <w:tcW w:w="91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30.00 </w:t>
            </w:r>
          </w:p>
        </w:tc>
        <w:tc>
          <w:tcPr>
            <w:tcW w:w="1247"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30.00 </w:t>
            </w:r>
          </w:p>
        </w:tc>
        <w:tc>
          <w:tcPr>
            <w:tcW w:w="103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30.00 </w:t>
            </w:r>
          </w:p>
        </w:tc>
        <w:tc>
          <w:tcPr>
            <w:tcW w:w="95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84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67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Layout w:type="fixed"/>
          <w:tblCellMar>
            <w:top w:w="0" w:type="dxa"/>
            <w:left w:w="0" w:type="dxa"/>
            <w:bottom w:w="0" w:type="dxa"/>
            <w:right w:w="0" w:type="dxa"/>
          </w:tblCellMar>
        </w:tblPrEx>
        <w:trPr>
          <w:gridAfter w:val="1"/>
          <w:wAfter w:w="574" w:type="dxa"/>
          <w:trHeight w:val="319" w:hRule="atLeast"/>
        </w:trPr>
        <w:tc>
          <w:tcPr>
            <w:tcW w:w="1035"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3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上年结转资金</w:t>
            </w:r>
          </w:p>
        </w:tc>
        <w:tc>
          <w:tcPr>
            <w:tcW w:w="91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1247"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103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95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84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67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Layout w:type="fixed"/>
          <w:tblCellMar>
            <w:top w:w="0" w:type="dxa"/>
            <w:left w:w="0" w:type="dxa"/>
            <w:bottom w:w="0" w:type="dxa"/>
            <w:right w:w="0" w:type="dxa"/>
          </w:tblCellMar>
        </w:tblPrEx>
        <w:trPr>
          <w:gridAfter w:val="1"/>
          <w:wAfter w:w="574" w:type="dxa"/>
          <w:trHeight w:val="319" w:hRule="atLeast"/>
        </w:trPr>
        <w:tc>
          <w:tcPr>
            <w:tcW w:w="1035"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3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其他资金</w:t>
            </w:r>
          </w:p>
        </w:tc>
        <w:tc>
          <w:tcPr>
            <w:tcW w:w="91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1247"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103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95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84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67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Layout w:type="fixed"/>
          <w:tblCellMar>
            <w:top w:w="0" w:type="dxa"/>
            <w:left w:w="0" w:type="dxa"/>
            <w:bottom w:w="0" w:type="dxa"/>
            <w:right w:w="0" w:type="dxa"/>
          </w:tblCellMar>
        </w:tblPrEx>
        <w:trPr>
          <w:gridAfter w:val="1"/>
          <w:wAfter w:w="574" w:type="dxa"/>
          <w:trHeight w:val="319" w:hRule="atLeast"/>
        </w:trPr>
        <w:tc>
          <w:tcPr>
            <w:tcW w:w="5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4256" w:type="dxa"/>
            <w:gridSpan w:val="2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3508" w:type="dxa"/>
            <w:gridSpan w:val="2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实际完成情况</w:t>
            </w:r>
          </w:p>
        </w:tc>
      </w:tr>
      <w:tr>
        <w:tblPrEx>
          <w:tblLayout w:type="fixed"/>
          <w:tblCellMar>
            <w:top w:w="0" w:type="dxa"/>
            <w:left w:w="0" w:type="dxa"/>
            <w:bottom w:w="0" w:type="dxa"/>
            <w:right w:w="0" w:type="dxa"/>
          </w:tblCellMar>
        </w:tblPrEx>
        <w:trPr>
          <w:gridAfter w:val="1"/>
          <w:wAfter w:w="574" w:type="dxa"/>
          <w:trHeight w:val="1365" w:hRule="atLeast"/>
        </w:trPr>
        <w:tc>
          <w:tcPr>
            <w:tcW w:w="5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256" w:type="dxa"/>
            <w:gridSpan w:val="2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因5家公司土地出让金未交完，对5家公司进行法院起诉，30万用于起诉5家公司的律师诉讼费。1.吉木萨尔县环保再生资源有限责任公司2.吉木萨尔县鑫盛达房地产开发有限公司3.新疆弘兴伟业房地产开发有限公司4.新疆北庭盛业农业科技发展有限责任公司5.新疆盛腾投资有限公司。</w:t>
            </w:r>
          </w:p>
        </w:tc>
        <w:tc>
          <w:tcPr>
            <w:tcW w:w="3508" w:type="dxa"/>
            <w:gridSpan w:val="2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目前为止，5家公司诉讼费已全额拨付。1.吉木萨尔县环保再生资源有限责任公司2万，2.吉木萨尔县鑫盛达房地产开发有限公司4万，3.新疆弘兴伟业房地产开发有限公司3万，4.新疆北庭盛业农业科技发展有限责任公司4万，5.新疆盛腾投资有限公司17万。</w:t>
            </w:r>
          </w:p>
        </w:tc>
      </w:tr>
      <w:tr>
        <w:tblPrEx>
          <w:tblLayout w:type="fixed"/>
          <w:tblCellMar>
            <w:top w:w="0" w:type="dxa"/>
            <w:left w:w="0" w:type="dxa"/>
            <w:bottom w:w="0" w:type="dxa"/>
            <w:right w:w="0" w:type="dxa"/>
          </w:tblCellMar>
        </w:tblPrEx>
        <w:trPr>
          <w:gridAfter w:val="1"/>
          <w:wAfter w:w="574" w:type="dxa"/>
          <w:trHeight w:val="319" w:hRule="atLeast"/>
        </w:trPr>
        <w:tc>
          <w:tcPr>
            <w:tcW w:w="572"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              效    指    标</w:t>
            </w:r>
          </w:p>
        </w:tc>
        <w:tc>
          <w:tcPr>
            <w:tcW w:w="463"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817"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2013" w:type="dxa"/>
            <w:gridSpan w:val="10"/>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w:t>
            </w:r>
          </w:p>
        </w:tc>
        <w:tc>
          <w:tcPr>
            <w:tcW w:w="714" w:type="dxa"/>
            <w:gridSpan w:val="7"/>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648" w:type="dxa"/>
            <w:gridSpan w:val="8"/>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c>
          <w:tcPr>
            <w:tcW w:w="1386" w:type="dxa"/>
            <w:gridSpan w:val="8"/>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偏差原因分析及改进措施</w:t>
            </w:r>
          </w:p>
        </w:tc>
      </w:tr>
      <w:tr>
        <w:tblPrEx>
          <w:tblLayout w:type="fixed"/>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13" w:type="dxa"/>
            <w:gridSpan w:val="10"/>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完成值</w:t>
            </w:r>
          </w:p>
        </w:tc>
        <w:tc>
          <w:tcPr>
            <w:tcW w:w="714"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8"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86"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产出指标</w:t>
            </w:r>
          </w:p>
        </w:tc>
        <w:tc>
          <w:tcPr>
            <w:tcW w:w="81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诉讼单位数量</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5家</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5家</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资金保障率</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诉讼费及时支付率</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7"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吉木萨尔县环宝再生资源有限责任公司</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2万</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2万</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吉木萨尔县鑫盛达房地产开发有限公司</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4万</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4万</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新疆弘兴伟业房地产开发有限公司</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3万</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3万</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新疆北庭盛业农业科技发展有限责任公司</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4万</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4万</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新疆盛腾投资有限公司</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17万</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17万</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w:t>
            </w:r>
          </w:p>
        </w:tc>
        <w:tc>
          <w:tcPr>
            <w:tcW w:w="817"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经济效益指标</w:t>
            </w: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7"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有效提高办事效率</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有效提高</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有效提高</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7"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生态效益指标</w:t>
            </w: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1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319"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63" w:type="dxa"/>
            <w:gridSpan w:val="5"/>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81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服务对象满意度指标</w:t>
            </w:r>
          </w:p>
        </w:tc>
        <w:tc>
          <w:tcPr>
            <w:tcW w:w="201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受益群众满意度</w:t>
            </w:r>
          </w:p>
        </w:tc>
        <w:tc>
          <w:tcPr>
            <w:tcW w:w="9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7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96%</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319" w:hRule="atLeast"/>
        </w:trPr>
        <w:tc>
          <w:tcPr>
            <w:tcW w:w="5588" w:type="dxa"/>
            <w:gridSpan w:val="3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总分</w:t>
            </w:r>
          </w:p>
        </w:tc>
        <w:tc>
          <w:tcPr>
            <w:tcW w:w="7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4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38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405" w:hRule="atLeast"/>
        </w:trPr>
        <w:tc>
          <w:tcPr>
            <w:tcW w:w="8336" w:type="dxa"/>
            <w:gridSpan w:val="5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Layout w:type="fixed"/>
          <w:tblCellMar>
            <w:top w:w="0" w:type="dxa"/>
            <w:left w:w="0" w:type="dxa"/>
            <w:bottom w:w="0" w:type="dxa"/>
            <w:right w:w="0" w:type="dxa"/>
          </w:tblCellMar>
        </w:tblPrEx>
        <w:trPr>
          <w:gridAfter w:val="1"/>
          <w:wAfter w:w="574" w:type="dxa"/>
          <w:trHeight w:val="405" w:hRule="atLeast"/>
        </w:trPr>
        <w:tc>
          <w:tcPr>
            <w:tcW w:w="8336" w:type="dxa"/>
            <w:gridSpan w:val="5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（2019年度）</w:t>
            </w:r>
          </w:p>
        </w:tc>
      </w:tr>
      <w:tr>
        <w:tblPrEx>
          <w:tblLayout w:type="fixed"/>
          <w:tblCellMar>
            <w:top w:w="0" w:type="dxa"/>
            <w:left w:w="0" w:type="dxa"/>
            <w:bottom w:w="0" w:type="dxa"/>
            <w:right w:w="0" w:type="dxa"/>
          </w:tblCellMar>
        </w:tblPrEx>
        <w:trPr>
          <w:gridAfter w:val="1"/>
          <w:wAfter w:w="574" w:type="dxa"/>
          <w:trHeight w:val="319" w:hRule="atLeast"/>
        </w:trPr>
        <w:tc>
          <w:tcPr>
            <w:tcW w:w="10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7274" w:type="dxa"/>
            <w:gridSpan w:val="4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吉木萨尔县实施城镇规划2019年第二批建设用地(吉木萨尔县牛羊定点屠宰场项目)耕地开垦费</w:t>
            </w:r>
          </w:p>
        </w:tc>
      </w:tr>
      <w:tr>
        <w:tblPrEx>
          <w:tblLayout w:type="fixed"/>
          <w:tblCellMar>
            <w:top w:w="0" w:type="dxa"/>
            <w:left w:w="0" w:type="dxa"/>
            <w:bottom w:w="0" w:type="dxa"/>
            <w:right w:w="0" w:type="dxa"/>
          </w:tblCellMar>
        </w:tblPrEx>
        <w:trPr>
          <w:gridAfter w:val="1"/>
          <w:wAfter w:w="574" w:type="dxa"/>
          <w:trHeight w:val="319" w:hRule="atLeast"/>
        </w:trPr>
        <w:tc>
          <w:tcPr>
            <w:tcW w:w="10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3666" w:type="dxa"/>
            <w:gridSpan w:val="1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吉木萨尔县自然资源局</w:t>
            </w:r>
          </w:p>
        </w:tc>
        <w:tc>
          <w:tcPr>
            <w:tcW w:w="1062"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2546" w:type="dxa"/>
            <w:gridSpan w:val="2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吉木萨尔县自然资源局</w:t>
            </w:r>
          </w:p>
        </w:tc>
      </w:tr>
      <w:tr>
        <w:tblPrEx>
          <w:tblLayout w:type="fixed"/>
          <w:tblCellMar>
            <w:top w:w="0" w:type="dxa"/>
            <w:left w:w="0" w:type="dxa"/>
            <w:bottom w:w="0" w:type="dxa"/>
            <w:right w:w="0" w:type="dxa"/>
          </w:tblCellMar>
        </w:tblPrEx>
        <w:trPr>
          <w:gridAfter w:val="1"/>
          <w:wAfter w:w="574" w:type="dxa"/>
          <w:trHeight w:val="319" w:hRule="atLeast"/>
        </w:trPr>
        <w:tc>
          <w:tcPr>
            <w:tcW w:w="1062" w:type="dxa"/>
            <w:gridSpan w:val="8"/>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       （万元）</w:t>
            </w:r>
          </w:p>
        </w:tc>
        <w:tc>
          <w:tcPr>
            <w:tcW w:w="1621"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3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年初预算数</w:t>
            </w:r>
          </w:p>
        </w:tc>
        <w:tc>
          <w:tcPr>
            <w:tcW w:w="111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w:t>
            </w:r>
          </w:p>
        </w:tc>
        <w:tc>
          <w:tcPr>
            <w:tcW w:w="1062"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w:t>
            </w:r>
          </w:p>
        </w:tc>
        <w:tc>
          <w:tcPr>
            <w:tcW w:w="977"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86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执行率</w:t>
            </w:r>
          </w:p>
        </w:tc>
        <w:tc>
          <w:tcPr>
            <w:tcW w:w="7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r>
      <w:tr>
        <w:tblPrEx>
          <w:tblLayout w:type="fixed"/>
          <w:tblCellMar>
            <w:top w:w="0" w:type="dxa"/>
            <w:left w:w="0" w:type="dxa"/>
            <w:bottom w:w="0" w:type="dxa"/>
            <w:right w:w="0" w:type="dxa"/>
          </w:tblCellMar>
        </w:tblPrEx>
        <w:trPr>
          <w:gridAfter w:val="1"/>
          <w:wAfter w:w="574" w:type="dxa"/>
          <w:trHeight w:val="319" w:hRule="atLeast"/>
        </w:trPr>
        <w:tc>
          <w:tcPr>
            <w:tcW w:w="1062"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21"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93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2.6055</w:t>
            </w:r>
          </w:p>
        </w:tc>
        <w:tc>
          <w:tcPr>
            <w:tcW w:w="111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2.6055</w:t>
            </w:r>
          </w:p>
        </w:tc>
        <w:tc>
          <w:tcPr>
            <w:tcW w:w="1062"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2.6055</w:t>
            </w:r>
          </w:p>
        </w:tc>
        <w:tc>
          <w:tcPr>
            <w:tcW w:w="977"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86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2.6055</w:t>
            </w:r>
          </w:p>
        </w:tc>
        <w:tc>
          <w:tcPr>
            <w:tcW w:w="7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gridAfter w:val="1"/>
          <w:wAfter w:w="574" w:type="dxa"/>
          <w:trHeight w:val="319" w:hRule="atLeast"/>
        </w:trPr>
        <w:tc>
          <w:tcPr>
            <w:tcW w:w="1062"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21"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其中：当年财政拨款</w:t>
            </w:r>
          </w:p>
        </w:tc>
        <w:tc>
          <w:tcPr>
            <w:tcW w:w="93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2.6055</w:t>
            </w:r>
          </w:p>
        </w:tc>
        <w:tc>
          <w:tcPr>
            <w:tcW w:w="111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2.6055</w:t>
            </w:r>
          </w:p>
        </w:tc>
        <w:tc>
          <w:tcPr>
            <w:tcW w:w="1062"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2.6055</w:t>
            </w:r>
          </w:p>
        </w:tc>
        <w:tc>
          <w:tcPr>
            <w:tcW w:w="977"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86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2.6055</w:t>
            </w:r>
          </w:p>
        </w:tc>
        <w:tc>
          <w:tcPr>
            <w:tcW w:w="7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Layout w:type="fixed"/>
          <w:tblCellMar>
            <w:top w:w="0" w:type="dxa"/>
            <w:left w:w="0" w:type="dxa"/>
            <w:bottom w:w="0" w:type="dxa"/>
            <w:right w:w="0" w:type="dxa"/>
          </w:tblCellMar>
        </w:tblPrEx>
        <w:trPr>
          <w:gridAfter w:val="1"/>
          <w:wAfter w:w="574" w:type="dxa"/>
          <w:trHeight w:val="319" w:hRule="atLeast"/>
        </w:trPr>
        <w:tc>
          <w:tcPr>
            <w:tcW w:w="1062"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21"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上年结转资金</w:t>
            </w:r>
          </w:p>
        </w:tc>
        <w:tc>
          <w:tcPr>
            <w:tcW w:w="93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11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2"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977"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86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Layout w:type="fixed"/>
          <w:tblCellMar>
            <w:top w:w="0" w:type="dxa"/>
            <w:left w:w="0" w:type="dxa"/>
            <w:bottom w:w="0" w:type="dxa"/>
            <w:right w:w="0" w:type="dxa"/>
          </w:tblCellMar>
        </w:tblPrEx>
        <w:trPr>
          <w:gridAfter w:val="1"/>
          <w:wAfter w:w="574" w:type="dxa"/>
          <w:trHeight w:val="319" w:hRule="atLeast"/>
        </w:trPr>
        <w:tc>
          <w:tcPr>
            <w:tcW w:w="1062"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21"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其他资金</w:t>
            </w:r>
          </w:p>
        </w:tc>
        <w:tc>
          <w:tcPr>
            <w:tcW w:w="93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11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2"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977"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86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Layout w:type="fixed"/>
          <w:tblCellMar>
            <w:top w:w="0" w:type="dxa"/>
            <w:left w:w="0" w:type="dxa"/>
            <w:bottom w:w="0" w:type="dxa"/>
            <w:right w:w="0" w:type="dxa"/>
          </w:tblCellMar>
        </w:tblPrEx>
        <w:trPr>
          <w:gridAfter w:val="1"/>
          <w:wAfter w:w="574" w:type="dxa"/>
          <w:trHeight w:val="319" w:hRule="atLeast"/>
        </w:trPr>
        <w:tc>
          <w:tcPr>
            <w:tcW w:w="58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4145" w:type="dxa"/>
            <w:gridSpan w:val="2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3608" w:type="dxa"/>
            <w:gridSpan w:val="2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实际完成情况</w:t>
            </w:r>
          </w:p>
        </w:tc>
      </w:tr>
      <w:tr>
        <w:tblPrEx>
          <w:tblLayout w:type="fixed"/>
          <w:tblCellMar>
            <w:top w:w="0" w:type="dxa"/>
            <w:left w:w="0" w:type="dxa"/>
            <w:bottom w:w="0" w:type="dxa"/>
            <w:right w:w="0" w:type="dxa"/>
          </w:tblCellMar>
        </w:tblPrEx>
        <w:trPr>
          <w:gridAfter w:val="1"/>
          <w:wAfter w:w="574" w:type="dxa"/>
          <w:trHeight w:val="1360" w:hRule="atLeast"/>
        </w:trPr>
        <w:tc>
          <w:tcPr>
            <w:tcW w:w="58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145" w:type="dxa"/>
            <w:gridSpan w:val="2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吉木萨尔县牛羊定点屠宰场影响周边人居环境，县人民政府决定搬迁，为该项目重新选址修建牛羊屠宰场。</w:t>
            </w:r>
          </w:p>
        </w:tc>
        <w:tc>
          <w:tcPr>
            <w:tcW w:w="3608" w:type="dxa"/>
            <w:gridSpan w:val="2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已完成</w:t>
            </w:r>
          </w:p>
        </w:tc>
      </w:tr>
      <w:tr>
        <w:tblPrEx>
          <w:tblLayout w:type="fixed"/>
          <w:tblCellMar>
            <w:top w:w="0" w:type="dxa"/>
            <w:left w:w="0" w:type="dxa"/>
            <w:bottom w:w="0" w:type="dxa"/>
            <w:right w:w="0" w:type="dxa"/>
          </w:tblCellMar>
        </w:tblPrEx>
        <w:trPr>
          <w:gridAfter w:val="1"/>
          <w:wAfter w:w="574" w:type="dxa"/>
          <w:trHeight w:val="319" w:hRule="atLeast"/>
        </w:trPr>
        <w:tc>
          <w:tcPr>
            <w:tcW w:w="583" w:type="dxa"/>
            <w:gridSpan w:val="3"/>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              效    指    标</w:t>
            </w:r>
          </w:p>
        </w:tc>
        <w:tc>
          <w:tcPr>
            <w:tcW w:w="479"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7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2079" w:type="dxa"/>
            <w:gridSpan w:val="1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w:t>
            </w:r>
          </w:p>
        </w:tc>
        <w:tc>
          <w:tcPr>
            <w:tcW w:w="78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w:t>
            </w:r>
          </w:p>
        </w:tc>
        <w:tc>
          <w:tcPr>
            <w:tcW w:w="734" w:type="dxa"/>
            <w:gridSpan w:val="7"/>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662" w:type="dxa"/>
            <w:gridSpan w:val="8"/>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c>
          <w:tcPr>
            <w:tcW w:w="1430" w:type="dxa"/>
            <w:gridSpan w:val="9"/>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偏差原因分析及改进措施</w:t>
            </w:r>
          </w:p>
        </w:tc>
      </w:tr>
      <w:tr>
        <w:tblPrEx>
          <w:tblLayout w:type="fixed"/>
          <w:tblCellMar>
            <w:top w:w="0" w:type="dxa"/>
            <w:left w:w="0" w:type="dxa"/>
            <w:bottom w:w="0" w:type="dxa"/>
            <w:right w:w="0" w:type="dxa"/>
          </w:tblCellMar>
        </w:tblPrEx>
        <w:trPr>
          <w:gridAfter w:val="1"/>
          <w:wAfter w:w="574" w:type="dxa"/>
          <w:trHeight w:val="319" w:hRule="atLeast"/>
        </w:trPr>
        <w:tc>
          <w:tcPr>
            <w:tcW w:w="583"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79"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79"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78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完成值</w:t>
            </w:r>
          </w:p>
        </w:tc>
        <w:tc>
          <w:tcPr>
            <w:tcW w:w="734"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62"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30"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gridAfter w:val="1"/>
          <w:wAfter w:w="574" w:type="dxa"/>
          <w:trHeight w:val="319" w:hRule="atLeast"/>
        </w:trPr>
        <w:tc>
          <w:tcPr>
            <w:tcW w:w="583"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79"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产出指标</w:t>
            </w:r>
          </w:p>
        </w:tc>
        <w:tc>
          <w:tcPr>
            <w:tcW w:w="78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079"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占用二工镇董家湾村耕地</w:t>
            </w:r>
          </w:p>
        </w:tc>
        <w:tc>
          <w:tcPr>
            <w:tcW w:w="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8.685亩</w:t>
            </w:r>
          </w:p>
        </w:tc>
        <w:tc>
          <w:tcPr>
            <w:tcW w:w="78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8.685亩</w:t>
            </w:r>
          </w:p>
        </w:tc>
        <w:tc>
          <w:tcPr>
            <w:tcW w:w="73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6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43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319" w:hRule="atLeast"/>
        </w:trPr>
        <w:tc>
          <w:tcPr>
            <w:tcW w:w="583"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79"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079"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资金保障率</w:t>
            </w:r>
          </w:p>
        </w:tc>
        <w:tc>
          <w:tcPr>
            <w:tcW w:w="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2.6055万元</w:t>
            </w:r>
          </w:p>
        </w:tc>
        <w:tc>
          <w:tcPr>
            <w:tcW w:w="78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2.6055万元</w:t>
            </w:r>
          </w:p>
        </w:tc>
        <w:tc>
          <w:tcPr>
            <w:tcW w:w="73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6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43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319" w:hRule="atLeast"/>
        </w:trPr>
        <w:tc>
          <w:tcPr>
            <w:tcW w:w="583"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79"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2079"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资金及时支付</w:t>
            </w:r>
          </w:p>
        </w:tc>
        <w:tc>
          <w:tcPr>
            <w:tcW w:w="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2.6055万元</w:t>
            </w:r>
          </w:p>
        </w:tc>
        <w:tc>
          <w:tcPr>
            <w:tcW w:w="78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2.6055万元</w:t>
            </w:r>
          </w:p>
        </w:tc>
        <w:tc>
          <w:tcPr>
            <w:tcW w:w="73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6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43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319" w:hRule="atLeast"/>
        </w:trPr>
        <w:tc>
          <w:tcPr>
            <w:tcW w:w="583"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79"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2079"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占用二工镇董家湾村耕地</w:t>
            </w:r>
          </w:p>
        </w:tc>
        <w:tc>
          <w:tcPr>
            <w:tcW w:w="90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8.685亩</w:t>
            </w:r>
          </w:p>
        </w:tc>
        <w:tc>
          <w:tcPr>
            <w:tcW w:w="6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8.685亩</w:t>
            </w:r>
          </w:p>
        </w:tc>
        <w:tc>
          <w:tcPr>
            <w:tcW w:w="73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6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43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500" w:hRule="atLeast"/>
        </w:trPr>
        <w:tc>
          <w:tcPr>
            <w:tcW w:w="583"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79"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w:t>
            </w:r>
          </w:p>
        </w:tc>
        <w:tc>
          <w:tcPr>
            <w:tcW w:w="78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经济效益指标</w:t>
            </w:r>
          </w:p>
        </w:tc>
        <w:tc>
          <w:tcPr>
            <w:tcW w:w="2079"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90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6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73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6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143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600" w:hRule="atLeast"/>
        </w:trPr>
        <w:tc>
          <w:tcPr>
            <w:tcW w:w="583"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79"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2079"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提高人居环境</w:t>
            </w:r>
          </w:p>
        </w:tc>
        <w:tc>
          <w:tcPr>
            <w:tcW w:w="90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有效促进</w:t>
            </w:r>
          </w:p>
        </w:tc>
        <w:tc>
          <w:tcPr>
            <w:tcW w:w="6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有效促进</w:t>
            </w:r>
          </w:p>
        </w:tc>
        <w:tc>
          <w:tcPr>
            <w:tcW w:w="73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6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43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480" w:hRule="atLeast"/>
        </w:trPr>
        <w:tc>
          <w:tcPr>
            <w:tcW w:w="583"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79"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生态效益指标</w:t>
            </w:r>
          </w:p>
        </w:tc>
        <w:tc>
          <w:tcPr>
            <w:tcW w:w="2079"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改善生态环境</w:t>
            </w:r>
          </w:p>
        </w:tc>
        <w:tc>
          <w:tcPr>
            <w:tcW w:w="90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有效促进</w:t>
            </w:r>
          </w:p>
        </w:tc>
        <w:tc>
          <w:tcPr>
            <w:tcW w:w="6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有效促进</w:t>
            </w:r>
          </w:p>
        </w:tc>
        <w:tc>
          <w:tcPr>
            <w:tcW w:w="73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6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43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640" w:hRule="atLeast"/>
        </w:trPr>
        <w:tc>
          <w:tcPr>
            <w:tcW w:w="583"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79"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2079"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90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6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73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6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c>
          <w:tcPr>
            <w:tcW w:w="143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840" w:hRule="atLeast"/>
        </w:trPr>
        <w:tc>
          <w:tcPr>
            <w:tcW w:w="583"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79" w:type="dxa"/>
            <w:gridSpan w:val="5"/>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服务对象满意度指标</w:t>
            </w:r>
          </w:p>
        </w:tc>
        <w:tc>
          <w:tcPr>
            <w:tcW w:w="2079"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受益群众满意度</w:t>
            </w:r>
          </w:p>
        </w:tc>
        <w:tc>
          <w:tcPr>
            <w:tcW w:w="90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6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73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6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w:t>
            </w:r>
          </w:p>
        </w:tc>
        <w:tc>
          <w:tcPr>
            <w:tcW w:w="143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r>
        <w:tblPrEx>
          <w:tblLayout w:type="fixed"/>
          <w:tblCellMar>
            <w:top w:w="0" w:type="dxa"/>
            <w:left w:w="0" w:type="dxa"/>
            <w:bottom w:w="0" w:type="dxa"/>
            <w:right w:w="0" w:type="dxa"/>
          </w:tblCellMar>
        </w:tblPrEx>
        <w:trPr>
          <w:gridAfter w:val="1"/>
          <w:wAfter w:w="574" w:type="dxa"/>
          <w:trHeight w:val="319" w:hRule="atLeast"/>
        </w:trPr>
        <w:tc>
          <w:tcPr>
            <w:tcW w:w="5510" w:type="dxa"/>
            <w:gridSpan w:val="2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总分</w:t>
            </w:r>
          </w:p>
        </w:tc>
        <w:tc>
          <w:tcPr>
            <w:tcW w:w="73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62"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w:t>
            </w:r>
          </w:p>
        </w:tc>
        <w:tc>
          <w:tcPr>
            <w:tcW w:w="143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w:t>
            </w:r>
          </w:p>
        </w:tc>
      </w:tr>
    </w:tbl>
    <w:p>
      <w:pPr>
        <w:numPr>
          <w:ilvl w:val="0"/>
          <w:numId w:val="0"/>
        </w:numPr>
        <w:spacing w:line="540" w:lineRule="exact"/>
        <w:rPr>
          <w:rFonts w:hint="eastAsia" w:ascii="仿宋_GB2312" w:eastAsia="仿宋_GB2312"/>
          <w:sz w:val="32"/>
          <w:szCs w:val="32"/>
          <w:highlight w:val="none"/>
        </w:rPr>
      </w:pPr>
    </w:p>
    <w:p>
      <w:pPr>
        <w:spacing w:line="540" w:lineRule="exact"/>
        <w:ind w:firstLine="640" w:firstLineChars="200"/>
        <w:rPr>
          <w:rFonts w:hint="eastAsia" w:ascii="仿宋_GB2312" w:eastAsia="仿宋_GB2312"/>
          <w:sz w:val="32"/>
          <w:szCs w:val="32"/>
          <w:highlight w:val="none"/>
          <w:lang w:eastAsia="zh-CN"/>
        </w:rPr>
      </w:pPr>
    </w:p>
    <w:p>
      <w:pPr>
        <w:spacing w:line="540" w:lineRule="exact"/>
        <w:jc w:val="center"/>
        <w:rPr>
          <w:rFonts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26" w:name="_Toc3250"/>
      <w:bookmarkStart w:id="27" w:name="_Toc24143"/>
      <w:r>
        <w:rPr>
          <w:rFonts w:hint="eastAsia" w:ascii="黑体" w:hAnsi="黑体" w:eastAsia="黑体"/>
          <w:sz w:val="32"/>
          <w:szCs w:val="32"/>
          <w:highlight w:val="none"/>
        </w:rPr>
        <w:t>第三部分 专业名词解释</w:t>
      </w:r>
      <w:bookmarkEnd w:id="26"/>
      <w:bookmarkEnd w:id="27"/>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28" w:name="_Toc28903"/>
      <w:bookmarkStart w:id="29" w:name="_Toc22784"/>
      <w:r>
        <w:rPr>
          <w:rFonts w:hint="eastAsia" w:ascii="黑体" w:hAnsi="黑体" w:eastAsia="黑体"/>
          <w:sz w:val="32"/>
          <w:szCs w:val="32"/>
          <w:highlight w:val="none"/>
        </w:rPr>
        <w:t>第四部分 部门决算报表（见附表）</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0" w:name="_Toc6062"/>
      <w:bookmarkStart w:id="31" w:name="_Toc2183"/>
      <w:r>
        <w:rPr>
          <w:rFonts w:hint="eastAsia" w:ascii="黑体" w:hAnsi="黑体" w:eastAsia="黑体" w:cs="宋体"/>
          <w:bCs/>
          <w:kern w:val="0"/>
          <w:sz w:val="32"/>
          <w:szCs w:val="32"/>
          <w:highlight w:val="none"/>
        </w:rPr>
        <w:t>一、《收入支出决算总表》</w:t>
      </w:r>
      <w:bookmarkEnd w:id="30"/>
      <w:bookmarkEnd w:id="3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2" w:name="_Toc24532"/>
      <w:bookmarkStart w:id="33" w:name="_Toc30364"/>
      <w:r>
        <w:rPr>
          <w:rFonts w:hint="eastAsia" w:ascii="黑体" w:hAnsi="黑体" w:eastAsia="黑体" w:cs="宋体"/>
          <w:bCs/>
          <w:kern w:val="0"/>
          <w:sz w:val="32"/>
          <w:szCs w:val="32"/>
          <w:highlight w:val="none"/>
        </w:rPr>
        <w:t>二、《收入决算表》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4" w:name="_Toc32434"/>
      <w:bookmarkStart w:id="35" w:name="_Toc21304"/>
      <w:r>
        <w:rPr>
          <w:rFonts w:hint="eastAsia" w:ascii="黑体" w:hAnsi="黑体" w:eastAsia="黑体" w:cs="宋体"/>
          <w:bCs/>
          <w:kern w:val="0"/>
          <w:sz w:val="32"/>
          <w:szCs w:val="32"/>
          <w:highlight w:val="none"/>
        </w:rPr>
        <w:t>三、《支出决算表》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14238"/>
      <w:bookmarkStart w:id="37" w:name="_Toc28786"/>
      <w:r>
        <w:rPr>
          <w:rFonts w:hint="eastAsia" w:ascii="黑体" w:hAnsi="黑体" w:eastAsia="黑体" w:cs="宋体"/>
          <w:bCs/>
          <w:kern w:val="0"/>
          <w:sz w:val="32"/>
          <w:szCs w:val="32"/>
          <w:highlight w:val="none"/>
        </w:rPr>
        <w:t>四、《财政拨款收入支出决算总表》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14869"/>
      <w:bookmarkStart w:id="39" w:name="_Toc10347"/>
      <w:r>
        <w:rPr>
          <w:rFonts w:hint="eastAsia" w:ascii="黑体" w:hAnsi="黑体" w:eastAsia="黑体" w:cs="宋体"/>
          <w:bCs/>
          <w:kern w:val="0"/>
          <w:sz w:val="32"/>
          <w:szCs w:val="32"/>
          <w:highlight w:val="none"/>
        </w:rPr>
        <w:t>五、《一般公共预算财政拨款支出决算表》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5626"/>
      <w:bookmarkStart w:id="41" w:name="_Toc8884"/>
      <w:r>
        <w:rPr>
          <w:rFonts w:hint="eastAsia" w:ascii="黑体" w:hAnsi="黑体" w:eastAsia="黑体" w:cs="宋体"/>
          <w:bCs/>
          <w:kern w:val="0"/>
          <w:sz w:val="32"/>
          <w:szCs w:val="32"/>
          <w:highlight w:val="none"/>
        </w:rPr>
        <w:t>六、《一般公共预算财政拨款基本支出决算表》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32663"/>
      <w:bookmarkStart w:id="43" w:name="_Toc29106"/>
      <w:r>
        <w:rPr>
          <w:rFonts w:hint="eastAsia" w:ascii="黑体" w:hAnsi="黑体" w:eastAsia="黑体" w:cs="宋体"/>
          <w:bCs/>
          <w:kern w:val="0"/>
          <w:sz w:val="32"/>
          <w:szCs w:val="32"/>
          <w:highlight w:val="none"/>
        </w:rPr>
        <w:t>七、《一般公共预算财政拨款“三公”经费支出决算表》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highlight w:val="none"/>
        </w:rPr>
      </w:pPr>
      <w:bookmarkStart w:id="44" w:name="_Toc5453"/>
      <w:bookmarkStart w:id="45" w:name="_Toc7643"/>
      <w:r>
        <w:rPr>
          <w:rFonts w:hint="eastAsia" w:ascii="黑体" w:hAnsi="黑体" w:eastAsia="黑体" w:cs="宋体"/>
          <w:bCs/>
          <w:kern w:val="0"/>
          <w:sz w:val="32"/>
          <w:szCs w:val="32"/>
          <w:highlight w:val="none"/>
        </w:rPr>
        <w:t>八、《政府性基金预算财政拨款收入支出决算表》</w:t>
      </w:r>
      <w:bookmarkEnd w:id="44"/>
      <w:bookmarkEnd w:id="45"/>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43C"/>
    <w:rsid w:val="001500E6"/>
    <w:rsid w:val="001A2B4A"/>
    <w:rsid w:val="00417058"/>
    <w:rsid w:val="004642B9"/>
    <w:rsid w:val="004763B2"/>
    <w:rsid w:val="004A2F26"/>
    <w:rsid w:val="0058643C"/>
    <w:rsid w:val="006059F7"/>
    <w:rsid w:val="009A4996"/>
    <w:rsid w:val="00BE7FE7"/>
    <w:rsid w:val="00CE0C1D"/>
    <w:rsid w:val="00CF769E"/>
    <w:rsid w:val="00D923F6"/>
    <w:rsid w:val="00F21610"/>
    <w:rsid w:val="02CB6426"/>
    <w:rsid w:val="08992B5B"/>
    <w:rsid w:val="0B6B6E99"/>
    <w:rsid w:val="11256F53"/>
    <w:rsid w:val="1194636B"/>
    <w:rsid w:val="11B97D69"/>
    <w:rsid w:val="1208573E"/>
    <w:rsid w:val="186021FC"/>
    <w:rsid w:val="21083CE9"/>
    <w:rsid w:val="25D3278E"/>
    <w:rsid w:val="323156B5"/>
    <w:rsid w:val="35CF4B33"/>
    <w:rsid w:val="3AD01184"/>
    <w:rsid w:val="43A37046"/>
    <w:rsid w:val="44360B45"/>
    <w:rsid w:val="4572647A"/>
    <w:rsid w:val="50FF1B8F"/>
    <w:rsid w:val="52D9694B"/>
    <w:rsid w:val="563B740D"/>
    <w:rsid w:val="56DF1DB6"/>
    <w:rsid w:val="57182862"/>
    <w:rsid w:val="5C3C36C8"/>
    <w:rsid w:val="5F995D5D"/>
    <w:rsid w:val="66761BAE"/>
    <w:rsid w:val="66B272AA"/>
    <w:rsid w:val="6F121B9E"/>
    <w:rsid w:val="6F366204"/>
    <w:rsid w:val="7615369E"/>
    <w:rsid w:val="763815C0"/>
    <w:rsid w:val="78327E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widowControl/>
      <w:spacing w:before="240" w:after="60"/>
      <w:jc w:val="left"/>
      <w:outlineLvl w:val="1"/>
    </w:pPr>
    <w:rPr>
      <w:rFonts w:ascii="Cambria" w:hAnsi="Cambria" w:eastAsia="宋体"/>
      <w:b/>
      <w:bCs/>
      <w:i/>
      <w:iCs/>
      <w:kern w:val="0"/>
      <w:sz w:val="28"/>
      <w:szCs w:val="28"/>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link w:val="14"/>
    <w:qFormat/>
    <w:uiPriority w:val="0"/>
    <w:pPr>
      <w:jc w:val="left"/>
    </w:pPr>
    <w:rPr>
      <w:rFonts w:ascii="Times New Roman" w:hAnsi="Times New Roman" w:eastAsia="宋体" w:cs="Times New Roman"/>
      <w:szCs w:val="24"/>
    </w:rPr>
  </w:style>
  <w:style w:type="paragraph" w:styleId="4">
    <w:name w:val="toc 3"/>
    <w:basedOn w:val="1"/>
    <w:next w:val="1"/>
    <w:qFormat/>
    <w:uiPriority w:val="0"/>
    <w:pPr>
      <w:ind w:left="840" w:leftChars="400"/>
    </w:pPr>
  </w:style>
  <w:style w:type="paragraph" w:styleId="5">
    <w:name w:val="Balloon Text"/>
    <w:basedOn w:val="1"/>
    <w:link w:val="15"/>
    <w:semiHidden/>
    <w:unhideWhenUsed/>
    <w:qFormat/>
    <w:uiPriority w:val="99"/>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character" w:styleId="11">
    <w:name w:val="Strong"/>
    <w:basedOn w:val="10"/>
    <w:qFormat/>
    <w:uiPriority w:val="99"/>
    <w:rPr>
      <w:rFonts w:cs="Times New Roman"/>
      <w:b/>
      <w:bCs/>
    </w:rPr>
  </w:style>
  <w:style w:type="character" w:styleId="12">
    <w:name w:val="annotation reference"/>
    <w:basedOn w:val="10"/>
    <w:semiHidden/>
    <w:unhideWhenUsed/>
    <w:qFormat/>
    <w:uiPriority w:val="99"/>
    <w:rPr>
      <w:sz w:val="21"/>
      <w:szCs w:val="21"/>
    </w:rPr>
  </w:style>
  <w:style w:type="character" w:customStyle="1" w:styleId="14">
    <w:name w:val="批注文字 Char"/>
    <w:basedOn w:val="10"/>
    <w:link w:val="3"/>
    <w:qFormat/>
    <w:uiPriority w:val="0"/>
    <w:rPr>
      <w:rFonts w:ascii="Times New Roman" w:hAnsi="Times New Roman" w:eastAsia="宋体" w:cs="Times New Roman"/>
      <w:szCs w:val="24"/>
    </w:rPr>
  </w:style>
  <w:style w:type="character" w:customStyle="1" w:styleId="15">
    <w:name w:val="批注框文本 Char"/>
    <w:basedOn w:val="10"/>
    <w:link w:val="5"/>
    <w:semiHidden/>
    <w:qFormat/>
    <w:uiPriority w:val="99"/>
    <w:rPr>
      <w:sz w:val="18"/>
      <w:szCs w:val="18"/>
    </w:rPr>
  </w:style>
  <w:style w:type="character" w:customStyle="1" w:styleId="16">
    <w:name w:val="font21"/>
    <w:basedOn w:val="10"/>
    <w:qFormat/>
    <w:uiPriority w:val="0"/>
    <w:rPr>
      <w:rFonts w:ascii="宋体" w:hAnsi="宋体" w:eastAsia="宋体" w:cs="宋体"/>
      <w:color w:val="000000"/>
      <w:sz w:val="20"/>
      <w:szCs w:val="20"/>
      <w:u w:val="none"/>
    </w:rPr>
  </w:style>
  <w:style w:type="character" w:customStyle="1" w:styleId="17">
    <w:name w:val="font51"/>
    <w:basedOn w:val="10"/>
    <w:qFormat/>
    <w:uiPriority w:val="0"/>
    <w:rPr>
      <w:rFonts w:hint="eastAsia" w:ascii="宋体" w:hAnsi="宋体" w:eastAsia="宋体" w:cs="宋体"/>
      <w:color w:val="000000"/>
      <w:sz w:val="20"/>
      <w:szCs w:val="20"/>
      <w:u w:val="none"/>
    </w:rPr>
  </w:style>
  <w:style w:type="character" w:customStyle="1" w:styleId="18">
    <w:name w:val="font11"/>
    <w:basedOn w:val="10"/>
    <w:qFormat/>
    <w:uiPriority w:val="0"/>
    <w:rPr>
      <w:rFonts w:hint="eastAsia" w:ascii="宋体" w:hAnsi="宋体" w:eastAsia="宋体" w:cs="宋体"/>
      <w:color w:val="000000"/>
      <w:sz w:val="20"/>
      <w:szCs w:val="20"/>
      <w:u w:val="none"/>
    </w:rPr>
  </w:style>
  <w:style w:type="character" w:customStyle="1" w:styleId="19">
    <w:name w:val="font01"/>
    <w:basedOn w:val="10"/>
    <w:qFormat/>
    <w:uiPriority w:val="0"/>
    <w:rPr>
      <w:rFonts w:hint="default" w:ascii="Calibri" w:hAnsi="Calibri" w:cs="Calibri"/>
      <w:color w:val="000000"/>
      <w:sz w:val="20"/>
      <w:szCs w:val="20"/>
      <w:u w:val="none"/>
    </w:rPr>
  </w:style>
  <w:style w:type="character" w:customStyle="1" w:styleId="20">
    <w:name w:val="font31"/>
    <w:basedOn w:val="10"/>
    <w:qFormat/>
    <w:uiPriority w:val="0"/>
    <w:rPr>
      <w:rFonts w:hint="eastAsia" w:ascii="宋体" w:hAnsi="宋体" w:eastAsia="宋体" w:cs="宋体"/>
      <w:color w:val="000000"/>
      <w:sz w:val="20"/>
      <w:szCs w:val="20"/>
      <w:u w:val="none"/>
    </w:rPr>
  </w:style>
  <w:style w:type="character" w:customStyle="1" w:styleId="21">
    <w:name w:val="font41"/>
    <w:basedOn w:val="10"/>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784</Words>
  <Characters>4472</Characters>
  <Lines>37</Lines>
  <Paragraphs>10</Paragraphs>
  <TotalTime>92</TotalTime>
  <ScaleCrop>false</ScaleCrop>
  <LinksUpToDate>false</LinksUpToDate>
  <CharactersWithSpaces>5246</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2019-07-23T11:27:00Z</dcterms:created>
  <dc:creator>admin</dc:creator>
  <cp:lastModifiedBy>Administrator</cp:lastModifiedBy>
  <dcterms:modified xsi:type="dcterms:W3CDTF">2021-07-01T12:07:40Z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y fmtid="{D5CDD505-2E9C-101B-9397-08002B2CF9AE}" pid="3" name="ICV">
    <vt:lpwstr>7227E4F37137444A903ECEA398AD42B5</vt:lpwstr>
  </property>
</Properties>
</file>