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方正小标宋_GBK" w:hAnsi="宋体" w:eastAsia="方正小标宋_GBK"/>
          <w:sz w:val="44"/>
          <w:szCs w:val="44"/>
          <w:highlight w:val="none"/>
        </w:rPr>
      </w:pPr>
    </w:p>
    <w:p>
      <w:pPr>
        <w:spacing w:line="540" w:lineRule="exact"/>
        <w:jc w:val="center"/>
        <w:rPr>
          <w:rFonts w:hint="eastAsia" w:ascii="方正小标宋_GBK" w:hAnsi="宋体" w:eastAsia="方正小标宋_GBK"/>
          <w:sz w:val="44"/>
          <w:szCs w:val="44"/>
          <w:highlight w:val="none"/>
          <w:lang w:eastAsia="zh-CN"/>
        </w:rPr>
      </w:pPr>
    </w:p>
    <w:p>
      <w:pPr>
        <w:spacing w:line="540" w:lineRule="exact"/>
        <w:jc w:val="center"/>
        <w:rPr>
          <w:rFonts w:hint="eastAsia" w:ascii="方正小标宋_GBK" w:hAnsi="宋体" w:eastAsia="方正小标宋_GBK"/>
          <w:sz w:val="44"/>
          <w:szCs w:val="44"/>
          <w:highlight w:val="none"/>
          <w:lang w:eastAsia="zh-CN"/>
        </w:rPr>
      </w:pPr>
    </w:p>
    <w:p>
      <w:pPr>
        <w:spacing w:line="540" w:lineRule="exact"/>
        <w:jc w:val="center"/>
        <w:rPr>
          <w:rFonts w:hint="eastAsia" w:ascii="方正小标宋_GBK" w:hAnsi="宋体" w:eastAsia="方正小标宋_GBK"/>
          <w:sz w:val="44"/>
          <w:szCs w:val="44"/>
          <w:highlight w:val="none"/>
          <w:lang w:eastAsia="zh-CN"/>
        </w:rPr>
      </w:pPr>
    </w:p>
    <w:p>
      <w:pPr>
        <w:spacing w:line="540" w:lineRule="exact"/>
        <w:jc w:val="center"/>
        <w:rPr>
          <w:rFonts w:hint="eastAsia" w:ascii="方正小标宋_GBK" w:hAnsi="宋体" w:eastAsia="方正小标宋_GBK"/>
          <w:sz w:val="44"/>
          <w:szCs w:val="44"/>
          <w:highlight w:val="none"/>
          <w:lang w:eastAsia="zh-CN"/>
        </w:rPr>
      </w:pPr>
    </w:p>
    <w:p>
      <w:pPr>
        <w:spacing w:line="540" w:lineRule="exact"/>
        <w:jc w:val="center"/>
        <w:rPr>
          <w:rFonts w:hint="eastAsia" w:ascii="方正小标宋_GBK" w:hAnsi="宋体" w:eastAsia="方正小标宋_GBK"/>
          <w:sz w:val="44"/>
          <w:szCs w:val="44"/>
          <w:highlight w:val="none"/>
          <w:lang w:eastAsia="zh-CN"/>
        </w:rPr>
      </w:pPr>
    </w:p>
    <w:p>
      <w:pPr>
        <w:spacing w:line="540" w:lineRule="exact"/>
        <w:jc w:val="center"/>
        <w:rPr>
          <w:rFonts w:hint="eastAsia" w:ascii="方正小标宋_GBK" w:hAnsi="宋体" w:eastAsia="方正小标宋_GBK"/>
          <w:sz w:val="44"/>
          <w:szCs w:val="44"/>
          <w:highlight w:val="none"/>
          <w:lang w:eastAsia="zh-CN"/>
        </w:rPr>
      </w:pPr>
    </w:p>
    <w:p>
      <w:pPr>
        <w:spacing w:line="540" w:lineRule="exact"/>
        <w:jc w:val="center"/>
        <w:rPr>
          <w:rFonts w:hint="eastAsia" w:ascii="方正小标宋_GBK" w:hAnsi="宋体" w:eastAsia="方正小标宋_GBK"/>
          <w:sz w:val="44"/>
          <w:szCs w:val="44"/>
          <w:highlight w:val="none"/>
          <w:lang w:eastAsia="zh-CN"/>
        </w:rPr>
      </w:pPr>
    </w:p>
    <w:p>
      <w:pPr>
        <w:spacing w:line="540" w:lineRule="exact"/>
        <w:jc w:val="center"/>
        <w:rPr>
          <w:rFonts w:hint="eastAsia" w:ascii="方正小标宋_GBK" w:hAnsi="宋体" w:eastAsia="方正小标宋_GBK"/>
          <w:sz w:val="44"/>
          <w:szCs w:val="44"/>
          <w:highlight w:val="none"/>
          <w:lang w:eastAsia="zh-CN"/>
        </w:rPr>
      </w:pPr>
    </w:p>
    <w:p>
      <w:pPr>
        <w:spacing w:line="540" w:lineRule="exact"/>
        <w:jc w:val="center"/>
        <w:rPr>
          <w:rFonts w:hint="eastAsia" w:ascii="方正小标宋_GBK" w:hAnsi="宋体" w:eastAsia="方正小标宋_GBK"/>
          <w:sz w:val="44"/>
          <w:szCs w:val="44"/>
          <w:highlight w:val="none"/>
          <w:lang w:eastAsia="zh-CN"/>
        </w:rPr>
      </w:pPr>
    </w:p>
    <w:p>
      <w:pPr>
        <w:spacing w:line="540" w:lineRule="exact"/>
        <w:jc w:val="center"/>
        <w:rPr>
          <w:rFonts w:ascii="方正小标宋_GBK" w:hAnsi="宋体" w:eastAsia="方正小标宋_GBK"/>
          <w:sz w:val="44"/>
          <w:szCs w:val="44"/>
          <w:highlight w:val="none"/>
        </w:rPr>
      </w:pPr>
      <w:r>
        <w:rPr>
          <w:rFonts w:hint="eastAsia" w:ascii="方正小标宋_GBK" w:hAnsi="宋体" w:eastAsia="方正小标宋_GBK"/>
          <w:sz w:val="44"/>
          <w:szCs w:val="44"/>
          <w:highlight w:val="none"/>
          <w:lang w:eastAsia="zh-CN"/>
        </w:rPr>
        <w:t>新疆昌吉州吉木萨尔县交通运输局2019年度</w:t>
      </w:r>
      <w:r>
        <w:rPr>
          <w:rFonts w:hint="eastAsia" w:ascii="方正小标宋_GBK" w:hAnsi="宋体" w:eastAsia="方正小标宋_GBK"/>
          <w:sz w:val="44"/>
          <w:szCs w:val="44"/>
          <w:highlight w:val="none"/>
        </w:rPr>
        <w:t>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bCs w:val="0"/>
          <w:kern w:val="0"/>
          <w:sz w:val="36"/>
          <w:szCs w:val="36"/>
          <w:highlight w:val="none"/>
        </w:rPr>
      </w:pPr>
    </w:p>
    <w:p>
      <w:pPr>
        <w:pStyle w:val="2"/>
        <w:rPr>
          <w:rFonts w:hint="eastAsia" w:ascii="仿宋_GB2312" w:hAnsi="仿宋_GB2312" w:eastAsia="仿宋_GB2312" w:cs="仿宋_GB2312"/>
          <w:b/>
          <w:bCs w:val="0"/>
          <w:kern w:val="0"/>
          <w:sz w:val="36"/>
          <w:szCs w:val="36"/>
          <w:highlight w:val="none"/>
        </w:rPr>
      </w:pPr>
    </w:p>
    <w:p>
      <w:pPr>
        <w:rPr>
          <w:rFonts w:hint="eastAsia" w:ascii="仿宋_GB2312" w:hAnsi="仿宋_GB2312" w:eastAsia="仿宋_GB2312" w:cs="仿宋_GB2312"/>
          <w:b/>
          <w:bCs w:val="0"/>
          <w:kern w:val="0"/>
          <w:sz w:val="36"/>
          <w:szCs w:val="36"/>
          <w:highlight w:val="none"/>
        </w:rPr>
      </w:pPr>
    </w:p>
    <w:p>
      <w:pPr>
        <w:pStyle w:val="2"/>
        <w:rPr>
          <w:rFonts w:hint="eastAsia" w:ascii="仿宋_GB2312" w:hAnsi="仿宋_GB2312" w:eastAsia="仿宋_GB2312" w:cs="仿宋_GB2312"/>
          <w:b/>
          <w:bCs w:val="0"/>
          <w:kern w:val="0"/>
          <w:sz w:val="36"/>
          <w:szCs w:val="36"/>
          <w:highlight w:val="none"/>
        </w:rPr>
      </w:pPr>
    </w:p>
    <w:p>
      <w:pPr>
        <w:rPr>
          <w:rFonts w:hint="eastAsia" w:ascii="仿宋_GB2312" w:hAnsi="仿宋_GB2312" w:eastAsia="仿宋_GB2312" w:cs="仿宋_GB2312"/>
          <w:b/>
          <w:bCs w:val="0"/>
          <w:kern w:val="0"/>
          <w:sz w:val="36"/>
          <w:szCs w:val="36"/>
          <w:highlight w:val="none"/>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仿宋_GB2312" w:hAnsi="仿宋_GB2312" w:eastAsia="仿宋_GB2312" w:cs="仿宋_GB2312"/>
          <w:b/>
          <w:bCs w:val="0"/>
          <w:kern w:val="0"/>
          <w:sz w:val="36"/>
          <w:szCs w:val="36"/>
          <w:highlight w:val="none"/>
        </w:rPr>
        <w:t>目  录</w:t>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八、政府性基金预算收入支出决算情况说明</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十、预算绩效的情况说明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hAnsi="仿宋_GB2312" w:eastAsia="仿宋_GB2312" w:cs="仿宋_GB2312"/>
          <w:sz w:val="32"/>
          <w:szCs w:val="32"/>
          <w:highlight w:val="none"/>
        </w:rPr>
        <w:fldChar w:fldCharType="end"/>
      </w:r>
    </w:p>
    <w:p>
      <w:pPr>
        <w:spacing w:line="540" w:lineRule="exact"/>
        <w:ind w:firstLine="640" w:firstLineChars="200"/>
        <w:rPr>
          <w:rFonts w:ascii="黑体" w:hAnsi="黑体" w:eastAsia="黑体"/>
          <w:sz w:val="32"/>
          <w:szCs w:val="32"/>
          <w:highlight w:val="none"/>
        </w:rPr>
      </w:pPr>
    </w:p>
    <w:p>
      <w:pPr>
        <w:pStyle w:val="2"/>
        <w:rPr>
          <w:rFonts w:ascii="黑体" w:hAnsi="黑体" w:eastAsia="黑体"/>
          <w:sz w:val="32"/>
          <w:szCs w:val="32"/>
          <w:highlight w:val="none"/>
        </w:rPr>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pStyle w:val="2"/>
      </w:pPr>
    </w:p>
    <w:p/>
    <w:p>
      <w:pPr>
        <w:pStyle w:val="2"/>
      </w:pPr>
    </w:p>
    <w:p>
      <w:pPr>
        <w:spacing w:line="540" w:lineRule="exact"/>
        <w:jc w:val="center"/>
        <w:rPr>
          <w:rFonts w:ascii="黑体" w:hAnsi="黑体" w:eastAsia="黑体"/>
          <w:sz w:val="32"/>
          <w:szCs w:val="32"/>
          <w:highlight w:val="none"/>
        </w:rPr>
      </w:pPr>
      <w:r>
        <w:rPr>
          <w:rFonts w:hint="eastAsia" w:ascii="黑体" w:hAnsi="黑体" w:eastAsia="黑体"/>
          <w:sz w:val="32"/>
          <w:szCs w:val="32"/>
          <w:highlight w:val="none"/>
        </w:rPr>
        <w:t>第一部分 部门单位概况</w:t>
      </w:r>
    </w:p>
    <w:p>
      <w:pPr>
        <w:spacing w:line="540" w:lineRule="exact"/>
        <w:ind w:firstLine="640" w:firstLineChars="200"/>
        <w:rPr>
          <w:rFonts w:ascii="黑体" w:hAnsi="黑体" w:eastAsia="黑体" w:cs="宋体"/>
          <w:bCs/>
          <w:kern w:val="0"/>
          <w:sz w:val="32"/>
          <w:szCs w:val="32"/>
          <w:highlight w:val="none"/>
        </w:rPr>
      </w:pPr>
      <w:r>
        <w:rPr>
          <w:rFonts w:hint="eastAsia" w:ascii="黑体" w:hAnsi="黑体" w:eastAsia="黑体" w:cs="宋体"/>
          <w:bCs/>
          <w:kern w:val="0"/>
          <w:sz w:val="32"/>
          <w:szCs w:val="32"/>
          <w:highlight w:val="none"/>
        </w:rPr>
        <w:t>一、主要职能</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（一）贯彻执行国家和自治区、自治州有关公路交通运输行业的法律、法规、方针、政策，并组织实施和监督检查；拟订本县农村公路网、交通运输业发展规划和中长期计划并监督实施。</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二）组织领导吉木萨尔县道路运输管理工作，承担辖区内运输线路、营运车辆、运输站场等管理工作；做好本行业交通运输安全生产的监督管理工作；负责组织和监督城乡道路客运燃油消耗申报及油价补贴专项资金发放工作。负责城市公交、出租汽车管理工作；负责汽车维修市场、车辆技术检测、汽车驾驶学校、驾驶员培训工作的行业管理。指导吉木萨尔县交通运输行业体制改革；培育和管理交通运输市场，维护交通运输行业的平等竞争秩序。</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三）承担公路建设市场监管责任。监督实施公路工程建设相关政策、制度和技术标准，组织协调吉木萨尔县公路重点工程建设和工程质量、安全生产监督管理工作，维护交通基础设施建设秩序。负责辖区内公路交通基础设施的建设、管理和维护工作。配合做好重要专用公路的规划、建设、管理工作。负责吉木萨尔县农村公路的安全保护工作。负责超限运输车辆行驶公路、桥梁的审批；公路两侧建筑控制区内埋设管线、电缆的审批；跨越、穿越公路架设、埋设管线、电缆等设施的许可。指导吉木萨尔县农村公路路政管理工作，依法保护农村公路路产路权。</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四）承担吉木萨尔县农村公路养护管理责任。编制并上报农村公路养护建议计划，管理农村公路养护资金，组织培训养护管理人员，组织实施并指导监督农村公路管理养护工作；依法制定地震、泥石流、雨雪冰冻灾害等损毁公路的突发事件应急预案，并报县人民政府批准后实施。</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（五）负责做好吉木萨尔县一般农村公路及客运站点建设的财务管理及统计工作，配合相关单位做好农村公路及客运站点建设的项目审计工作；会同有关部门监督执行交通行业价格、税收及相关政策。</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（六）贯彻执行交通行业科技政策、技术标准和规范；做好县交通运输行业职工队伍建设和精神文明建设工作；做好交通运输行业环境保护和节能减排工作。</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（七）负责做好交通运输行业的法制宣传、行政复议、行政应诉、行政执法和监督工作。</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（八）负责县交通战备工作。</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（九）承办县人民政府交办的其他事项。</w:t>
      </w:r>
    </w:p>
    <w:p>
      <w:pPr>
        <w:spacing w:line="540" w:lineRule="exact"/>
        <w:ind w:firstLine="640" w:firstLineChars="200"/>
        <w:rPr>
          <w:rFonts w:ascii="黑体" w:hAnsi="黑体" w:eastAsia="黑体" w:cs="宋体"/>
          <w:bCs/>
          <w:kern w:val="0"/>
          <w:sz w:val="32"/>
          <w:szCs w:val="32"/>
          <w:highlight w:val="none"/>
        </w:rPr>
      </w:pPr>
      <w:r>
        <w:rPr>
          <w:rFonts w:hint="eastAsia" w:ascii="黑体" w:hAnsi="黑体" w:eastAsia="黑体" w:cs="宋体"/>
          <w:bCs/>
          <w:kern w:val="0"/>
          <w:sz w:val="32"/>
          <w:szCs w:val="32"/>
          <w:highlight w:val="none"/>
        </w:rPr>
        <w:t>二、机构设置情况</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吉木萨尔县交通运输局</w:t>
      </w:r>
      <w:r>
        <w:rPr>
          <w:rFonts w:hint="eastAsia" w:ascii="仿宋_GB2312" w:eastAsia="仿宋_GB2312"/>
          <w:spacing w:val="0"/>
          <w:sz w:val="32"/>
          <w:szCs w:val="32"/>
          <w:highlight w:val="none"/>
          <w:lang w:val="en-US" w:eastAsia="zh-CN"/>
        </w:rPr>
        <w:t>2019</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实有人数</w:t>
      </w:r>
      <w:r>
        <w:rPr>
          <w:rFonts w:hint="eastAsia" w:ascii="仿宋_GB2312" w:eastAsia="仿宋_GB2312"/>
          <w:sz w:val="32"/>
          <w:szCs w:val="32"/>
          <w:highlight w:val="none"/>
          <w:lang w:val="en-US" w:eastAsia="zh-CN"/>
        </w:rPr>
        <w:t>14</w:t>
      </w:r>
      <w:r>
        <w:rPr>
          <w:rFonts w:hint="eastAsia" w:ascii="仿宋_GB2312" w:eastAsia="仿宋_GB2312"/>
          <w:sz w:val="32"/>
          <w:szCs w:val="32"/>
          <w:highlight w:val="none"/>
        </w:rPr>
        <w:t>人，其中：在职人员</w:t>
      </w:r>
      <w:r>
        <w:rPr>
          <w:rFonts w:hint="eastAsia" w:ascii="仿宋_GB2312" w:eastAsia="仿宋_GB2312"/>
          <w:sz w:val="32"/>
          <w:szCs w:val="32"/>
          <w:highlight w:val="none"/>
          <w:lang w:val="en-US" w:eastAsia="zh-CN"/>
        </w:rPr>
        <w:t>14</w:t>
      </w:r>
      <w:r>
        <w:rPr>
          <w:rFonts w:hint="eastAsia" w:ascii="仿宋_GB2312" w:eastAsia="仿宋_GB2312"/>
          <w:sz w:val="32"/>
          <w:szCs w:val="32"/>
          <w:highlight w:val="none"/>
        </w:rPr>
        <w:t>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离休人员</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人，退休人员</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人。</w:t>
      </w:r>
    </w:p>
    <w:p>
      <w:pPr>
        <w:spacing w:line="54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从决算单位构成看，</w:t>
      </w:r>
      <w:r>
        <w:rPr>
          <w:rFonts w:hint="eastAsia" w:ascii="仿宋_GB2312" w:eastAsia="仿宋_GB2312"/>
          <w:sz w:val="32"/>
          <w:szCs w:val="32"/>
          <w:highlight w:val="none"/>
          <w:lang w:eastAsia="zh-CN"/>
        </w:rPr>
        <w:t>吉木萨尔县交通运输局部门决算</w:t>
      </w:r>
      <w:r>
        <w:rPr>
          <w:rFonts w:hint="eastAsia" w:ascii="仿宋_GB2312" w:eastAsia="仿宋_GB2312"/>
          <w:sz w:val="32"/>
          <w:szCs w:val="32"/>
          <w:highlight w:val="none"/>
        </w:rPr>
        <w:t>部门决算包括：</w:t>
      </w:r>
      <w:r>
        <w:rPr>
          <w:rFonts w:hint="eastAsia" w:ascii="仿宋_GB2312" w:eastAsia="仿宋_GB2312"/>
          <w:sz w:val="32"/>
          <w:szCs w:val="32"/>
          <w:highlight w:val="none"/>
          <w:lang w:eastAsia="zh-CN"/>
        </w:rPr>
        <w:t>吉木萨尔县交通运输局</w:t>
      </w:r>
      <w:r>
        <w:rPr>
          <w:rFonts w:hint="eastAsia" w:ascii="仿宋_GB2312" w:eastAsia="仿宋_GB2312"/>
          <w:sz w:val="32"/>
          <w:szCs w:val="32"/>
          <w:highlight w:val="none"/>
        </w:rPr>
        <w:t>决算。</w:t>
      </w:r>
    </w:p>
    <w:p>
      <w:pPr>
        <w:spacing w:line="540" w:lineRule="exact"/>
        <w:jc w:val="center"/>
        <w:rPr>
          <w:rFonts w:hint="eastAsia" w:ascii="黑体" w:hAnsi="黑体" w:eastAsia="黑体"/>
          <w:sz w:val="32"/>
          <w:szCs w:val="32"/>
          <w:highlight w:val="none"/>
        </w:rPr>
      </w:pPr>
    </w:p>
    <w:p>
      <w:pPr>
        <w:spacing w:line="540" w:lineRule="exact"/>
        <w:jc w:val="center"/>
        <w:rPr>
          <w:rFonts w:hint="eastAsia" w:ascii="黑体" w:hAnsi="黑体" w:eastAsia="黑体"/>
          <w:sz w:val="32"/>
          <w:szCs w:val="32"/>
          <w:highlight w:val="none"/>
        </w:rPr>
      </w:pPr>
    </w:p>
    <w:p>
      <w:pPr>
        <w:spacing w:line="540" w:lineRule="exact"/>
        <w:jc w:val="center"/>
        <w:rPr>
          <w:rFonts w:hint="eastAsia" w:ascii="黑体" w:hAnsi="黑体" w:eastAsia="黑体"/>
          <w:sz w:val="32"/>
          <w:szCs w:val="32"/>
          <w:highlight w:val="none"/>
        </w:rPr>
      </w:pPr>
    </w:p>
    <w:p>
      <w:pPr>
        <w:spacing w:line="540" w:lineRule="exact"/>
        <w:jc w:val="center"/>
        <w:rPr>
          <w:rFonts w:hint="eastAsia" w:ascii="黑体" w:hAnsi="黑体" w:eastAsia="黑体"/>
          <w:sz w:val="32"/>
          <w:szCs w:val="32"/>
          <w:highlight w:val="none"/>
        </w:rPr>
      </w:pPr>
    </w:p>
    <w:p>
      <w:pPr>
        <w:spacing w:line="540" w:lineRule="exact"/>
        <w:jc w:val="center"/>
        <w:rPr>
          <w:rFonts w:hint="eastAsia" w:ascii="黑体" w:hAnsi="黑体" w:eastAsia="黑体"/>
          <w:sz w:val="32"/>
          <w:szCs w:val="32"/>
          <w:highlight w:val="none"/>
        </w:rPr>
      </w:pPr>
    </w:p>
    <w:p>
      <w:pPr>
        <w:spacing w:line="540" w:lineRule="exact"/>
        <w:jc w:val="center"/>
        <w:rPr>
          <w:rFonts w:ascii="黑体" w:hAnsi="黑体" w:eastAsia="黑体"/>
          <w:sz w:val="32"/>
          <w:szCs w:val="32"/>
          <w:highlight w:val="none"/>
        </w:rPr>
      </w:pPr>
      <w:r>
        <w:rPr>
          <w:rFonts w:hint="eastAsia" w:ascii="黑体" w:hAnsi="黑体" w:eastAsia="黑体"/>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0" w:name="_Toc12566"/>
      <w:bookmarkStart w:id="1" w:name="_Toc25314"/>
      <w:r>
        <w:rPr>
          <w:rFonts w:hint="eastAsia" w:ascii="黑体" w:hAnsi="黑体" w:eastAsia="黑体" w:cs="宋体"/>
          <w:bCs/>
          <w:kern w:val="0"/>
          <w:sz w:val="32"/>
          <w:szCs w:val="32"/>
          <w:highlight w:val="none"/>
        </w:rPr>
        <w:t>一、收入支出决算总体情况说明</w:t>
      </w:r>
      <w:bookmarkEnd w:id="0"/>
      <w:bookmarkEnd w:id="1"/>
    </w:p>
    <w:p>
      <w:pPr>
        <w:spacing w:line="540" w:lineRule="exact"/>
        <w:ind w:firstLine="640" w:firstLineChars="200"/>
        <w:rPr>
          <w:rFonts w:hint="eastAsia" w:ascii="仿宋_GB2312" w:hAnsi="Calibri" w:eastAsia="仿宋_GB2312"/>
          <w:sz w:val="32"/>
          <w:szCs w:val="32"/>
          <w:highlight w:val="none"/>
          <w:lang w:val="en-GB" w:eastAsia="zh-CN"/>
        </w:rPr>
      </w:pPr>
      <w:r>
        <w:rPr>
          <w:rFonts w:hint="eastAsia" w:ascii="仿宋_GB2312" w:eastAsia="仿宋_GB2312"/>
          <w:sz w:val="32"/>
          <w:szCs w:val="32"/>
          <w:highlight w:val="none"/>
          <w:lang w:eastAsia="zh-CN"/>
        </w:rPr>
        <w:t>2019年</w:t>
      </w:r>
      <w:r>
        <w:rPr>
          <w:rFonts w:hint="eastAsia" w:ascii="仿宋_GB2312" w:eastAsia="仿宋_GB2312"/>
          <w:sz w:val="32"/>
          <w:szCs w:val="32"/>
          <w:highlight w:val="none"/>
        </w:rPr>
        <w:t>度收入10782.88万元,与上年相比，</w:t>
      </w:r>
      <w:r>
        <w:rPr>
          <w:rFonts w:hint="eastAsia" w:ascii="仿宋_GB2312" w:eastAsia="仿宋_GB2312"/>
          <w:sz w:val="32"/>
          <w:szCs w:val="32"/>
          <w:highlight w:val="none"/>
          <w:lang w:eastAsia="zh-CN"/>
        </w:rPr>
        <w:t>减少</w:t>
      </w:r>
      <w:r>
        <w:rPr>
          <w:rFonts w:hint="eastAsia" w:ascii="仿宋_GB2312" w:eastAsia="仿宋_GB2312"/>
          <w:sz w:val="32"/>
          <w:szCs w:val="32"/>
          <w:highlight w:val="none"/>
        </w:rPr>
        <w:t>16685.72万元，降低60.74%，主要原因是：本年农村公路项目</w:t>
      </w:r>
      <w:r>
        <w:rPr>
          <w:rFonts w:hint="eastAsia" w:ascii="仿宋_GB2312" w:eastAsia="仿宋_GB2312"/>
          <w:sz w:val="32"/>
          <w:szCs w:val="32"/>
          <w:highlight w:val="none"/>
          <w:lang w:eastAsia="zh-CN"/>
        </w:rPr>
        <w:t>、大河沿公路、县二级客运站项目</w:t>
      </w:r>
      <w:r>
        <w:rPr>
          <w:rFonts w:hint="eastAsia" w:ascii="仿宋_GB2312" w:eastAsia="仿宋_GB2312"/>
          <w:sz w:val="32"/>
          <w:szCs w:val="32"/>
          <w:highlight w:val="none"/>
        </w:rPr>
        <w:t>资金减少；</w:t>
      </w:r>
      <w:r>
        <w:rPr>
          <w:rFonts w:hint="eastAsia" w:ascii="仿宋_GB2312" w:eastAsia="仿宋_GB2312"/>
          <w:sz w:val="32"/>
          <w:szCs w:val="32"/>
          <w:highlight w:val="none"/>
          <w:lang w:eastAsia="zh-CN"/>
        </w:rPr>
        <w:t>本年</w:t>
      </w:r>
      <w:r>
        <w:rPr>
          <w:rFonts w:hint="eastAsia" w:ascii="仿宋_GB2312" w:eastAsia="仿宋_GB2312"/>
          <w:sz w:val="32"/>
          <w:szCs w:val="32"/>
          <w:highlight w:val="none"/>
        </w:rPr>
        <w:t>支出8782.65万元,与上年相比，</w:t>
      </w:r>
      <w:r>
        <w:rPr>
          <w:rFonts w:hint="eastAsia" w:ascii="仿宋_GB2312" w:eastAsia="仿宋_GB2312"/>
          <w:sz w:val="32"/>
          <w:szCs w:val="32"/>
          <w:highlight w:val="none"/>
          <w:lang w:eastAsia="zh-CN"/>
        </w:rPr>
        <w:t>减少</w:t>
      </w:r>
      <w:r>
        <w:rPr>
          <w:rFonts w:hint="eastAsia" w:ascii="仿宋_GB2312" w:eastAsia="仿宋_GB2312"/>
          <w:sz w:val="32"/>
          <w:szCs w:val="32"/>
          <w:highlight w:val="none"/>
        </w:rPr>
        <w:t>18507.91万元，降低67.82%，主要原因是：本年农村公路项目</w:t>
      </w:r>
      <w:r>
        <w:rPr>
          <w:rFonts w:hint="eastAsia" w:ascii="仿宋_GB2312" w:eastAsia="仿宋_GB2312"/>
          <w:sz w:val="32"/>
          <w:szCs w:val="32"/>
          <w:highlight w:val="none"/>
          <w:lang w:eastAsia="zh-CN"/>
        </w:rPr>
        <w:t>、大河沿公路、县二级客运站项目</w:t>
      </w:r>
      <w:r>
        <w:rPr>
          <w:rFonts w:hint="eastAsia" w:ascii="仿宋_GB2312" w:eastAsia="仿宋_GB2312"/>
          <w:sz w:val="32"/>
          <w:szCs w:val="32"/>
          <w:highlight w:val="none"/>
        </w:rPr>
        <w:t>资金减少</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2" w:name="_Toc1979"/>
      <w:bookmarkStart w:id="3" w:name="_Toc12142"/>
      <w:r>
        <w:rPr>
          <w:rFonts w:hint="eastAsia" w:ascii="黑体" w:hAnsi="黑体" w:eastAsia="黑体" w:cs="宋体"/>
          <w:bCs/>
          <w:kern w:val="0"/>
          <w:sz w:val="32"/>
          <w:szCs w:val="32"/>
          <w:highlight w:val="none"/>
          <w:lang w:eastAsia="zh-CN"/>
        </w:rPr>
        <w:t>二、</w:t>
      </w:r>
      <w:r>
        <w:rPr>
          <w:rFonts w:hint="eastAsia" w:ascii="黑体" w:hAnsi="黑体" w:eastAsia="黑体" w:cs="宋体"/>
          <w:bCs/>
          <w:kern w:val="0"/>
          <w:sz w:val="32"/>
          <w:szCs w:val="32"/>
          <w:highlight w:val="none"/>
        </w:rPr>
        <w:t>收入</w:t>
      </w:r>
      <w:r>
        <w:rPr>
          <w:rFonts w:hint="eastAsia" w:ascii="黑体" w:hAnsi="黑体" w:eastAsia="黑体" w:cs="宋体"/>
          <w:bCs/>
          <w:kern w:val="0"/>
          <w:sz w:val="32"/>
          <w:szCs w:val="32"/>
          <w:highlight w:val="none"/>
          <w:lang w:eastAsia="zh-CN"/>
        </w:rPr>
        <w:t>决算</w:t>
      </w:r>
      <w:r>
        <w:rPr>
          <w:rFonts w:hint="eastAsia" w:ascii="黑体" w:hAnsi="黑体" w:eastAsia="黑体" w:cs="宋体"/>
          <w:bCs/>
          <w:kern w:val="0"/>
          <w:sz w:val="32"/>
          <w:szCs w:val="32"/>
          <w:highlight w:val="none"/>
        </w:rPr>
        <w:t>情况说明</w:t>
      </w:r>
      <w:bookmarkEnd w:id="2"/>
      <w:bookmarkEnd w:id="3"/>
    </w:p>
    <w:p>
      <w:pPr>
        <w:spacing w:line="54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lang w:val="en-US" w:eastAsia="zh-CN"/>
        </w:rPr>
        <w:t>2019年</w:t>
      </w:r>
      <w:r>
        <w:rPr>
          <w:rFonts w:hint="eastAsia" w:ascii="仿宋_GB2312" w:eastAsia="仿宋_GB2312"/>
          <w:sz w:val="32"/>
          <w:szCs w:val="32"/>
          <w:highlight w:val="none"/>
        </w:rPr>
        <w:t>本年收入10782.88万元，其中：财政拨款收入3073.45万元，占28.50%；上级补助收入0.00万元，占0.00%；事业收入0.00万元，占0.00%；经营收入0.00万元，占0.00%；附属单位缴款0.00万元，占0.00%；其他收入7709.43万元，占71.50%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4" w:name="_Toc27961"/>
      <w:bookmarkStart w:id="5" w:name="_Toc13201"/>
      <w:r>
        <w:rPr>
          <w:rFonts w:hint="eastAsia" w:ascii="黑体" w:hAnsi="黑体" w:eastAsia="黑体" w:cs="宋体"/>
          <w:bCs/>
          <w:kern w:val="0"/>
          <w:sz w:val="32"/>
          <w:szCs w:val="32"/>
          <w:highlight w:val="none"/>
          <w:lang w:eastAsia="zh-CN"/>
        </w:rPr>
        <w:t>三、支出决算情况说明</w:t>
      </w:r>
      <w:bookmarkEnd w:id="4"/>
      <w:bookmarkEnd w:id="5"/>
    </w:p>
    <w:p>
      <w:pPr>
        <w:spacing w:line="540" w:lineRule="exact"/>
        <w:ind w:firstLine="640" w:firstLineChars="200"/>
        <w:rPr>
          <w:rFonts w:ascii="仿宋_GB2312" w:eastAsia="仿宋_GB2312"/>
          <w:spacing w:val="-6"/>
          <w:sz w:val="32"/>
          <w:szCs w:val="32"/>
          <w:highlight w:val="none"/>
        </w:rPr>
      </w:pPr>
      <w:r>
        <w:rPr>
          <w:rFonts w:hint="eastAsia" w:ascii="仿宋_GB2312" w:eastAsia="仿宋_GB2312"/>
          <w:sz w:val="32"/>
          <w:szCs w:val="32"/>
          <w:highlight w:val="none"/>
          <w:lang w:val="en-US" w:eastAsia="zh-CN"/>
        </w:rPr>
        <w:t>2019年</w:t>
      </w:r>
      <w:r>
        <w:rPr>
          <w:rFonts w:hint="eastAsia" w:ascii="仿宋_GB2312" w:eastAsia="仿宋_GB2312"/>
          <w:sz w:val="32"/>
          <w:szCs w:val="32"/>
          <w:highlight w:val="none"/>
        </w:rPr>
        <w:t>本年支出8782.65万元，其中：基本支出1081.74万元，占12.32%；项目支出7,700.91万元，占87.68%；上缴上级支出0.00万元，占0.00%；</w:t>
      </w:r>
      <w:r>
        <w:rPr>
          <w:rFonts w:hint="eastAsia" w:ascii="仿宋_GB2312" w:eastAsia="仿宋_GB2312"/>
          <w:spacing w:val="-6"/>
          <w:sz w:val="32"/>
          <w:szCs w:val="32"/>
          <w:highlight w:val="none"/>
        </w:rPr>
        <w:t>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6" w:name="_Toc26564"/>
      <w:bookmarkStart w:id="7" w:name="_Toc4393"/>
      <w:r>
        <w:rPr>
          <w:rFonts w:hint="eastAsia" w:ascii="黑体" w:hAnsi="黑体" w:eastAsia="黑体" w:cs="宋体"/>
          <w:bCs/>
          <w:kern w:val="0"/>
          <w:sz w:val="32"/>
          <w:szCs w:val="32"/>
          <w:highlight w:val="none"/>
          <w:lang w:eastAsia="zh-CN"/>
        </w:rPr>
        <w:t>四、财政拨款收入支出决算总体情况说明</w:t>
      </w:r>
      <w:bookmarkEnd w:id="6"/>
      <w:bookmarkEnd w:id="7"/>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eastAsia="zh-CN"/>
        </w:rPr>
        <w:t>2019年</w:t>
      </w:r>
      <w:r>
        <w:rPr>
          <w:rFonts w:hint="eastAsia" w:ascii="仿宋_GB2312" w:eastAsia="仿宋_GB2312"/>
          <w:sz w:val="32"/>
          <w:szCs w:val="32"/>
          <w:highlight w:val="none"/>
        </w:rPr>
        <w:t>度财政拨款收入3073.45万元，与上年相比，</w:t>
      </w:r>
      <w:r>
        <w:rPr>
          <w:rFonts w:hint="eastAsia" w:ascii="仿宋_GB2312" w:eastAsia="仿宋_GB2312"/>
          <w:sz w:val="32"/>
          <w:szCs w:val="32"/>
          <w:highlight w:val="none"/>
          <w:lang w:eastAsia="zh-CN"/>
        </w:rPr>
        <w:t>减少</w:t>
      </w:r>
      <w:r>
        <w:rPr>
          <w:rFonts w:hint="eastAsia" w:ascii="仿宋_GB2312" w:eastAsia="仿宋_GB2312"/>
          <w:sz w:val="32"/>
          <w:szCs w:val="32"/>
          <w:highlight w:val="none"/>
        </w:rPr>
        <w:t>9267.74万元，降低75.10%。主要原因是：本年农村公路项目</w:t>
      </w:r>
      <w:r>
        <w:rPr>
          <w:rFonts w:hint="eastAsia" w:ascii="仿宋_GB2312" w:eastAsia="仿宋_GB2312"/>
          <w:sz w:val="32"/>
          <w:szCs w:val="32"/>
          <w:highlight w:val="none"/>
          <w:lang w:eastAsia="zh-CN"/>
        </w:rPr>
        <w:t>、大河沿公路、县二级客运站项目</w:t>
      </w:r>
      <w:r>
        <w:rPr>
          <w:rFonts w:hint="eastAsia" w:ascii="仿宋_GB2312" w:eastAsia="仿宋_GB2312"/>
          <w:sz w:val="32"/>
          <w:szCs w:val="32"/>
          <w:highlight w:val="none"/>
        </w:rPr>
        <w:t>资金减少。财政拨款支出3073.45万元，与上年相比，</w:t>
      </w:r>
      <w:r>
        <w:rPr>
          <w:rFonts w:hint="eastAsia" w:ascii="仿宋_GB2312" w:eastAsia="仿宋_GB2312"/>
          <w:sz w:val="32"/>
          <w:szCs w:val="32"/>
          <w:highlight w:val="none"/>
          <w:lang w:eastAsia="zh-CN"/>
        </w:rPr>
        <w:t>减少</w:t>
      </w:r>
      <w:r>
        <w:rPr>
          <w:rFonts w:hint="eastAsia" w:ascii="仿宋_GB2312" w:eastAsia="仿宋_GB2312"/>
          <w:sz w:val="32"/>
          <w:szCs w:val="32"/>
          <w:highlight w:val="none"/>
        </w:rPr>
        <w:t>9267.74万元，降低75.10%，主要原因是：本年农村公路项目</w:t>
      </w:r>
      <w:r>
        <w:rPr>
          <w:rFonts w:hint="eastAsia" w:ascii="仿宋_GB2312" w:eastAsia="仿宋_GB2312"/>
          <w:sz w:val="32"/>
          <w:szCs w:val="32"/>
          <w:highlight w:val="none"/>
          <w:lang w:eastAsia="zh-CN"/>
        </w:rPr>
        <w:t>、大河沿公路、县二级客运站项目</w:t>
      </w:r>
      <w:r>
        <w:rPr>
          <w:rFonts w:hint="eastAsia" w:ascii="仿宋_GB2312" w:eastAsia="仿宋_GB2312"/>
          <w:sz w:val="32"/>
          <w:szCs w:val="32"/>
          <w:highlight w:val="none"/>
        </w:rPr>
        <w:t>资金减少。</w:t>
      </w:r>
    </w:p>
    <w:p>
      <w:pPr>
        <w:spacing w:line="54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与年初预算数相比情况：财政拨款收入年初预算数231.34万元，决算数3073.45万元，预决算差异率1228.5</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%，主要原因</w:t>
      </w:r>
      <w:r>
        <w:rPr>
          <w:rFonts w:hint="eastAsia" w:ascii="仿宋_GB2312" w:eastAsia="仿宋_GB2312"/>
          <w:sz w:val="32"/>
          <w:szCs w:val="32"/>
          <w:highlight w:val="none"/>
          <w:lang w:eastAsia="zh-CN"/>
        </w:rPr>
        <w:t>是</w:t>
      </w:r>
      <w:r>
        <w:rPr>
          <w:rFonts w:hint="eastAsia" w:ascii="仿宋_GB2312" w:eastAsia="仿宋_GB2312"/>
          <w:sz w:val="32"/>
          <w:szCs w:val="32"/>
          <w:highlight w:val="none"/>
        </w:rPr>
        <w:t>小修养护工程</w:t>
      </w:r>
      <w:r>
        <w:rPr>
          <w:rFonts w:hint="eastAsia" w:ascii="仿宋_GB2312" w:eastAsia="仿宋_GB2312"/>
          <w:sz w:val="32"/>
          <w:szCs w:val="32"/>
          <w:highlight w:val="none"/>
          <w:lang w:eastAsia="zh-CN"/>
        </w:rPr>
        <w:t>、农村公路建设支出、农村公路建设资金等项目年中追加预算，导致预决算差异率较大</w:t>
      </w:r>
      <w:r>
        <w:rPr>
          <w:rFonts w:hint="eastAsia" w:ascii="仿宋_GB2312" w:eastAsia="仿宋_GB2312"/>
          <w:sz w:val="32"/>
          <w:szCs w:val="32"/>
          <w:highlight w:val="none"/>
        </w:rPr>
        <w:t>。财政拨款支出年初预算数231.34万元，决算数</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073.45万元，预决算差异率1228.5</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%，主要原因</w:t>
      </w:r>
      <w:r>
        <w:rPr>
          <w:rFonts w:hint="eastAsia" w:ascii="仿宋_GB2312" w:eastAsia="仿宋_GB2312"/>
          <w:sz w:val="32"/>
          <w:szCs w:val="32"/>
          <w:highlight w:val="none"/>
          <w:lang w:eastAsia="zh-CN"/>
        </w:rPr>
        <w:t>是</w:t>
      </w:r>
      <w:r>
        <w:rPr>
          <w:rFonts w:hint="eastAsia" w:ascii="仿宋_GB2312" w:eastAsia="仿宋_GB2312"/>
          <w:sz w:val="32"/>
          <w:szCs w:val="32"/>
          <w:highlight w:val="none"/>
        </w:rPr>
        <w:t>小修养护工程</w:t>
      </w:r>
      <w:r>
        <w:rPr>
          <w:rFonts w:hint="eastAsia" w:ascii="仿宋_GB2312" w:eastAsia="仿宋_GB2312"/>
          <w:sz w:val="32"/>
          <w:szCs w:val="32"/>
          <w:highlight w:val="none"/>
          <w:lang w:eastAsia="zh-CN"/>
        </w:rPr>
        <w:t>、农村公路建设支出、农村公路建设资金等项目年中追加预算，导致预决算差异率较大</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8" w:name="_Toc20360"/>
      <w:bookmarkStart w:id="9" w:name="_Toc13833"/>
      <w:r>
        <w:rPr>
          <w:rFonts w:hint="eastAsia" w:ascii="黑体" w:hAnsi="黑体" w:eastAsia="黑体" w:cs="宋体"/>
          <w:bCs/>
          <w:kern w:val="0"/>
          <w:sz w:val="32"/>
          <w:szCs w:val="32"/>
          <w:highlight w:val="none"/>
          <w:lang w:eastAsia="zh-CN"/>
        </w:rPr>
        <w:t>五、一般公共预算财政拨款支出决算情况说明</w:t>
      </w:r>
      <w:bookmarkEnd w:id="8"/>
      <w:bookmarkEnd w:id="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2019年</w:t>
      </w:r>
      <w:r>
        <w:rPr>
          <w:rFonts w:hint="eastAsia" w:ascii="仿宋_GB2312" w:eastAsia="仿宋_GB2312"/>
          <w:sz w:val="32"/>
          <w:szCs w:val="32"/>
          <w:highlight w:val="none"/>
        </w:rPr>
        <w:t>度一般公共预算财政拨款支出3073.45万元。</w:t>
      </w:r>
      <w:r>
        <w:rPr>
          <w:rFonts w:hint="eastAsia" w:ascii="仿宋_GB2312" w:eastAsia="仿宋_GB2312"/>
          <w:sz w:val="32"/>
          <w:szCs w:val="32"/>
        </w:rPr>
        <w:t>按功能分类科目</w:t>
      </w:r>
      <w:r>
        <w:rPr>
          <w:rFonts w:hint="eastAsia" w:ascii="仿宋_GB2312" w:eastAsia="仿宋_GB2312"/>
          <w:sz w:val="32"/>
          <w:szCs w:val="32"/>
          <w:lang w:eastAsia="zh-CN"/>
        </w:rPr>
        <w:t>项</w:t>
      </w:r>
      <w:r>
        <w:rPr>
          <w:rFonts w:hint="eastAsia" w:ascii="仿宋_GB2312" w:eastAsia="仿宋_GB2312"/>
          <w:sz w:val="32"/>
          <w:szCs w:val="32"/>
        </w:rPr>
        <w:t>级科目公开</w:t>
      </w:r>
      <w:r>
        <w:rPr>
          <w:rFonts w:hint="eastAsia" w:ascii="仿宋_GB2312" w:eastAsia="仿宋_GB2312"/>
          <w:sz w:val="32"/>
          <w:szCs w:val="32"/>
          <w:lang w:eastAsia="zh-CN"/>
        </w:rPr>
        <w:t>，</w:t>
      </w:r>
      <w:r>
        <w:rPr>
          <w:rFonts w:hint="eastAsia" w:ascii="仿宋_GB2312" w:eastAsia="仿宋_GB2312"/>
          <w:sz w:val="32"/>
          <w:szCs w:val="32"/>
          <w:highlight w:val="none"/>
          <w:lang w:eastAsia="zh-CN"/>
        </w:rPr>
        <w:t>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2010499其他发展与改革事务支出</w:t>
      </w:r>
      <w:r>
        <w:rPr>
          <w:rFonts w:hint="eastAsia" w:ascii="仿宋_GB2312" w:eastAsia="仿宋_GB2312"/>
          <w:sz w:val="32"/>
          <w:szCs w:val="32"/>
          <w:highlight w:val="none"/>
        </w:rPr>
        <w:t>200.00万元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2080501归口管理的行政单位离退休</w:t>
      </w:r>
      <w:r>
        <w:rPr>
          <w:rFonts w:hint="eastAsia" w:ascii="仿宋_GB2312" w:eastAsia="仿宋_GB2312"/>
          <w:sz w:val="32"/>
          <w:szCs w:val="32"/>
          <w:highlight w:val="none"/>
        </w:rPr>
        <w:t>1.02万元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2080505机关事业单位基本养老保险缴费支出19.31万元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left="638" w:leftChars="304" w:firstLine="0" w:firstLineChars="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2080506机关事业单位职业年金缴费支出1.04万元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2101101行政单位医疗10.22</w:t>
      </w:r>
      <w:r>
        <w:rPr>
          <w:rFonts w:hint="eastAsia" w:ascii="仿宋_GB2312" w:eastAsia="仿宋_GB2312"/>
          <w:sz w:val="32"/>
          <w:szCs w:val="32"/>
          <w:highlight w:val="none"/>
          <w:lang w:eastAsia="zh-CN"/>
        </w:rPr>
        <w:t>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210110</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事业单位医疗2.18</w:t>
      </w:r>
      <w:r>
        <w:rPr>
          <w:rFonts w:hint="eastAsia" w:ascii="仿宋_GB2312" w:eastAsia="仿宋_GB2312"/>
          <w:sz w:val="32"/>
          <w:szCs w:val="32"/>
          <w:highlight w:val="none"/>
          <w:lang w:eastAsia="zh-CN"/>
        </w:rPr>
        <w:t>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2101103公务员医疗补助9.34万元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2130142农村道路建设1291.13万元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2140101行政运行201.59万元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2140104公路建设</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5.00万元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2140106公路养护300.00万元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2140199其他公路水路运输支出236.17万元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2140401对城市公交的补贴88.70万元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2140402对农村道路客运的补贴451.53万元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2140602车辆购置税用于农村公路建设支出246.23万元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0" w:name="_Toc11146"/>
      <w:bookmarkStart w:id="11" w:name="_Toc30870"/>
      <w:r>
        <w:rPr>
          <w:rFonts w:hint="eastAsia" w:ascii="黑体" w:hAnsi="黑体" w:eastAsia="黑体" w:cs="宋体"/>
          <w:bCs/>
          <w:kern w:val="0"/>
          <w:sz w:val="32"/>
          <w:szCs w:val="32"/>
          <w:highlight w:val="none"/>
          <w:lang w:eastAsia="zh-CN"/>
        </w:rPr>
        <w:t>六、一般公共预算财政拨款基本支出决算情况说明</w:t>
      </w:r>
      <w:bookmarkEnd w:id="10"/>
      <w:bookmarkEnd w:id="1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lang w:val="en-US" w:eastAsia="zh-CN"/>
        </w:rPr>
        <w:t>2019</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一般公共预算财政拨款基本支出1021.09万元，其中：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人员经费</w:t>
      </w:r>
      <w:r>
        <w:rPr>
          <w:rFonts w:hint="eastAsia" w:ascii="仿宋_GB2312" w:eastAsia="仿宋_GB2312"/>
          <w:sz w:val="32"/>
          <w:szCs w:val="32"/>
          <w:highlight w:val="none"/>
          <w:lang w:val="en-US" w:eastAsia="zh-CN"/>
        </w:rPr>
        <w:t>975.15</w:t>
      </w:r>
      <w:r>
        <w:rPr>
          <w:rFonts w:hint="eastAsia" w:ascii="仿宋_GB2312" w:eastAsia="仿宋_GB2312"/>
          <w:sz w:val="32"/>
          <w:szCs w:val="32"/>
          <w:highlight w:val="none"/>
        </w:rPr>
        <w:t>万元，包括：基本工资</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津贴补贴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奖金</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伙食补助费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机关事业单位基本养老保险缴费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职业年金缴费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职工基本医疗保险缴费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公务员医疗补助缴费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其他社会保障缴费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住房公积金</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其他工资福利支出</w:t>
      </w:r>
      <w:r>
        <w:rPr>
          <w:rFonts w:hint="eastAsia" w:ascii="仿宋_GB2312" w:eastAsia="仿宋_GB2312"/>
          <w:sz w:val="32"/>
          <w:szCs w:val="32"/>
          <w:highlight w:val="none"/>
          <w:lang w:eastAsia="zh-CN"/>
        </w:rPr>
        <w:t>、生活补助、其他对个人和家庭的补助。</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公用经费</w:t>
      </w:r>
      <w:r>
        <w:rPr>
          <w:rFonts w:hint="eastAsia" w:ascii="仿宋_GB2312" w:eastAsia="仿宋_GB2312"/>
          <w:sz w:val="32"/>
          <w:szCs w:val="32"/>
          <w:highlight w:val="none"/>
          <w:lang w:val="en-US" w:eastAsia="zh-CN"/>
        </w:rPr>
        <w:t>45.94</w:t>
      </w:r>
      <w:r>
        <w:rPr>
          <w:rFonts w:hint="eastAsia" w:ascii="仿宋_GB2312" w:eastAsia="仿宋_GB2312"/>
          <w:sz w:val="32"/>
          <w:szCs w:val="32"/>
          <w:highlight w:val="none"/>
        </w:rPr>
        <w:t>万元，包括：办公费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咨询费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手续费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邮电费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取暖费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差旅费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维修（护）费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培训费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劳务费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委托业务费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工会经费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公务用车运行维护费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其他商品和服务支出</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2" w:name="_Toc7190"/>
      <w:bookmarkStart w:id="13" w:name="_Toc21518"/>
      <w:r>
        <w:rPr>
          <w:rFonts w:hint="eastAsia" w:ascii="黑体" w:hAnsi="黑体" w:eastAsia="黑体" w:cs="宋体"/>
          <w:bCs/>
          <w:kern w:val="0"/>
          <w:sz w:val="32"/>
          <w:szCs w:val="32"/>
          <w:highlight w:val="none"/>
          <w:lang w:eastAsia="zh-CN"/>
        </w:rPr>
        <w:t>七</w:t>
      </w:r>
      <w:r>
        <w:rPr>
          <w:rFonts w:hint="eastAsia" w:ascii="黑体" w:hAnsi="黑体" w:eastAsia="黑体" w:cs="宋体"/>
          <w:bCs/>
          <w:kern w:val="0"/>
          <w:sz w:val="32"/>
          <w:szCs w:val="32"/>
          <w:highlight w:val="none"/>
        </w:rPr>
        <w:t>、一般公共预算</w:t>
      </w:r>
      <w:r>
        <w:rPr>
          <w:rFonts w:hint="eastAsia" w:ascii="黑体" w:hAnsi="黑体" w:eastAsia="黑体" w:cs="宋体"/>
          <w:bCs/>
          <w:kern w:val="0"/>
          <w:sz w:val="32"/>
          <w:szCs w:val="32"/>
          <w:highlight w:val="none"/>
          <w:lang w:eastAsia="zh-CN"/>
        </w:rPr>
        <w:t>财政拨款</w:t>
      </w:r>
      <w:r>
        <w:rPr>
          <w:rFonts w:hint="eastAsia" w:ascii="黑体" w:hAnsi="黑体" w:eastAsia="黑体" w:cs="宋体"/>
          <w:bCs/>
          <w:kern w:val="0"/>
          <w:sz w:val="32"/>
          <w:szCs w:val="32"/>
          <w:highlight w:val="none"/>
        </w:rPr>
        <w:t>“三公”经费支出</w:t>
      </w:r>
      <w:r>
        <w:rPr>
          <w:rFonts w:hint="eastAsia" w:ascii="黑体" w:hAnsi="黑体" w:eastAsia="黑体" w:cs="宋体"/>
          <w:bCs/>
          <w:kern w:val="0"/>
          <w:sz w:val="32"/>
          <w:szCs w:val="32"/>
          <w:highlight w:val="none"/>
          <w:lang w:eastAsia="zh-CN"/>
        </w:rPr>
        <w:t>决算</w:t>
      </w:r>
      <w:r>
        <w:rPr>
          <w:rFonts w:hint="eastAsia" w:ascii="黑体" w:hAnsi="黑体" w:eastAsia="黑体" w:cs="宋体"/>
          <w:bCs/>
          <w:kern w:val="0"/>
          <w:sz w:val="32"/>
          <w:szCs w:val="32"/>
          <w:highlight w:val="none"/>
        </w:rPr>
        <w:t>情况</w:t>
      </w:r>
      <w:r>
        <w:rPr>
          <w:rFonts w:hint="eastAsia" w:ascii="黑体" w:hAnsi="黑体" w:eastAsia="黑体" w:cs="宋体"/>
          <w:bCs/>
          <w:kern w:val="0"/>
          <w:sz w:val="32"/>
          <w:szCs w:val="32"/>
          <w:highlight w:val="none"/>
          <w:lang w:eastAsia="zh-CN"/>
        </w:rPr>
        <w:t>说明</w:t>
      </w:r>
      <w:bookmarkEnd w:id="12"/>
      <w:bookmarkEnd w:id="13"/>
    </w:p>
    <w:p>
      <w:pPr>
        <w:spacing w:line="54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2019年</w:t>
      </w:r>
      <w:r>
        <w:rPr>
          <w:rFonts w:hint="eastAsia" w:ascii="仿宋_GB2312" w:eastAsia="仿宋_GB2312"/>
          <w:sz w:val="32"/>
          <w:szCs w:val="32"/>
          <w:highlight w:val="none"/>
        </w:rPr>
        <w:t>度一般公共预算“三公”经费支出决算7.59万元，比上年减少4.41万元，降低36.7</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w:t>
      </w:r>
      <w:r>
        <w:rPr>
          <w:rFonts w:hint="eastAsia" w:ascii="仿宋_GB2312" w:eastAsia="仿宋_GB2312"/>
          <w:sz w:val="32"/>
          <w:szCs w:val="32"/>
          <w:highlight w:val="none"/>
        </w:rPr>
        <w:t>原因是本年</w:t>
      </w:r>
      <w:r>
        <w:rPr>
          <w:rFonts w:hint="eastAsia" w:ascii="仿宋_GB2312" w:eastAsia="仿宋_GB2312"/>
          <w:sz w:val="32"/>
          <w:szCs w:val="32"/>
          <w:highlight w:val="none"/>
          <w:lang w:eastAsia="zh-CN"/>
        </w:rPr>
        <w:t>严格执行八项规定，压减经费支出</w:t>
      </w:r>
      <w:r>
        <w:rPr>
          <w:rFonts w:hint="eastAsia" w:ascii="仿宋_GB2312" w:eastAsia="仿宋_GB2312"/>
          <w:sz w:val="32"/>
          <w:szCs w:val="32"/>
          <w:highlight w:val="none"/>
        </w:rPr>
        <w:t>。其中，因公出国（境）费支出0.00万元，占0.00%，比上年增加0.0万元，</w:t>
      </w:r>
      <w:r>
        <w:rPr>
          <w:rFonts w:hint="eastAsia" w:ascii="仿宋_GB2312" w:eastAsia="仿宋_GB2312"/>
          <w:sz w:val="32"/>
          <w:szCs w:val="32"/>
          <w:highlight w:val="none"/>
          <w:lang w:eastAsia="zh-CN"/>
        </w:rPr>
        <w:t>增长</w:t>
      </w:r>
      <w:r>
        <w:rPr>
          <w:rFonts w:hint="eastAsia" w:ascii="仿宋_GB2312" w:eastAsia="仿宋_GB2312"/>
          <w:sz w:val="32"/>
          <w:szCs w:val="32"/>
          <w:highlight w:val="none"/>
        </w:rPr>
        <w:t>0%，</w:t>
      </w:r>
      <w:r>
        <w:rPr>
          <w:rFonts w:hint="eastAsia" w:ascii="仿宋_GB2312" w:eastAsia="仿宋_GB2312"/>
          <w:sz w:val="32"/>
          <w:szCs w:val="32"/>
          <w:highlight w:val="none"/>
          <w:lang w:eastAsia="zh-CN"/>
        </w:rPr>
        <w:t>主要</w:t>
      </w:r>
      <w:r>
        <w:rPr>
          <w:rFonts w:hint="eastAsia" w:ascii="仿宋_GB2312" w:eastAsia="仿宋_GB2312"/>
          <w:sz w:val="32"/>
          <w:szCs w:val="32"/>
          <w:highlight w:val="none"/>
        </w:rPr>
        <w:t>原因是</w:t>
      </w:r>
      <w:r>
        <w:rPr>
          <w:rFonts w:hint="eastAsia" w:ascii="仿宋_GB2312" w:eastAsia="仿宋_GB2312"/>
          <w:sz w:val="32"/>
          <w:szCs w:val="32"/>
          <w:highlight w:val="none"/>
          <w:lang w:eastAsia="zh-CN"/>
        </w:rPr>
        <w:t>无</w:t>
      </w:r>
      <w:r>
        <w:rPr>
          <w:rFonts w:hint="eastAsia" w:ascii="仿宋_GB2312" w:eastAsia="仿宋_GB2312"/>
          <w:sz w:val="32"/>
          <w:szCs w:val="32"/>
          <w:highlight w:val="none"/>
        </w:rPr>
        <w:t>因公出国（境）费；公务用车购置及运行维护费支出6.08万元，占80.12%，比上年减少4.20万元，降低</w:t>
      </w:r>
      <w:r>
        <w:rPr>
          <w:rFonts w:hint="eastAsia" w:ascii="仿宋_GB2312" w:eastAsia="仿宋_GB2312"/>
          <w:sz w:val="32"/>
          <w:szCs w:val="32"/>
          <w:highlight w:val="none"/>
          <w:lang w:val="en-US" w:eastAsia="zh-CN"/>
        </w:rPr>
        <w:t>40.86</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w:t>
      </w:r>
      <w:r>
        <w:rPr>
          <w:rFonts w:hint="eastAsia" w:ascii="仿宋_GB2312" w:eastAsia="仿宋_GB2312"/>
          <w:sz w:val="32"/>
          <w:szCs w:val="32"/>
          <w:highlight w:val="none"/>
        </w:rPr>
        <w:t>原因是本年</w:t>
      </w:r>
      <w:r>
        <w:rPr>
          <w:rFonts w:hint="eastAsia" w:ascii="仿宋_GB2312" w:eastAsia="仿宋_GB2312"/>
          <w:sz w:val="32"/>
          <w:szCs w:val="32"/>
          <w:highlight w:val="none"/>
          <w:lang w:eastAsia="zh-CN"/>
        </w:rPr>
        <w:t>严格执行八项规定，</w:t>
      </w:r>
      <w:r>
        <w:rPr>
          <w:rFonts w:hint="eastAsia" w:ascii="仿宋_GB2312" w:eastAsia="仿宋_GB2312"/>
          <w:sz w:val="32"/>
          <w:szCs w:val="32"/>
          <w:highlight w:val="none"/>
        </w:rPr>
        <w:t>车辆费用减少；公务接待费支出1.51万元，占19.88%，比上年</w:t>
      </w:r>
      <w:r>
        <w:rPr>
          <w:rFonts w:hint="eastAsia" w:ascii="仿宋_GB2312" w:eastAsia="仿宋_GB2312"/>
          <w:sz w:val="32"/>
          <w:szCs w:val="32"/>
          <w:highlight w:val="none"/>
          <w:lang w:eastAsia="zh-CN"/>
        </w:rPr>
        <w:t>减少0.21</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下降12.</w:t>
      </w:r>
      <w:r>
        <w:rPr>
          <w:rFonts w:hint="eastAsia" w:ascii="仿宋_GB2312" w:eastAsia="仿宋_GB2312"/>
          <w:sz w:val="32"/>
          <w:szCs w:val="32"/>
          <w:highlight w:val="none"/>
          <w:lang w:val="en-US" w:eastAsia="zh-CN"/>
        </w:rPr>
        <w:t>21</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w:t>
      </w:r>
      <w:r>
        <w:rPr>
          <w:rFonts w:hint="eastAsia" w:ascii="仿宋_GB2312" w:eastAsia="仿宋_GB2312"/>
          <w:sz w:val="32"/>
          <w:szCs w:val="32"/>
          <w:highlight w:val="none"/>
        </w:rPr>
        <w:t>原因是</w:t>
      </w:r>
      <w:r>
        <w:rPr>
          <w:rFonts w:hint="eastAsia" w:ascii="仿宋_GB2312" w:eastAsia="仿宋_GB2312"/>
          <w:sz w:val="32"/>
          <w:szCs w:val="32"/>
          <w:highlight w:val="none"/>
          <w:lang w:eastAsia="zh-CN"/>
        </w:rPr>
        <w:t>严格执行八项规定，减少接待支出</w:t>
      </w:r>
      <w:r>
        <w:rPr>
          <w:rFonts w:hint="eastAsia" w:ascii="仿宋_GB2312" w:eastAsia="仿宋_GB2312"/>
          <w:sz w:val="32"/>
          <w:szCs w:val="32"/>
          <w:highlight w:val="none"/>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因公出国（境）费支出0.00万元。开支内容包括：</w:t>
      </w:r>
      <w:r>
        <w:rPr>
          <w:rFonts w:hint="eastAsia" w:ascii="仿宋_GB2312" w:eastAsia="仿宋_GB2312"/>
          <w:sz w:val="32"/>
          <w:szCs w:val="32"/>
          <w:highlight w:val="none"/>
          <w:lang w:eastAsia="zh-CN"/>
        </w:rPr>
        <w:t>无</w:t>
      </w:r>
      <w:r>
        <w:rPr>
          <w:rFonts w:hint="eastAsia" w:ascii="仿宋_GB2312" w:eastAsia="仿宋_GB2312"/>
          <w:sz w:val="32"/>
          <w:szCs w:val="32"/>
          <w:highlight w:val="none"/>
        </w:rPr>
        <w:t>因公出国（境）费</w:t>
      </w:r>
      <w:r>
        <w:rPr>
          <w:rFonts w:hint="eastAsia" w:ascii="仿宋_GB2312" w:eastAsia="仿宋_GB2312"/>
          <w:sz w:val="32"/>
          <w:szCs w:val="32"/>
          <w:highlight w:val="none"/>
          <w:lang w:eastAsia="zh-CN"/>
        </w:rPr>
        <w:t>，吉木萨尔县交通运输局</w:t>
      </w:r>
      <w:r>
        <w:rPr>
          <w:rFonts w:hint="eastAsia" w:ascii="仿宋_GB2312" w:eastAsia="仿宋_GB2312"/>
          <w:sz w:val="32"/>
          <w:szCs w:val="32"/>
          <w:highlight w:val="none"/>
        </w:rPr>
        <w:t>全年安排的出国（境）团组0个，累计0人次。</w:t>
      </w: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公务用车购置及运行维护费6.08万元,其中，公务用车购置0.00万元，公务用车运行维护费6.08万元。公务用车运行维护费开支内容包括：主要用于公务用车燃料费、维修费、保险费等。公务用车购置</w:t>
      </w:r>
      <w:r>
        <w:rPr>
          <w:rFonts w:hint="eastAsia" w:ascii="仿宋_GB2312" w:eastAsia="仿宋_GB2312"/>
          <w:sz w:val="32"/>
          <w:szCs w:val="32"/>
          <w:highlight w:val="none"/>
          <w:lang w:eastAsia="zh-CN"/>
        </w:rPr>
        <w:t>数</w:t>
      </w:r>
      <w:r>
        <w:rPr>
          <w:rFonts w:hint="eastAsia" w:ascii="仿宋_GB2312" w:eastAsia="仿宋_GB2312"/>
          <w:sz w:val="32"/>
          <w:szCs w:val="32"/>
          <w:highlight w:val="none"/>
        </w:rPr>
        <w:t>0辆，公务用车保有量</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辆。</w:t>
      </w:r>
    </w:p>
    <w:p>
      <w:pPr>
        <w:spacing w:line="54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公务接待费</w:t>
      </w:r>
      <w:r>
        <w:rPr>
          <w:rFonts w:hint="eastAsia" w:ascii="仿宋_GB2312" w:eastAsia="仿宋_GB2312"/>
          <w:sz w:val="32"/>
          <w:szCs w:val="32"/>
          <w:highlight w:val="none"/>
          <w:lang w:val="en-US" w:eastAsia="zh-CN"/>
        </w:rPr>
        <w:t>1.51</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，开支内容包括：</w:t>
      </w:r>
      <w:r>
        <w:rPr>
          <w:rFonts w:hint="eastAsia" w:ascii="仿宋_GB2312" w:eastAsia="仿宋_GB2312"/>
          <w:sz w:val="32"/>
          <w:szCs w:val="32"/>
          <w:highlight w:val="none"/>
        </w:rPr>
        <w:t>主要是接待上级单位检查来人。</w:t>
      </w:r>
      <w:r>
        <w:rPr>
          <w:rFonts w:hint="eastAsia" w:ascii="仿宋_GB2312" w:eastAsia="仿宋_GB2312"/>
          <w:sz w:val="32"/>
          <w:szCs w:val="32"/>
          <w:highlight w:val="none"/>
          <w:lang w:eastAsia="zh-CN"/>
        </w:rPr>
        <w:t>吉木萨尔县交通运输局全年安排的</w:t>
      </w:r>
      <w:r>
        <w:rPr>
          <w:rFonts w:hint="eastAsia" w:ascii="仿宋_GB2312" w:eastAsia="仿宋_GB2312"/>
          <w:sz w:val="32"/>
          <w:szCs w:val="32"/>
          <w:highlight w:val="none"/>
        </w:rPr>
        <w:t>国内公务接待</w:t>
      </w:r>
      <w:r>
        <w:rPr>
          <w:rFonts w:hint="eastAsia" w:ascii="仿宋_GB2312" w:eastAsia="仿宋_GB2312"/>
          <w:sz w:val="32"/>
          <w:szCs w:val="32"/>
          <w:highlight w:val="none"/>
          <w:lang w:val="en-US" w:eastAsia="zh-CN"/>
        </w:rPr>
        <w:t>32</w:t>
      </w:r>
      <w:r>
        <w:rPr>
          <w:rFonts w:hint="eastAsia" w:ascii="仿宋_GB2312" w:eastAsia="仿宋_GB2312"/>
          <w:sz w:val="32"/>
          <w:szCs w:val="32"/>
          <w:highlight w:val="none"/>
        </w:rPr>
        <w:t>批次，</w:t>
      </w:r>
      <w:r>
        <w:rPr>
          <w:rFonts w:hint="eastAsia" w:ascii="仿宋_GB2312" w:eastAsia="仿宋_GB2312"/>
          <w:sz w:val="32"/>
          <w:szCs w:val="32"/>
          <w:highlight w:val="none"/>
          <w:lang w:val="en-US" w:eastAsia="zh-CN"/>
        </w:rPr>
        <w:t>436</w:t>
      </w:r>
      <w:r>
        <w:rPr>
          <w:rFonts w:hint="eastAsia" w:ascii="仿宋_GB2312" w:eastAsia="仿宋_GB2312"/>
          <w:sz w:val="32"/>
          <w:szCs w:val="32"/>
          <w:highlight w:val="none"/>
        </w:rPr>
        <w:t>人次。</w:t>
      </w:r>
    </w:p>
    <w:p>
      <w:pPr>
        <w:spacing w:line="540" w:lineRule="exact"/>
        <w:ind w:firstLine="640" w:firstLineChars="200"/>
        <w:rPr>
          <w:rFonts w:ascii="仿宋_GB2312" w:hAnsi="宋体" w:eastAsia="仿宋_GB2312" w:cs="宋体"/>
          <w:kern w:val="0"/>
          <w:sz w:val="32"/>
          <w:szCs w:val="32"/>
          <w:highlight w:val="none"/>
        </w:rPr>
      </w:pPr>
      <w:r>
        <w:rPr>
          <w:rFonts w:hint="eastAsia" w:ascii="仿宋_GB2312" w:eastAsia="仿宋_GB2312"/>
          <w:sz w:val="32"/>
          <w:szCs w:val="32"/>
          <w:highlight w:val="none"/>
        </w:rPr>
        <w:t>与年初预算数相比情况：一般公共预算“三公”经费支出年初预算数7.59万元，决算数7.59万元，预决算差异率</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%，主要原因</w:t>
      </w:r>
      <w:r>
        <w:rPr>
          <w:rFonts w:hint="eastAsia" w:ascii="仿宋_GB2312" w:eastAsia="仿宋_GB2312"/>
          <w:sz w:val="32"/>
          <w:szCs w:val="32"/>
          <w:highlight w:val="none"/>
          <w:lang w:eastAsia="zh-CN"/>
        </w:rPr>
        <w:t>是：预决算无差异</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其中：因公出国（境）费</w:t>
      </w:r>
      <w:r>
        <w:rPr>
          <w:rFonts w:hint="eastAsia" w:ascii="仿宋_GB2312" w:eastAsia="仿宋_GB2312"/>
          <w:sz w:val="32"/>
          <w:szCs w:val="32"/>
          <w:highlight w:val="none"/>
        </w:rPr>
        <w:t>预算数0.00万元，决算数0.00万元，预决算差异率0.00%，主要原因</w:t>
      </w:r>
      <w:r>
        <w:rPr>
          <w:rFonts w:hint="eastAsia" w:ascii="仿宋_GB2312" w:eastAsia="仿宋_GB2312"/>
          <w:sz w:val="32"/>
          <w:szCs w:val="32"/>
          <w:highlight w:val="none"/>
          <w:lang w:eastAsia="zh-CN"/>
        </w:rPr>
        <w:t>是：无</w:t>
      </w:r>
      <w:r>
        <w:rPr>
          <w:rFonts w:hint="eastAsia" w:ascii="仿宋_GB2312" w:hAnsi="宋体" w:eastAsia="仿宋_GB2312" w:cs="宋体"/>
          <w:kern w:val="0"/>
          <w:sz w:val="32"/>
          <w:szCs w:val="32"/>
          <w:highlight w:val="none"/>
        </w:rPr>
        <w:t>因公出国（境）费</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公务用车购置</w:t>
      </w:r>
      <w:r>
        <w:rPr>
          <w:rFonts w:hint="eastAsia" w:ascii="仿宋_GB2312" w:eastAsia="仿宋_GB2312"/>
          <w:sz w:val="32"/>
          <w:szCs w:val="32"/>
          <w:highlight w:val="none"/>
        </w:rPr>
        <w:t>预算数0万元，决算数0.00万元，预决算差异率0.00%，主要</w:t>
      </w:r>
      <w:r>
        <w:rPr>
          <w:rFonts w:hint="eastAsia" w:ascii="仿宋_GB2312" w:eastAsia="仿宋_GB2312"/>
          <w:sz w:val="32"/>
          <w:szCs w:val="32"/>
          <w:highlight w:val="none"/>
          <w:lang w:eastAsia="zh-CN"/>
        </w:rPr>
        <w:t>原因是：无</w:t>
      </w:r>
      <w:r>
        <w:rPr>
          <w:rFonts w:hint="eastAsia" w:ascii="仿宋_GB2312" w:hAnsi="宋体" w:eastAsia="仿宋_GB2312" w:cs="宋体"/>
          <w:kern w:val="0"/>
          <w:sz w:val="32"/>
          <w:szCs w:val="32"/>
          <w:highlight w:val="none"/>
        </w:rPr>
        <w:t>公务用车购置</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公务用车运行费</w:t>
      </w:r>
      <w:r>
        <w:rPr>
          <w:rFonts w:hint="eastAsia" w:ascii="仿宋_GB2312" w:eastAsia="仿宋_GB2312"/>
          <w:sz w:val="32"/>
          <w:szCs w:val="32"/>
          <w:highlight w:val="none"/>
        </w:rPr>
        <w:t>预算数6.08万元，决算数6.08万元，预决算差异率</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%，主要原因</w:t>
      </w:r>
      <w:r>
        <w:rPr>
          <w:rFonts w:hint="eastAsia" w:ascii="仿宋_GB2312" w:eastAsia="仿宋_GB2312"/>
          <w:sz w:val="32"/>
          <w:szCs w:val="32"/>
          <w:highlight w:val="none"/>
          <w:lang w:eastAsia="zh-CN"/>
        </w:rPr>
        <w:t>是：预决算无差异</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公务接待费</w:t>
      </w:r>
      <w:r>
        <w:rPr>
          <w:rFonts w:hint="eastAsia" w:ascii="仿宋_GB2312" w:eastAsia="仿宋_GB2312"/>
          <w:sz w:val="32"/>
          <w:szCs w:val="32"/>
          <w:highlight w:val="none"/>
        </w:rPr>
        <w:t>预算数1.51万元，决算数1.51万元，预决算差异率0.00%，主要原因</w:t>
      </w:r>
      <w:r>
        <w:rPr>
          <w:rFonts w:hint="eastAsia" w:ascii="仿宋_GB2312" w:eastAsia="仿宋_GB2312"/>
          <w:sz w:val="32"/>
          <w:szCs w:val="32"/>
          <w:highlight w:val="none"/>
          <w:lang w:eastAsia="zh-CN"/>
        </w:rPr>
        <w:t>是：预决算无差异</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4" w:name="_Toc7927"/>
      <w:bookmarkStart w:id="15" w:name="_Toc5810"/>
      <w:r>
        <w:rPr>
          <w:rFonts w:hint="eastAsia" w:ascii="黑体" w:hAnsi="黑体" w:eastAsia="黑体" w:cs="宋体"/>
          <w:bCs/>
          <w:kern w:val="0"/>
          <w:sz w:val="32"/>
          <w:szCs w:val="32"/>
          <w:highlight w:val="none"/>
          <w:lang w:eastAsia="zh-CN"/>
        </w:rPr>
        <w:t>八、政府性基金预算收入支出决算情况说明</w:t>
      </w:r>
      <w:bookmarkEnd w:id="14"/>
      <w:bookmarkEnd w:id="15"/>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我单位本年度无政府性基金预算财政拨款收入支出，</w:t>
      </w:r>
      <w:r>
        <w:rPr>
          <w:rFonts w:hint="eastAsia" w:ascii="仿宋_GB2312" w:eastAsia="仿宋_GB2312"/>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6" w:name="_Toc1235"/>
      <w:bookmarkStart w:id="17" w:name="_Toc7314"/>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、其他重要事项的情况</w:t>
      </w:r>
      <w:r>
        <w:rPr>
          <w:rFonts w:hint="eastAsia" w:ascii="黑体" w:hAnsi="黑体" w:eastAsia="黑体" w:cs="宋体"/>
          <w:bCs/>
          <w:kern w:val="0"/>
          <w:sz w:val="32"/>
          <w:szCs w:val="32"/>
          <w:highlight w:val="none"/>
          <w:lang w:eastAsia="zh-CN"/>
        </w:rPr>
        <w:t>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rPr>
      </w:pPr>
      <w:bookmarkStart w:id="18" w:name="_Toc14519"/>
      <w:bookmarkStart w:id="19" w:name="_Toc13105"/>
      <w:r>
        <w:rPr>
          <w:rFonts w:hint="eastAsia" w:ascii="黑体" w:hAnsi="黑体" w:eastAsia="黑体"/>
          <w:sz w:val="32"/>
          <w:szCs w:val="32"/>
          <w:highlight w:val="none"/>
          <w:lang w:eastAsia="zh-CN"/>
        </w:rPr>
        <w:t>（一）</w:t>
      </w:r>
      <w:r>
        <w:rPr>
          <w:rFonts w:hint="eastAsia" w:ascii="黑体" w:hAnsi="黑体" w:eastAsia="黑体"/>
          <w:sz w:val="32"/>
          <w:szCs w:val="32"/>
          <w:highlight w:val="none"/>
        </w:rPr>
        <w:t>机关运行经费支出情况</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2019年度吉木萨尔县交通运输局机关运行经费支出45.94万元，比上年减少325.02万元，降低87.62%，主要原因是本单位今年项目减少经费减少，压缩一般公用经费。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20" w:name="_Toc227"/>
      <w:bookmarkStart w:id="21" w:name="_Toc26704"/>
      <w:r>
        <w:rPr>
          <w:rFonts w:hint="eastAsia" w:ascii="黑体" w:hAnsi="黑体" w:eastAsia="黑体"/>
          <w:sz w:val="32"/>
          <w:szCs w:val="32"/>
          <w:highlight w:val="none"/>
          <w:lang w:eastAsia="zh-CN"/>
        </w:rPr>
        <w:t>（二）政府采购情况</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2019年</w:t>
      </w:r>
      <w:r>
        <w:rPr>
          <w:rFonts w:hint="eastAsia" w:ascii="仿宋_GB2312" w:eastAsia="仿宋_GB2312"/>
          <w:sz w:val="32"/>
          <w:szCs w:val="32"/>
          <w:highlight w:val="none"/>
        </w:rPr>
        <w:t>度政府采购支出总额0.00万元，其中：政府采购货物支出0.00万元、政府采购工程支出0.00万元、政府采购服务支出0.00万元。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rPr>
        <w:t>授予中小企业合同金额</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，其中：授予小微企业合同金额</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val="en-US" w:eastAsia="zh-CN"/>
        </w:rPr>
        <w:t>0%。</w:t>
      </w:r>
    </w:p>
    <w:p>
      <w:pPr>
        <w:spacing w:line="54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七、其他重要事项的情况</w:t>
      </w:r>
    </w:p>
    <w:p>
      <w:pPr>
        <w:spacing w:line="540" w:lineRule="exact"/>
        <w:ind w:firstLine="643" w:firstLineChars="200"/>
        <w:rPr>
          <w:rFonts w:ascii="楷体_GB2312" w:eastAsia="楷体_GB2312"/>
          <w:b/>
          <w:bCs/>
          <w:sz w:val="32"/>
          <w:szCs w:val="32"/>
          <w:highlight w:val="none"/>
        </w:rPr>
      </w:pPr>
      <w:r>
        <w:rPr>
          <w:rFonts w:hint="eastAsia" w:ascii="楷体_GB2312" w:eastAsia="楷体_GB2312"/>
          <w:b/>
          <w:bCs/>
          <w:sz w:val="32"/>
          <w:szCs w:val="32"/>
          <w:highlight w:val="none"/>
        </w:rPr>
        <w:t>（一）国有资产占用情况说明</w:t>
      </w:r>
    </w:p>
    <w:p>
      <w:pPr>
        <w:spacing w:line="54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截至</w:t>
      </w:r>
      <w:r>
        <w:rPr>
          <w:rFonts w:hint="eastAsia" w:ascii="仿宋_GB2312" w:eastAsia="仿宋_GB2312"/>
          <w:sz w:val="32"/>
          <w:szCs w:val="32"/>
          <w:highlight w:val="none"/>
          <w:lang w:eastAsia="zh-CN"/>
        </w:rPr>
        <w:t>2019年</w:t>
      </w:r>
      <w:r>
        <w:rPr>
          <w:rFonts w:hint="eastAsia" w:ascii="仿宋_GB2312" w:eastAsia="仿宋_GB2312"/>
          <w:sz w:val="32"/>
          <w:szCs w:val="32"/>
          <w:highlight w:val="none"/>
        </w:rPr>
        <w:t>12月31日，单位共有房屋</w:t>
      </w:r>
      <w:r>
        <w:rPr>
          <w:rFonts w:hint="eastAsia" w:ascii="仿宋_GB2312" w:eastAsia="仿宋_GB2312"/>
          <w:sz w:val="32"/>
          <w:szCs w:val="32"/>
          <w:highlight w:val="none"/>
          <w:lang w:val="en-US" w:eastAsia="zh-CN"/>
        </w:rPr>
        <w:t>120</w:t>
      </w:r>
      <w:r>
        <w:rPr>
          <w:rFonts w:hint="eastAsia" w:ascii="仿宋_GB2312" w:eastAsia="仿宋_GB2312"/>
          <w:sz w:val="32"/>
          <w:szCs w:val="32"/>
          <w:highlight w:val="none"/>
        </w:rPr>
        <w:t>（平方米）</w:t>
      </w:r>
      <w:r>
        <w:rPr>
          <w:rFonts w:hint="eastAsia" w:ascii="仿宋_GB2312" w:eastAsia="仿宋_GB2312"/>
          <w:sz w:val="32"/>
          <w:szCs w:val="32"/>
          <w:highlight w:val="none"/>
          <w:lang w:eastAsia="zh-CN"/>
        </w:rPr>
        <w:t>，价值</w:t>
      </w:r>
      <w:r>
        <w:rPr>
          <w:rFonts w:hint="eastAsia" w:ascii="仿宋_GB2312" w:eastAsia="仿宋_GB2312"/>
          <w:sz w:val="32"/>
          <w:szCs w:val="32"/>
          <w:highlight w:val="none"/>
          <w:lang w:val="en-US" w:eastAsia="zh-CN"/>
        </w:rPr>
        <w:t>3.1</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车辆</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辆，价值246.35万元，其中：副部（省）级及以上领导用车0辆、主要领导干部用车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辆、机要通信用车0辆、应急保障用车0辆、执法执勤用车</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辆、特种专业技术用车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辆、离退休干部用车0辆、其他用车</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辆，其他用车主要是：</w:t>
      </w:r>
      <w:r>
        <w:rPr>
          <w:rFonts w:hint="eastAsia" w:ascii="仿宋_GB2312" w:eastAsia="仿宋_GB2312"/>
          <w:sz w:val="32"/>
          <w:szCs w:val="32"/>
          <w:highlight w:val="none"/>
          <w:lang w:eastAsia="zh-CN"/>
        </w:rPr>
        <w:t>越野车、皮卡车</w:t>
      </w:r>
      <w:r>
        <w:rPr>
          <w:rFonts w:hint="eastAsia" w:ascii="仿宋_GB2312" w:eastAsia="仿宋_GB2312"/>
          <w:sz w:val="32"/>
          <w:szCs w:val="32"/>
          <w:highlight w:val="none"/>
        </w:rPr>
        <w:t>；单位价值50万元以上通用设备</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2" w:name="_Toc11283"/>
      <w:bookmarkStart w:id="23" w:name="_Toc435"/>
      <w:r>
        <w:rPr>
          <w:rFonts w:hint="eastAsia" w:ascii="黑体" w:hAnsi="黑体" w:eastAsia="黑体" w:cs="宋体"/>
          <w:bCs/>
          <w:kern w:val="0"/>
          <w:sz w:val="32"/>
          <w:szCs w:val="32"/>
          <w:highlight w:val="none"/>
          <w:lang w:eastAsia="zh-CN"/>
        </w:rPr>
        <w:t>十、预算绩效的情况说明</w:t>
      </w:r>
      <w:bookmarkEnd w:id="22"/>
      <w:bookmarkEnd w:id="23"/>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eastAsia="zh-CN"/>
        </w:rPr>
        <w:t>根据预算绩效管理要求，我单位</w:t>
      </w:r>
      <w:r>
        <w:rPr>
          <w:rFonts w:hint="eastAsia" w:ascii="仿宋_GB2312" w:eastAsia="仿宋_GB2312"/>
          <w:sz w:val="32"/>
          <w:szCs w:val="32"/>
          <w:highlight w:val="none"/>
          <w:lang w:val="en-US" w:eastAsia="zh-CN"/>
        </w:rPr>
        <w:t>2019</w:t>
      </w:r>
      <w:r>
        <w:rPr>
          <w:rFonts w:hint="eastAsia" w:ascii="仿宋_GB2312" w:eastAsia="仿宋_GB2312"/>
          <w:sz w:val="32"/>
          <w:szCs w:val="32"/>
          <w:highlight w:val="none"/>
          <w:lang w:eastAsia="zh-CN"/>
        </w:rPr>
        <w:t>年度开展预算绩效评价项目</w:t>
      </w:r>
      <w:r>
        <w:rPr>
          <w:rFonts w:hint="eastAsia" w:ascii="仿宋_GB2312" w:eastAsia="仿宋_GB2312"/>
          <w:sz w:val="32"/>
          <w:szCs w:val="32"/>
          <w:highlight w:val="none"/>
          <w:lang w:val="en-US" w:eastAsia="zh-CN"/>
        </w:rPr>
        <w:t>12</w:t>
      </w:r>
      <w:r>
        <w:rPr>
          <w:rFonts w:hint="eastAsia" w:ascii="仿宋_GB2312" w:eastAsia="仿宋_GB2312"/>
          <w:sz w:val="32"/>
          <w:szCs w:val="32"/>
          <w:highlight w:val="none"/>
          <w:lang w:eastAsia="zh-CN"/>
        </w:rPr>
        <w:t>个，共涉及资金</w:t>
      </w:r>
      <w:r>
        <w:rPr>
          <w:rFonts w:hint="eastAsia" w:ascii="仿宋_GB2312" w:eastAsia="仿宋_GB2312"/>
          <w:sz w:val="32"/>
          <w:szCs w:val="32"/>
          <w:highlight w:val="none"/>
          <w:lang w:val="en-US" w:eastAsia="zh-CN"/>
        </w:rPr>
        <w:t>1912.77</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。预算绩效管理取得的成效：根据项目进度顺利完成工作，</w:t>
      </w:r>
      <w:r>
        <w:rPr>
          <w:rFonts w:hint="eastAsia" w:ascii="仿宋_GB2312" w:eastAsia="仿宋_GB2312"/>
          <w:sz w:val="32"/>
          <w:szCs w:val="32"/>
          <w:highlight w:val="none"/>
        </w:rPr>
        <w:t>水毁修复庆阳湖乡大泉1号桥，三台镇东大梁2-13m小桥，东台子1-13m小桥，1-4m盖板涵，老台乡乏马塘2-13m小桥，西台子村2-20m中桥，二工镇烧房沟村1-8m小桥，泉子街镇白杨河村1-20m小桥，广泉河大桥，X183线第一处、第二处小桥，1-4m盖板涵（砂厂位置），1-2m盖板涵（庆阳湖乡、水岸名居度假村路口）</w:t>
      </w:r>
      <w:r>
        <w:rPr>
          <w:rFonts w:hint="eastAsia" w:ascii="仿宋_GB2312" w:eastAsia="仿宋_GB2312"/>
          <w:sz w:val="32"/>
          <w:szCs w:val="32"/>
          <w:highlight w:val="none"/>
          <w:lang w:eastAsia="zh-CN"/>
        </w:rPr>
        <w:t>。发现的问题及原因：无问题。下一步改进措施：</w:t>
      </w:r>
      <w:r>
        <w:rPr>
          <w:rFonts w:hint="eastAsia" w:ascii="仿宋_GB2312" w:eastAsia="仿宋_GB2312"/>
          <w:sz w:val="32"/>
          <w:szCs w:val="32"/>
        </w:rPr>
        <w:t>加大项目实施力度，确保各项目按期完工</w:t>
      </w:r>
      <w:r>
        <w:rPr>
          <w:rFonts w:hint="eastAsia" w:ascii="仿宋_GB2312" w:eastAsia="仿宋_GB2312"/>
          <w:sz w:val="32"/>
          <w:szCs w:val="32"/>
          <w:highlight w:val="none"/>
          <w:lang w:eastAsia="zh-CN"/>
        </w:rPr>
        <w:t>。具体</w:t>
      </w:r>
      <w:r>
        <w:rPr>
          <w:rFonts w:hint="eastAsia" w:ascii="仿宋_GB2312" w:eastAsia="仿宋_GB2312"/>
          <w:sz w:val="32"/>
          <w:szCs w:val="32"/>
          <w:highlight w:val="none"/>
        </w:rPr>
        <w:t>项目自评情况附项目支出绩效自评表。</w:t>
      </w:r>
    </w:p>
    <w:p>
      <w:pPr>
        <w:numPr>
          <w:ilvl w:val="0"/>
          <w:numId w:val="1"/>
        </w:num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val="en-US" w:eastAsia="zh-CN"/>
        </w:rPr>
        <w:t>吉木萨尔县城-大有镇-新地乡公路改建工程、南山伴行改扩建工程（拆迁）</w:t>
      </w:r>
      <w:r>
        <w:rPr>
          <w:rFonts w:hint="eastAsia" w:ascii="仿宋_GB2312" w:eastAsia="仿宋_GB2312"/>
          <w:sz w:val="32"/>
          <w:szCs w:val="32"/>
          <w:highlight w:val="none"/>
        </w:rPr>
        <w:t>项目</w:t>
      </w:r>
    </w:p>
    <w:p>
      <w:pPr>
        <w:pStyle w:val="2"/>
        <w:keepNext/>
        <w:widowControl/>
        <w:numPr>
          <w:numId w:val="0"/>
        </w:numPr>
        <w:spacing w:before="240" w:after="60"/>
        <w:jc w:val="left"/>
        <w:outlineLvl w:val="1"/>
        <w:rPr>
          <w:rFonts w:hint="eastAsia"/>
        </w:rPr>
      </w:pPr>
    </w:p>
    <w:p>
      <w:pPr>
        <w:rPr>
          <w:rFonts w:hint="eastAsia"/>
        </w:rPr>
      </w:pPr>
    </w:p>
    <w:p>
      <w:pPr>
        <w:pStyle w:val="2"/>
        <w:rPr>
          <w:rFonts w:hint="eastAsia"/>
        </w:rPr>
      </w:pPr>
    </w:p>
    <w:p>
      <w:pPr>
        <w:rPr>
          <w:rFonts w:hint="eastAsia"/>
        </w:rPr>
      </w:pPr>
    </w:p>
    <w:tbl>
      <w:tblPr>
        <w:tblStyle w:val="13"/>
        <w:tblW w:w="8336" w:type="dxa"/>
        <w:tblInd w:w="0" w:type="dxa"/>
        <w:shd w:val="clear" w:color="auto" w:fill="auto"/>
        <w:tblLayout w:type="fixed"/>
        <w:tblCellMar>
          <w:top w:w="0" w:type="dxa"/>
          <w:left w:w="0" w:type="dxa"/>
          <w:bottom w:w="0" w:type="dxa"/>
          <w:right w:w="0" w:type="dxa"/>
        </w:tblCellMar>
      </w:tblPr>
      <w:tblGrid>
        <w:gridCol w:w="512"/>
        <w:gridCol w:w="586"/>
        <w:gridCol w:w="1110"/>
        <w:gridCol w:w="727"/>
        <w:gridCol w:w="807"/>
        <w:gridCol w:w="849"/>
        <w:gridCol w:w="630"/>
        <w:gridCol w:w="669"/>
        <w:gridCol w:w="253"/>
        <w:gridCol w:w="382"/>
        <w:gridCol w:w="465"/>
        <w:gridCol w:w="108"/>
        <w:gridCol w:w="639"/>
        <w:gridCol w:w="599"/>
      </w:tblGrid>
      <w:tr>
        <w:tblPrEx>
          <w:shd w:val="clear" w:color="auto" w:fill="auto"/>
          <w:tblLayout w:type="fixed"/>
          <w:tblCellMar>
            <w:top w:w="0" w:type="dxa"/>
            <w:left w:w="0" w:type="dxa"/>
            <w:bottom w:w="0" w:type="dxa"/>
            <w:right w:w="0" w:type="dxa"/>
          </w:tblCellMar>
        </w:tblPrEx>
        <w:trPr>
          <w:trHeight w:val="405" w:hRule="atLeast"/>
        </w:trPr>
        <w:tc>
          <w:tcPr>
            <w:tcW w:w="8336"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highlight w:val="none"/>
                <w:u w:val="none"/>
              </w:rPr>
            </w:pPr>
            <w:r>
              <w:rPr>
                <w:rFonts w:hint="eastAsia" w:ascii="宋体" w:hAnsi="宋体" w:eastAsia="宋体" w:cs="宋体"/>
                <w:b/>
                <w:i w:val="0"/>
                <w:color w:val="000000"/>
                <w:kern w:val="0"/>
                <w:sz w:val="32"/>
                <w:szCs w:val="32"/>
                <w:highlight w:val="none"/>
                <w:u w:val="none"/>
                <w:lang w:val="en-US" w:eastAsia="zh-CN" w:bidi="ar"/>
              </w:rPr>
              <w:t>项目支出绩效自评表</w:t>
            </w:r>
          </w:p>
        </w:tc>
      </w:tr>
      <w:tr>
        <w:tblPrEx>
          <w:tblLayout w:type="fixed"/>
          <w:tblCellMar>
            <w:top w:w="0" w:type="dxa"/>
            <w:left w:w="0" w:type="dxa"/>
            <w:bottom w:w="0" w:type="dxa"/>
            <w:right w:w="0" w:type="dxa"/>
          </w:tblCellMar>
        </w:tblPrEx>
        <w:trPr>
          <w:trHeight w:val="405" w:hRule="atLeast"/>
        </w:trPr>
        <w:tc>
          <w:tcPr>
            <w:tcW w:w="8336"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（2019年度）</w:t>
            </w:r>
          </w:p>
        </w:tc>
      </w:tr>
      <w:tr>
        <w:tblPrEx>
          <w:tblLayout w:type="fixed"/>
          <w:tblCellMar>
            <w:top w:w="0" w:type="dxa"/>
            <w:left w:w="0" w:type="dxa"/>
            <w:bottom w:w="0" w:type="dxa"/>
            <w:right w:w="0" w:type="dxa"/>
          </w:tblCellMar>
        </w:tblPrEx>
        <w:trPr>
          <w:trHeight w:val="319" w:hRule="atLeast"/>
        </w:trPr>
        <w:tc>
          <w:tcPr>
            <w:tcW w:w="10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项目名称</w:t>
            </w:r>
          </w:p>
        </w:tc>
        <w:tc>
          <w:tcPr>
            <w:tcW w:w="7238"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吉木萨尔县城-大有镇-新地乡公路改建工程、南山伴行改扩建工程（拆迁）</w:t>
            </w:r>
          </w:p>
        </w:tc>
      </w:tr>
      <w:tr>
        <w:tblPrEx>
          <w:tblLayout w:type="fixed"/>
          <w:tblCellMar>
            <w:top w:w="0" w:type="dxa"/>
            <w:left w:w="0" w:type="dxa"/>
            <w:bottom w:w="0" w:type="dxa"/>
            <w:right w:w="0" w:type="dxa"/>
          </w:tblCellMar>
        </w:tblPrEx>
        <w:trPr>
          <w:trHeight w:val="319" w:hRule="atLeast"/>
        </w:trPr>
        <w:tc>
          <w:tcPr>
            <w:tcW w:w="10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主管部门</w:t>
            </w:r>
          </w:p>
        </w:tc>
        <w:tc>
          <w:tcPr>
            <w:tcW w:w="412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昌吉州交通运输局</w:t>
            </w:r>
          </w:p>
        </w:tc>
        <w:tc>
          <w:tcPr>
            <w:tcW w:w="92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实施单位</w:t>
            </w:r>
          </w:p>
        </w:tc>
        <w:tc>
          <w:tcPr>
            <w:tcW w:w="219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吉木萨尔县交通运输局</w:t>
            </w:r>
          </w:p>
        </w:tc>
      </w:tr>
      <w:tr>
        <w:tblPrEx>
          <w:tblLayout w:type="fixed"/>
          <w:tblCellMar>
            <w:top w:w="0" w:type="dxa"/>
            <w:left w:w="0" w:type="dxa"/>
            <w:bottom w:w="0" w:type="dxa"/>
            <w:right w:w="0" w:type="dxa"/>
          </w:tblCellMar>
        </w:tblPrEx>
        <w:trPr>
          <w:trHeight w:val="319" w:hRule="atLeast"/>
        </w:trPr>
        <w:tc>
          <w:tcPr>
            <w:tcW w:w="109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项目资金       （万元）</w:t>
            </w:r>
          </w:p>
        </w:tc>
        <w:tc>
          <w:tcPr>
            <w:tcW w:w="183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年初预算数</w:t>
            </w:r>
          </w:p>
        </w:tc>
        <w:tc>
          <w:tcPr>
            <w:tcW w:w="14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全年预算数</w:t>
            </w:r>
          </w:p>
        </w:tc>
        <w:tc>
          <w:tcPr>
            <w:tcW w:w="92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全年执行数</w:t>
            </w:r>
          </w:p>
        </w:tc>
        <w:tc>
          <w:tcPr>
            <w:tcW w:w="8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7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执行率</w:t>
            </w:r>
          </w:p>
        </w:tc>
        <w:tc>
          <w:tcPr>
            <w:tcW w:w="5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r>
      <w:tr>
        <w:tblPrEx>
          <w:tblLayout w:type="fixed"/>
          <w:tblCellMar>
            <w:top w:w="0" w:type="dxa"/>
            <w:left w:w="0" w:type="dxa"/>
            <w:bottom w:w="0" w:type="dxa"/>
            <w:right w:w="0" w:type="dxa"/>
          </w:tblCellMar>
        </w:tblPrEx>
        <w:trPr>
          <w:trHeight w:val="319" w:hRule="atLeast"/>
        </w:trPr>
        <w:tc>
          <w:tcPr>
            <w:tcW w:w="10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83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年度资金总额</w:t>
            </w:r>
          </w:p>
        </w:tc>
        <w:tc>
          <w:tcPr>
            <w:tcW w:w="8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216.59</w:t>
            </w:r>
          </w:p>
        </w:tc>
        <w:tc>
          <w:tcPr>
            <w:tcW w:w="14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216.59</w:t>
            </w:r>
          </w:p>
        </w:tc>
        <w:tc>
          <w:tcPr>
            <w:tcW w:w="92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216.59</w:t>
            </w:r>
          </w:p>
        </w:tc>
        <w:tc>
          <w:tcPr>
            <w:tcW w:w="8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7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r>
      <w:tr>
        <w:tblPrEx>
          <w:tblLayout w:type="fixed"/>
          <w:tblCellMar>
            <w:top w:w="0" w:type="dxa"/>
            <w:left w:w="0" w:type="dxa"/>
            <w:bottom w:w="0" w:type="dxa"/>
            <w:right w:w="0" w:type="dxa"/>
          </w:tblCellMar>
        </w:tblPrEx>
        <w:trPr>
          <w:trHeight w:val="319" w:hRule="atLeast"/>
        </w:trPr>
        <w:tc>
          <w:tcPr>
            <w:tcW w:w="10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83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其中：当年财政拨款</w:t>
            </w:r>
          </w:p>
        </w:tc>
        <w:tc>
          <w:tcPr>
            <w:tcW w:w="8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216.59</w:t>
            </w:r>
          </w:p>
        </w:tc>
        <w:tc>
          <w:tcPr>
            <w:tcW w:w="14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216.59</w:t>
            </w:r>
          </w:p>
        </w:tc>
        <w:tc>
          <w:tcPr>
            <w:tcW w:w="92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216.59</w:t>
            </w:r>
          </w:p>
        </w:tc>
        <w:tc>
          <w:tcPr>
            <w:tcW w:w="8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10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83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上年结转资金</w:t>
            </w:r>
          </w:p>
        </w:tc>
        <w:tc>
          <w:tcPr>
            <w:tcW w:w="8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4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92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8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7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10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83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其他资金</w:t>
            </w:r>
          </w:p>
        </w:tc>
        <w:tc>
          <w:tcPr>
            <w:tcW w:w="8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4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92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8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7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51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年度总体目标</w:t>
            </w:r>
          </w:p>
        </w:tc>
        <w:tc>
          <w:tcPr>
            <w:tcW w:w="470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预期目标</w:t>
            </w:r>
          </w:p>
        </w:tc>
        <w:tc>
          <w:tcPr>
            <w:tcW w:w="3115"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实际完成情况</w:t>
            </w:r>
          </w:p>
        </w:tc>
      </w:tr>
      <w:tr>
        <w:tblPrEx>
          <w:tblLayout w:type="fixed"/>
          <w:tblCellMar>
            <w:top w:w="0" w:type="dxa"/>
            <w:left w:w="0" w:type="dxa"/>
            <w:bottom w:w="0" w:type="dxa"/>
            <w:right w:w="0" w:type="dxa"/>
          </w:tblCellMar>
        </w:tblPrEx>
        <w:trPr>
          <w:trHeight w:val="908" w:hRule="atLeast"/>
        </w:trPr>
        <w:tc>
          <w:tcPr>
            <w:tcW w:w="51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70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完成征地拆迁工作内容</w:t>
            </w:r>
          </w:p>
        </w:tc>
        <w:tc>
          <w:tcPr>
            <w:tcW w:w="3115"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完成征地拆迁工作内容</w:t>
            </w:r>
          </w:p>
        </w:tc>
      </w:tr>
      <w:tr>
        <w:tblPrEx>
          <w:tblLayout w:type="fixed"/>
          <w:tblCellMar>
            <w:top w:w="0" w:type="dxa"/>
            <w:left w:w="0" w:type="dxa"/>
            <w:bottom w:w="0" w:type="dxa"/>
            <w:right w:w="0" w:type="dxa"/>
          </w:tblCellMar>
        </w:tblPrEx>
        <w:trPr>
          <w:trHeight w:val="319" w:hRule="atLeast"/>
        </w:trPr>
        <w:tc>
          <w:tcPr>
            <w:tcW w:w="512"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绩              效    指    标</w:t>
            </w:r>
          </w:p>
        </w:tc>
        <w:tc>
          <w:tcPr>
            <w:tcW w:w="5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一级指标</w:t>
            </w:r>
          </w:p>
        </w:tc>
        <w:tc>
          <w:tcPr>
            <w:tcW w:w="11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二级指标</w:t>
            </w:r>
          </w:p>
        </w:tc>
        <w:tc>
          <w:tcPr>
            <w:tcW w:w="238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三级指标</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w:t>
            </w:r>
          </w:p>
        </w:tc>
        <w:tc>
          <w:tcPr>
            <w:tcW w:w="6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w:t>
            </w:r>
          </w:p>
        </w:tc>
        <w:tc>
          <w:tcPr>
            <w:tcW w:w="6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57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c>
          <w:tcPr>
            <w:tcW w:w="123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偏差原因分析及改进措施</w:t>
            </w:r>
          </w:p>
        </w:tc>
      </w:tr>
      <w:tr>
        <w:tblPrEx>
          <w:tblLayout w:type="fixed"/>
          <w:tblCellMar>
            <w:top w:w="0" w:type="dxa"/>
            <w:left w:w="0" w:type="dxa"/>
            <w:bottom w:w="0" w:type="dxa"/>
            <w:right w:w="0" w:type="dxa"/>
          </w:tblCellMar>
        </w:tblPrEx>
        <w:trPr>
          <w:trHeight w:val="319" w:hRule="atLeast"/>
        </w:trPr>
        <w:tc>
          <w:tcPr>
            <w:tcW w:w="51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38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指标值</w:t>
            </w:r>
          </w:p>
        </w:tc>
        <w:tc>
          <w:tcPr>
            <w:tcW w:w="6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完成值</w:t>
            </w:r>
          </w:p>
        </w:tc>
        <w:tc>
          <w:tcPr>
            <w:tcW w:w="6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23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474" w:hRule="atLeast"/>
        </w:trPr>
        <w:tc>
          <w:tcPr>
            <w:tcW w:w="51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产出指标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数量指标</w:t>
            </w:r>
          </w:p>
        </w:tc>
        <w:tc>
          <w:tcPr>
            <w:tcW w:w="23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完成征地拆迁工作内容</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12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421" w:hRule="atLeast"/>
        </w:trPr>
        <w:tc>
          <w:tcPr>
            <w:tcW w:w="51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质量指标</w:t>
            </w:r>
          </w:p>
        </w:tc>
        <w:tc>
          <w:tcPr>
            <w:tcW w:w="23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资金保障率（%）</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12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329" w:hRule="atLeast"/>
        </w:trPr>
        <w:tc>
          <w:tcPr>
            <w:tcW w:w="51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3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工程验收合格率（%）</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12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358" w:hRule="atLeast"/>
        </w:trPr>
        <w:tc>
          <w:tcPr>
            <w:tcW w:w="51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时效指标</w:t>
            </w:r>
          </w:p>
        </w:tc>
        <w:tc>
          <w:tcPr>
            <w:tcW w:w="23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工程完工率</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12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426" w:hRule="atLeast"/>
        </w:trPr>
        <w:tc>
          <w:tcPr>
            <w:tcW w:w="51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成本指标</w:t>
            </w:r>
          </w:p>
        </w:tc>
        <w:tc>
          <w:tcPr>
            <w:tcW w:w="23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年度投资</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≦216.59</w:t>
            </w:r>
          </w:p>
        </w:tc>
        <w:tc>
          <w:tcPr>
            <w:tcW w:w="6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216.59</w:t>
            </w:r>
          </w:p>
        </w:tc>
        <w:tc>
          <w:tcPr>
            <w:tcW w:w="6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12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531" w:hRule="atLeast"/>
        </w:trPr>
        <w:tc>
          <w:tcPr>
            <w:tcW w:w="51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效益指标</w:t>
            </w:r>
          </w:p>
        </w:tc>
        <w:tc>
          <w:tcPr>
            <w:tcW w:w="111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经济效益</w:t>
            </w:r>
          </w:p>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指标</w:t>
            </w:r>
          </w:p>
        </w:tc>
        <w:tc>
          <w:tcPr>
            <w:tcW w:w="23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农村公路对经济发展的促进作用</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是</w:t>
            </w:r>
          </w:p>
        </w:tc>
        <w:tc>
          <w:tcPr>
            <w:tcW w:w="6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是</w:t>
            </w:r>
          </w:p>
        </w:tc>
        <w:tc>
          <w:tcPr>
            <w:tcW w:w="6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12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610" w:hRule="atLeast"/>
        </w:trPr>
        <w:tc>
          <w:tcPr>
            <w:tcW w:w="51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社会效益</w:t>
            </w:r>
          </w:p>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指标</w:t>
            </w:r>
          </w:p>
        </w:tc>
        <w:tc>
          <w:tcPr>
            <w:tcW w:w="23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建成通车后基本公共服务水平提升率</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12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557" w:hRule="atLeast"/>
        </w:trPr>
        <w:tc>
          <w:tcPr>
            <w:tcW w:w="51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生态效益</w:t>
            </w:r>
          </w:p>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指标</w:t>
            </w:r>
          </w:p>
        </w:tc>
        <w:tc>
          <w:tcPr>
            <w:tcW w:w="23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农村公路建设符合环境审批要求</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符合</w:t>
            </w:r>
          </w:p>
        </w:tc>
        <w:tc>
          <w:tcPr>
            <w:tcW w:w="6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符合</w:t>
            </w:r>
          </w:p>
        </w:tc>
        <w:tc>
          <w:tcPr>
            <w:tcW w:w="6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12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597" w:hRule="atLeast"/>
        </w:trPr>
        <w:tc>
          <w:tcPr>
            <w:tcW w:w="51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可持续影响指标</w:t>
            </w:r>
          </w:p>
        </w:tc>
        <w:tc>
          <w:tcPr>
            <w:tcW w:w="23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农村公路项目适应未来一定时间内农村交通要求</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2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751" w:hRule="atLeast"/>
        </w:trPr>
        <w:tc>
          <w:tcPr>
            <w:tcW w:w="51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8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满意度指标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服务对象满意度指标</w:t>
            </w:r>
          </w:p>
        </w:tc>
        <w:tc>
          <w:tcPr>
            <w:tcW w:w="238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受益群体满意度（%）</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20"/>
                <w:szCs w:val="20"/>
                <w:highlight w:val="none"/>
                <w:u w:val="none"/>
              </w:rPr>
            </w:pPr>
            <w:r>
              <w:rPr>
                <w:rStyle w:val="16"/>
                <w:highlight w:val="none"/>
                <w:lang w:val="en-US" w:eastAsia="zh-CN" w:bidi="ar"/>
              </w:rPr>
              <w:t>≧</w:t>
            </w:r>
            <w:r>
              <w:rPr>
                <w:rStyle w:val="17"/>
                <w:highlight w:val="none"/>
                <w:lang w:val="en-US" w:eastAsia="zh-CN" w:bidi="ar"/>
              </w:rPr>
              <w:t>90%</w:t>
            </w:r>
          </w:p>
        </w:tc>
        <w:tc>
          <w:tcPr>
            <w:tcW w:w="6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90%</w:t>
            </w:r>
          </w:p>
        </w:tc>
        <w:tc>
          <w:tcPr>
            <w:tcW w:w="6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12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522" w:hRule="atLeast"/>
        </w:trPr>
        <w:tc>
          <w:tcPr>
            <w:tcW w:w="5890"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总分</w:t>
            </w:r>
          </w:p>
        </w:tc>
        <w:tc>
          <w:tcPr>
            <w:tcW w:w="6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2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bl>
    <w:p>
      <w:pPr>
        <w:spacing w:line="540" w:lineRule="exact"/>
        <w:ind w:firstLine="640" w:firstLineChars="200"/>
        <w:rPr>
          <w:rFonts w:hint="eastAsia" w:ascii="仿宋_GB2312" w:eastAsia="仿宋_GB2312"/>
          <w:sz w:val="32"/>
          <w:szCs w:val="32"/>
          <w:highlight w:val="none"/>
          <w:lang w:val="en-US" w:eastAsia="zh-CN"/>
        </w:rPr>
      </w:pPr>
    </w:p>
    <w:p>
      <w:pPr>
        <w:spacing w:line="540" w:lineRule="exact"/>
        <w:ind w:firstLine="640" w:firstLineChars="200"/>
        <w:rPr>
          <w:rFonts w:hint="eastAsia" w:ascii="仿宋_GB2312" w:eastAsia="仿宋_GB2312"/>
          <w:sz w:val="32"/>
          <w:szCs w:val="32"/>
          <w:highlight w:val="none"/>
          <w:lang w:val="en-US" w:eastAsia="zh-CN"/>
        </w:rPr>
      </w:pPr>
    </w:p>
    <w:p>
      <w:pPr>
        <w:spacing w:line="540" w:lineRule="exact"/>
        <w:rPr>
          <w:rFonts w:hint="eastAsia" w:ascii="仿宋_GB2312" w:eastAsia="仿宋_GB2312"/>
          <w:sz w:val="32"/>
          <w:szCs w:val="32"/>
          <w:highlight w:val="none"/>
          <w:lang w:val="en-US" w:eastAsia="zh-CN"/>
        </w:rPr>
      </w:pPr>
    </w:p>
    <w:p>
      <w:pPr>
        <w:spacing w:line="540" w:lineRule="exact"/>
        <w:rPr>
          <w:rFonts w:hint="eastAsia" w:ascii="仿宋_GB2312" w:eastAsia="仿宋_GB2312"/>
          <w:sz w:val="32"/>
          <w:szCs w:val="32"/>
          <w:highlight w:val="none"/>
        </w:rPr>
      </w:pPr>
      <w:r>
        <w:rPr>
          <w:rFonts w:hint="eastAsia" w:ascii="仿宋_GB2312" w:eastAsia="仿宋_GB2312"/>
          <w:sz w:val="32"/>
          <w:szCs w:val="32"/>
          <w:highlight w:val="none"/>
          <w:lang w:val="en-US" w:eastAsia="zh-CN"/>
        </w:rPr>
        <w:t>2.吉木萨尔县至大河沿镇公路建设</w:t>
      </w:r>
      <w:r>
        <w:rPr>
          <w:rFonts w:hint="eastAsia" w:ascii="仿宋_GB2312" w:eastAsia="仿宋_GB2312"/>
          <w:sz w:val="32"/>
          <w:szCs w:val="32"/>
          <w:highlight w:val="none"/>
        </w:rPr>
        <w:t>项目　</w:t>
      </w:r>
    </w:p>
    <w:tbl>
      <w:tblPr>
        <w:tblStyle w:val="13"/>
        <w:tblW w:w="10267" w:type="dxa"/>
        <w:tblInd w:w="-786" w:type="dxa"/>
        <w:shd w:val="clear" w:color="auto" w:fill="auto"/>
        <w:tblLayout w:type="fixed"/>
        <w:tblCellMar>
          <w:top w:w="0" w:type="dxa"/>
          <w:left w:w="0" w:type="dxa"/>
          <w:bottom w:w="0" w:type="dxa"/>
          <w:right w:w="0" w:type="dxa"/>
        </w:tblCellMar>
      </w:tblPr>
      <w:tblGrid>
        <w:gridCol w:w="987"/>
        <w:gridCol w:w="680"/>
        <w:gridCol w:w="907"/>
        <w:gridCol w:w="987"/>
        <w:gridCol w:w="812"/>
        <w:gridCol w:w="255"/>
        <w:gridCol w:w="1159"/>
        <w:gridCol w:w="1126"/>
        <w:gridCol w:w="207"/>
        <w:gridCol w:w="645"/>
        <w:gridCol w:w="155"/>
        <w:gridCol w:w="760"/>
        <w:gridCol w:w="560"/>
        <w:gridCol w:w="1027"/>
      </w:tblGrid>
      <w:tr>
        <w:tblPrEx>
          <w:shd w:val="clear" w:color="auto" w:fill="auto"/>
          <w:tblLayout w:type="fixed"/>
          <w:tblCellMar>
            <w:top w:w="0" w:type="dxa"/>
            <w:left w:w="0" w:type="dxa"/>
            <w:bottom w:w="0" w:type="dxa"/>
            <w:right w:w="0" w:type="dxa"/>
          </w:tblCellMar>
        </w:tblPrEx>
        <w:trPr>
          <w:trHeight w:val="405" w:hRule="atLeast"/>
        </w:trPr>
        <w:tc>
          <w:tcPr>
            <w:tcW w:w="10267"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outlineLvl w:val="9"/>
              <w:rPr>
                <w:rFonts w:hint="eastAsia" w:ascii="宋体" w:hAnsi="宋体" w:eastAsia="宋体" w:cs="宋体"/>
                <w:b/>
                <w:i w:val="0"/>
                <w:color w:val="000000"/>
                <w:sz w:val="32"/>
                <w:szCs w:val="32"/>
                <w:highlight w:val="none"/>
                <w:u w:val="none"/>
              </w:rPr>
            </w:pPr>
            <w:r>
              <w:rPr>
                <w:rFonts w:hint="eastAsia" w:ascii="宋体" w:hAnsi="宋体" w:eastAsia="宋体" w:cs="宋体"/>
                <w:b/>
                <w:i w:val="0"/>
                <w:color w:val="000000"/>
                <w:kern w:val="0"/>
                <w:sz w:val="32"/>
                <w:szCs w:val="32"/>
                <w:highlight w:val="none"/>
                <w:u w:val="none"/>
                <w:lang w:val="en-US" w:eastAsia="zh-CN" w:bidi="ar"/>
              </w:rPr>
              <w:t>项目支出绩效自评表</w:t>
            </w:r>
          </w:p>
        </w:tc>
      </w:tr>
      <w:tr>
        <w:tblPrEx>
          <w:tblLayout w:type="fixed"/>
          <w:tblCellMar>
            <w:top w:w="0" w:type="dxa"/>
            <w:left w:w="0" w:type="dxa"/>
            <w:bottom w:w="0" w:type="dxa"/>
            <w:right w:w="0" w:type="dxa"/>
          </w:tblCellMar>
        </w:tblPrEx>
        <w:trPr>
          <w:trHeight w:val="405" w:hRule="atLeast"/>
        </w:trPr>
        <w:tc>
          <w:tcPr>
            <w:tcW w:w="10267"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outlineLvl w:val="9"/>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（2019年度）</w:t>
            </w:r>
          </w:p>
        </w:tc>
      </w:tr>
      <w:tr>
        <w:tblPrEx>
          <w:tblLayout w:type="fixed"/>
          <w:tblCellMar>
            <w:top w:w="0" w:type="dxa"/>
            <w:left w:w="0" w:type="dxa"/>
            <w:bottom w:w="0" w:type="dxa"/>
            <w:right w:w="0" w:type="dxa"/>
          </w:tblCellMar>
        </w:tblPrEx>
        <w:trPr>
          <w:trHeight w:val="319" w:hRule="atLeast"/>
        </w:trPr>
        <w:tc>
          <w:tcPr>
            <w:tcW w:w="9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项目名称</w:t>
            </w:r>
          </w:p>
        </w:tc>
        <w:tc>
          <w:tcPr>
            <w:tcW w:w="9280" w:type="dxa"/>
            <w:gridSpan w:val="1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吉木萨尔县至大河沿镇公路建设项目</w:t>
            </w:r>
          </w:p>
        </w:tc>
      </w:tr>
      <w:tr>
        <w:tblPrEx>
          <w:tblLayout w:type="fixed"/>
          <w:tblCellMar>
            <w:top w:w="0" w:type="dxa"/>
            <w:left w:w="0" w:type="dxa"/>
            <w:bottom w:w="0" w:type="dxa"/>
            <w:right w:w="0" w:type="dxa"/>
          </w:tblCellMar>
        </w:tblPrEx>
        <w:trPr>
          <w:trHeight w:val="319" w:hRule="atLeast"/>
        </w:trPr>
        <w:tc>
          <w:tcPr>
            <w:tcW w:w="9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主管部门</w:t>
            </w:r>
          </w:p>
        </w:tc>
        <w:tc>
          <w:tcPr>
            <w:tcW w:w="480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昌吉州交通运输局</w:t>
            </w:r>
          </w:p>
        </w:tc>
        <w:tc>
          <w:tcPr>
            <w:tcW w:w="1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实施单位</w:t>
            </w:r>
          </w:p>
        </w:tc>
        <w:tc>
          <w:tcPr>
            <w:tcW w:w="3354"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吉木萨尔县交通运输局</w:t>
            </w:r>
          </w:p>
        </w:tc>
      </w:tr>
      <w:tr>
        <w:tblPrEx>
          <w:tblLayout w:type="fixed"/>
          <w:tblCellMar>
            <w:top w:w="0" w:type="dxa"/>
            <w:left w:w="0" w:type="dxa"/>
            <w:bottom w:w="0" w:type="dxa"/>
            <w:right w:w="0" w:type="dxa"/>
          </w:tblCellMar>
        </w:tblPrEx>
        <w:trPr>
          <w:trHeight w:val="319" w:hRule="atLeast"/>
        </w:trPr>
        <w:tc>
          <w:tcPr>
            <w:tcW w:w="98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项目资金       （万元）</w:t>
            </w:r>
          </w:p>
        </w:tc>
        <w:tc>
          <w:tcPr>
            <w:tcW w:w="257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年初预算数</w:t>
            </w:r>
          </w:p>
        </w:tc>
        <w:tc>
          <w:tcPr>
            <w:tcW w:w="141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全年预算数</w:t>
            </w:r>
          </w:p>
        </w:tc>
        <w:tc>
          <w:tcPr>
            <w:tcW w:w="1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全年执行数</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147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执行率</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r>
      <w:tr>
        <w:tblPrEx>
          <w:tblLayout w:type="fixed"/>
          <w:tblCellMar>
            <w:top w:w="0" w:type="dxa"/>
            <w:left w:w="0" w:type="dxa"/>
            <w:bottom w:w="0" w:type="dxa"/>
            <w:right w:w="0" w:type="dxa"/>
          </w:tblCellMar>
        </w:tblPrEx>
        <w:trPr>
          <w:trHeight w:val="319" w:hRule="atLeast"/>
        </w:trPr>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57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年度资金总额</w:t>
            </w:r>
          </w:p>
        </w:tc>
        <w:tc>
          <w:tcPr>
            <w:tcW w:w="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15.00 </w:t>
            </w:r>
          </w:p>
        </w:tc>
        <w:tc>
          <w:tcPr>
            <w:tcW w:w="141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15.00 </w:t>
            </w:r>
          </w:p>
        </w:tc>
        <w:tc>
          <w:tcPr>
            <w:tcW w:w="1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15.00 </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147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r>
      <w:tr>
        <w:tblPrEx>
          <w:tblLayout w:type="fixed"/>
          <w:tblCellMar>
            <w:top w:w="0" w:type="dxa"/>
            <w:left w:w="0" w:type="dxa"/>
            <w:bottom w:w="0" w:type="dxa"/>
            <w:right w:w="0" w:type="dxa"/>
          </w:tblCellMar>
        </w:tblPrEx>
        <w:trPr>
          <w:trHeight w:val="319" w:hRule="atLeast"/>
        </w:trPr>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57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其中：当年财政拨款</w:t>
            </w:r>
          </w:p>
        </w:tc>
        <w:tc>
          <w:tcPr>
            <w:tcW w:w="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15.00 </w:t>
            </w:r>
          </w:p>
        </w:tc>
        <w:tc>
          <w:tcPr>
            <w:tcW w:w="141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15.00 </w:t>
            </w:r>
          </w:p>
        </w:tc>
        <w:tc>
          <w:tcPr>
            <w:tcW w:w="1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15.00 </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147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57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上年结转资金</w:t>
            </w:r>
          </w:p>
        </w:tc>
        <w:tc>
          <w:tcPr>
            <w:tcW w:w="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41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147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57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其他资金</w:t>
            </w:r>
          </w:p>
        </w:tc>
        <w:tc>
          <w:tcPr>
            <w:tcW w:w="8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41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147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98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年度总体目标</w:t>
            </w:r>
          </w:p>
        </w:tc>
        <w:tc>
          <w:tcPr>
            <w:tcW w:w="480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预期目标</w:t>
            </w:r>
          </w:p>
        </w:tc>
        <w:tc>
          <w:tcPr>
            <w:tcW w:w="448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实际完成情况</w:t>
            </w:r>
          </w:p>
        </w:tc>
      </w:tr>
      <w:tr>
        <w:tblPrEx>
          <w:tblLayout w:type="fixed"/>
          <w:tblCellMar>
            <w:top w:w="0" w:type="dxa"/>
            <w:left w:w="0" w:type="dxa"/>
            <w:bottom w:w="0" w:type="dxa"/>
            <w:right w:w="0" w:type="dxa"/>
          </w:tblCellMar>
        </w:tblPrEx>
        <w:trPr>
          <w:trHeight w:val="382" w:hRule="atLeast"/>
        </w:trPr>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80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完成吉木萨尔县至大河沿镇公路建设项目前期手续</w:t>
            </w:r>
          </w:p>
        </w:tc>
        <w:tc>
          <w:tcPr>
            <w:tcW w:w="448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18"/>
                <w:szCs w:val="18"/>
                <w:highlight w:val="none"/>
                <w:u w:val="none"/>
                <w:lang w:val="en-US" w:eastAsia="zh-CN" w:bidi="ar"/>
              </w:rPr>
              <w:t>已完成吉木萨尔县至大河沿镇公路建设项目前期手续</w:t>
            </w:r>
          </w:p>
        </w:tc>
      </w:tr>
      <w:tr>
        <w:tblPrEx>
          <w:tblLayout w:type="fixed"/>
          <w:tblCellMar>
            <w:top w:w="0" w:type="dxa"/>
            <w:left w:w="0" w:type="dxa"/>
            <w:bottom w:w="0" w:type="dxa"/>
            <w:right w:w="0" w:type="dxa"/>
          </w:tblCellMar>
        </w:tblPrEx>
        <w:trPr>
          <w:trHeight w:val="270" w:hRule="atLeast"/>
        </w:trPr>
        <w:tc>
          <w:tcPr>
            <w:tcW w:w="98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绩              效</w:t>
            </w:r>
          </w:p>
          <w:p>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 xml:space="preserve">指   </w:t>
            </w:r>
          </w:p>
          <w:p>
            <w:pPr>
              <w:keepNext w:val="0"/>
              <w:keepLines w:val="0"/>
              <w:widowControl/>
              <w:suppressLineNumbers w:val="0"/>
              <w:ind w:firstLine="400" w:firstLineChars="200"/>
              <w:jc w:val="both"/>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标</w:t>
            </w:r>
          </w:p>
        </w:tc>
        <w:tc>
          <w:tcPr>
            <w:tcW w:w="6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一级</w:t>
            </w:r>
          </w:p>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指标</w:t>
            </w: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二级指标</w:t>
            </w:r>
          </w:p>
        </w:tc>
        <w:tc>
          <w:tcPr>
            <w:tcW w:w="205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三级指标</w:t>
            </w:r>
          </w:p>
        </w:tc>
        <w:tc>
          <w:tcPr>
            <w:tcW w:w="11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w:t>
            </w:r>
          </w:p>
        </w:tc>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w:t>
            </w:r>
          </w:p>
        </w:tc>
        <w:tc>
          <w:tcPr>
            <w:tcW w:w="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7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c>
          <w:tcPr>
            <w:tcW w:w="15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偏差原因分析及改进措施</w:t>
            </w:r>
          </w:p>
        </w:tc>
      </w:tr>
      <w:tr>
        <w:tblPrEx>
          <w:tblLayout w:type="fixed"/>
          <w:tblCellMar>
            <w:top w:w="0" w:type="dxa"/>
            <w:left w:w="0" w:type="dxa"/>
            <w:bottom w:w="0" w:type="dxa"/>
            <w:right w:w="0" w:type="dxa"/>
          </w:tblCellMar>
        </w:tblPrEx>
        <w:trPr>
          <w:trHeight w:val="217" w:hRule="atLeast"/>
        </w:trPr>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05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指标值</w:t>
            </w:r>
          </w:p>
        </w:tc>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完成值</w:t>
            </w:r>
          </w:p>
        </w:tc>
        <w:tc>
          <w:tcPr>
            <w:tcW w:w="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5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416" w:hRule="atLeast"/>
        </w:trPr>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产出指标</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数量指标</w:t>
            </w:r>
          </w:p>
        </w:tc>
        <w:tc>
          <w:tcPr>
            <w:tcW w:w="205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公路建设工程长度</w:t>
            </w:r>
          </w:p>
        </w:tc>
        <w:tc>
          <w:tcPr>
            <w:tcW w:w="11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138.203公里</w:t>
            </w:r>
          </w:p>
        </w:tc>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138.203公里</w:t>
            </w:r>
          </w:p>
        </w:tc>
        <w:tc>
          <w:tcPr>
            <w:tcW w:w="8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317" w:hRule="atLeast"/>
        </w:trPr>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质量指标</w:t>
            </w:r>
          </w:p>
        </w:tc>
        <w:tc>
          <w:tcPr>
            <w:tcW w:w="205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工程完工率</w:t>
            </w:r>
          </w:p>
        </w:tc>
        <w:tc>
          <w:tcPr>
            <w:tcW w:w="11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8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499" w:hRule="atLeast"/>
        </w:trPr>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05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道路设计、建设管理达标率</w:t>
            </w:r>
          </w:p>
        </w:tc>
        <w:tc>
          <w:tcPr>
            <w:tcW w:w="11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8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358" w:hRule="atLeast"/>
        </w:trPr>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05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工程验收合格率</w:t>
            </w:r>
          </w:p>
        </w:tc>
        <w:tc>
          <w:tcPr>
            <w:tcW w:w="11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8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368" w:hRule="atLeast"/>
        </w:trPr>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时效指标</w:t>
            </w:r>
          </w:p>
        </w:tc>
        <w:tc>
          <w:tcPr>
            <w:tcW w:w="205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工程当年及时完工率</w:t>
            </w:r>
          </w:p>
        </w:tc>
        <w:tc>
          <w:tcPr>
            <w:tcW w:w="11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8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702" w:hRule="atLeast"/>
        </w:trPr>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05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项目款项按合同及时支付率</w:t>
            </w:r>
          </w:p>
        </w:tc>
        <w:tc>
          <w:tcPr>
            <w:tcW w:w="11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8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509" w:hRule="atLeast"/>
        </w:trPr>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05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工程开工时间</w:t>
            </w:r>
          </w:p>
        </w:tc>
        <w:tc>
          <w:tcPr>
            <w:tcW w:w="11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Style w:val="18"/>
                <w:highlight w:val="none"/>
                <w:lang w:val="en-US" w:eastAsia="zh-CN" w:bidi="ar"/>
              </w:rPr>
              <w:t>2019</w:t>
            </w:r>
            <w:r>
              <w:rPr>
                <w:rFonts w:hint="eastAsia" w:ascii="宋体" w:hAnsi="宋体" w:eastAsia="宋体" w:cs="宋体"/>
                <w:i w:val="0"/>
                <w:color w:val="000000"/>
                <w:kern w:val="0"/>
                <w:sz w:val="20"/>
                <w:szCs w:val="20"/>
                <w:highlight w:val="none"/>
                <w:u w:val="none"/>
                <w:lang w:val="en-US" w:eastAsia="zh-CN" w:bidi="ar"/>
              </w:rPr>
              <w:t>年10月开工建设</w:t>
            </w:r>
          </w:p>
        </w:tc>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Style w:val="18"/>
                <w:highlight w:val="none"/>
                <w:lang w:val="en-US" w:eastAsia="zh-CN" w:bidi="ar"/>
              </w:rPr>
              <w:t>2019</w:t>
            </w:r>
            <w:r>
              <w:rPr>
                <w:rFonts w:hint="eastAsia" w:ascii="宋体" w:hAnsi="宋体" w:eastAsia="宋体" w:cs="宋体"/>
                <w:i w:val="0"/>
                <w:color w:val="000000"/>
                <w:kern w:val="0"/>
                <w:sz w:val="20"/>
                <w:szCs w:val="20"/>
                <w:highlight w:val="none"/>
                <w:u w:val="none"/>
                <w:lang w:val="en-US" w:eastAsia="zh-CN" w:bidi="ar"/>
              </w:rPr>
              <w:t>年10月开工建设</w:t>
            </w:r>
          </w:p>
        </w:tc>
        <w:tc>
          <w:tcPr>
            <w:tcW w:w="8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560" w:hRule="atLeast"/>
        </w:trPr>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成本指标</w:t>
            </w:r>
          </w:p>
        </w:tc>
        <w:tc>
          <w:tcPr>
            <w:tcW w:w="205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公路建设工程平均建造</w:t>
            </w:r>
          </w:p>
        </w:tc>
        <w:tc>
          <w:tcPr>
            <w:tcW w:w="11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≦9199.19万元/公里</w:t>
            </w:r>
          </w:p>
        </w:tc>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9199.19万元/公里</w:t>
            </w:r>
          </w:p>
        </w:tc>
        <w:tc>
          <w:tcPr>
            <w:tcW w:w="8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702" w:hRule="atLeast"/>
        </w:trPr>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效益指标</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经济效益指标</w:t>
            </w:r>
          </w:p>
        </w:tc>
        <w:tc>
          <w:tcPr>
            <w:tcW w:w="205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为公路沿线居民带来经济利益流入</w:t>
            </w:r>
          </w:p>
        </w:tc>
        <w:tc>
          <w:tcPr>
            <w:tcW w:w="11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16750元/人</w:t>
            </w:r>
          </w:p>
        </w:tc>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16750元/人</w:t>
            </w:r>
          </w:p>
        </w:tc>
        <w:tc>
          <w:tcPr>
            <w:tcW w:w="8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561" w:hRule="atLeast"/>
        </w:trPr>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社会效益指标</w:t>
            </w:r>
          </w:p>
        </w:tc>
        <w:tc>
          <w:tcPr>
            <w:tcW w:w="205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大河沿公路建设项目实施受益人口</w:t>
            </w:r>
          </w:p>
        </w:tc>
        <w:tc>
          <w:tcPr>
            <w:tcW w:w="11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40万人</w:t>
            </w:r>
          </w:p>
        </w:tc>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40万人</w:t>
            </w:r>
          </w:p>
        </w:tc>
        <w:tc>
          <w:tcPr>
            <w:tcW w:w="8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587" w:hRule="atLeast"/>
        </w:trPr>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生态效益指标</w:t>
            </w:r>
          </w:p>
        </w:tc>
        <w:tc>
          <w:tcPr>
            <w:tcW w:w="205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改善道路沿线居民生活环境</w:t>
            </w:r>
          </w:p>
        </w:tc>
        <w:tc>
          <w:tcPr>
            <w:tcW w:w="11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有效改善</w:t>
            </w:r>
          </w:p>
        </w:tc>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有效改善</w:t>
            </w:r>
          </w:p>
        </w:tc>
        <w:tc>
          <w:tcPr>
            <w:tcW w:w="8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379" w:hRule="atLeast"/>
        </w:trPr>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05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美化道路环境</w:t>
            </w:r>
          </w:p>
        </w:tc>
        <w:tc>
          <w:tcPr>
            <w:tcW w:w="11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w:t>
            </w:r>
          </w:p>
        </w:tc>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w:t>
            </w:r>
          </w:p>
        </w:tc>
        <w:tc>
          <w:tcPr>
            <w:tcW w:w="8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587" w:hRule="atLeast"/>
        </w:trPr>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可持续影响指标</w:t>
            </w:r>
          </w:p>
        </w:tc>
        <w:tc>
          <w:tcPr>
            <w:tcW w:w="205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大河沿公路可持续使用年限</w:t>
            </w:r>
          </w:p>
        </w:tc>
        <w:tc>
          <w:tcPr>
            <w:tcW w:w="11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30年</w:t>
            </w:r>
          </w:p>
        </w:tc>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30年</w:t>
            </w:r>
          </w:p>
        </w:tc>
        <w:tc>
          <w:tcPr>
            <w:tcW w:w="8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442" w:hRule="atLeast"/>
        </w:trPr>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满意度指标</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满意度指标</w:t>
            </w:r>
          </w:p>
        </w:tc>
        <w:tc>
          <w:tcPr>
            <w:tcW w:w="205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受益群体满意度</w:t>
            </w:r>
          </w:p>
        </w:tc>
        <w:tc>
          <w:tcPr>
            <w:tcW w:w="11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≥90%</w:t>
            </w:r>
          </w:p>
        </w:tc>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90%</w:t>
            </w:r>
          </w:p>
        </w:tc>
        <w:tc>
          <w:tcPr>
            <w:tcW w:w="8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388" w:hRule="atLeast"/>
        </w:trPr>
        <w:tc>
          <w:tcPr>
            <w:tcW w:w="71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总分</w:t>
            </w:r>
          </w:p>
        </w:tc>
        <w:tc>
          <w:tcPr>
            <w:tcW w:w="8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5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bl>
    <w:p>
      <w:pPr>
        <w:spacing w:line="540" w:lineRule="exact"/>
        <w:rPr>
          <w:rFonts w:hint="eastAsia" w:ascii="仿宋_GB2312" w:eastAsia="仿宋_GB2312"/>
          <w:sz w:val="32"/>
          <w:szCs w:val="32"/>
          <w:highlight w:val="none"/>
        </w:rPr>
      </w:pPr>
      <w:r>
        <w:rPr>
          <w:rFonts w:hint="eastAsia" w:ascii="仿宋_GB2312" w:eastAsia="仿宋_GB2312"/>
          <w:sz w:val="32"/>
          <w:szCs w:val="32"/>
          <w:highlight w:val="none"/>
          <w:lang w:val="en-US" w:eastAsia="zh-CN"/>
        </w:rPr>
        <w:t>3.吉木萨尔县8.2农村公路水毁项目</w:t>
      </w:r>
    </w:p>
    <w:tbl>
      <w:tblPr>
        <w:tblStyle w:val="13"/>
        <w:tblW w:w="8855" w:type="dxa"/>
        <w:tblInd w:w="-519" w:type="dxa"/>
        <w:shd w:val="clear" w:color="auto" w:fill="auto"/>
        <w:tblLayout w:type="fixed"/>
        <w:tblCellMar>
          <w:top w:w="0" w:type="dxa"/>
          <w:left w:w="0" w:type="dxa"/>
          <w:bottom w:w="0" w:type="dxa"/>
          <w:right w:w="0" w:type="dxa"/>
        </w:tblCellMar>
      </w:tblPr>
      <w:tblGrid>
        <w:gridCol w:w="720"/>
        <w:gridCol w:w="573"/>
        <w:gridCol w:w="1000"/>
        <w:gridCol w:w="774"/>
        <w:gridCol w:w="1170"/>
        <w:gridCol w:w="363"/>
        <w:gridCol w:w="747"/>
        <w:gridCol w:w="880"/>
        <w:gridCol w:w="266"/>
        <w:gridCol w:w="414"/>
        <w:gridCol w:w="385"/>
        <w:gridCol w:w="228"/>
        <w:gridCol w:w="596"/>
        <w:gridCol w:w="739"/>
      </w:tblGrid>
      <w:tr>
        <w:tblPrEx>
          <w:shd w:val="clear" w:color="auto" w:fill="auto"/>
          <w:tblLayout w:type="fixed"/>
          <w:tblCellMar>
            <w:top w:w="0" w:type="dxa"/>
            <w:left w:w="0" w:type="dxa"/>
            <w:bottom w:w="0" w:type="dxa"/>
            <w:right w:w="0" w:type="dxa"/>
          </w:tblCellMar>
        </w:tblPrEx>
        <w:trPr>
          <w:trHeight w:val="405" w:hRule="atLeast"/>
        </w:trPr>
        <w:tc>
          <w:tcPr>
            <w:tcW w:w="8855"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outlineLvl w:val="9"/>
              <w:rPr>
                <w:rFonts w:hint="eastAsia" w:ascii="宋体" w:hAnsi="宋体" w:eastAsia="宋体" w:cs="宋体"/>
                <w:b/>
                <w:i w:val="0"/>
                <w:color w:val="000000"/>
                <w:sz w:val="32"/>
                <w:szCs w:val="32"/>
                <w:highlight w:val="none"/>
                <w:u w:val="none"/>
              </w:rPr>
            </w:pPr>
            <w:r>
              <w:rPr>
                <w:rFonts w:hint="eastAsia" w:ascii="宋体" w:hAnsi="宋体" w:eastAsia="宋体" w:cs="宋体"/>
                <w:b/>
                <w:i w:val="0"/>
                <w:color w:val="000000"/>
                <w:kern w:val="0"/>
                <w:sz w:val="32"/>
                <w:szCs w:val="32"/>
                <w:highlight w:val="none"/>
                <w:u w:val="none"/>
                <w:lang w:val="en-US" w:eastAsia="zh-CN" w:bidi="ar"/>
              </w:rPr>
              <w:t>项目支出绩效自评表</w:t>
            </w:r>
          </w:p>
        </w:tc>
      </w:tr>
      <w:tr>
        <w:tblPrEx>
          <w:tblLayout w:type="fixed"/>
          <w:tblCellMar>
            <w:top w:w="0" w:type="dxa"/>
            <w:left w:w="0" w:type="dxa"/>
            <w:bottom w:w="0" w:type="dxa"/>
            <w:right w:w="0" w:type="dxa"/>
          </w:tblCellMar>
        </w:tblPrEx>
        <w:trPr>
          <w:trHeight w:val="405" w:hRule="atLeast"/>
        </w:trPr>
        <w:tc>
          <w:tcPr>
            <w:tcW w:w="8855"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outlineLvl w:val="9"/>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（2019年度）</w:t>
            </w:r>
          </w:p>
        </w:tc>
      </w:tr>
      <w:tr>
        <w:tblPrEx>
          <w:tblLayout w:type="fixed"/>
          <w:tblCellMar>
            <w:top w:w="0" w:type="dxa"/>
            <w:left w:w="0" w:type="dxa"/>
            <w:bottom w:w="0" w:type="dxa"/>
            <w:right w:w="0" w:type="dxa"/>
          </w:tblCellMar>
        </w:tblPrEx>
        <w:trPr>
          <w:trHeight w:val="319" w:hRule="atLeast"/>
        </w:trPr>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项目名称</w:t>
            </w:r>
          </w:p>
        </w:tc>
        <w:tc>
          <w:tcPr>
            <w:tcW w:w="7562"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吉木萨尔县8.2农村公路水毁项目</w:t>
            </w:r>
          </w:p>
        </w:tc>
      </w:tr>
      <w:tr>
        <w:tblPrEx>
          <w:tblLayout w:type="fixed"/>
          <w:tblCellMar>
            <w:top w:w="0" w:type="dxa"/>
            <w:left w:w="0" w:type="dxa"/>
            <w:bottom w:w="0" w:type="dxa"/>
            <w:right w:w="0" w:type="dxa"/>
          </w:tblCellMar>
        </w:tblPrEx>
        <w:trPr>
          <w:trHeight w:val="319" w:hRule="atLeast"/>
        </w:trPr>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主管部门</w:t>
            </w:r>
          </w:p>
        </w:tc>
        <w:tc>
          <w:tcPr>
            <w:tcW w:w="405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吉木萨尔县交通运输局</w:t>
            </w:r>
          </w:p>
        </w:tc>
        <w:tc>
          <w:tcPr>
            <w:tcW w:w="11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实施单位</w:t>
            </w:r>
          </w:p>
        </w:tc>
        <w:tc>
          <w:tcPr>
            <w:tcW w:w="2362"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吉木萨尔县交通运输局</w:t>
            </w:r>
          </w:p>
        </w:tc>
      </w:tr>
      <w:tr>
        <w:tblPrEx>
          <w:tblLayout w:type="fixed"/>
          <w:tblCellMar>
            <w:top w:w="0" w:type="dxa"/>
            <w:left w:w="0" w:type="dxa"/>
            <w:bottom w:w="0" w:type="dxa"/>
            <w:right w:w="0" w:type="dxa"/>
          </w:tblCellMar>
        </w:tblPrEx>
        <w:trPr>
          <w:trHeight w:val="319" w:hRule="atLeast"/>
        </w:trPr>
        <w:tc>
          <w:tcPr>
            <w:tcW w:w="129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项目资金       （万元）</w:t>
            </w:r>
          </w:p>
        </w:tc>
        <w:tc>
          <w:tcPr>
            <w:tcW w:w="177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年初预算数</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全年预算数</w:t>
            </w:r>
          </w:p>
        </w:tc>
        <w:tc>
          <w:tcPr>
            <w:tcW w:w="11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全年执行数</w:t>
            </w:r>
          </w:p>
        </w:tc>
        <w:tc>
          <w:tcPr>
            <w:tcW w:w="7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8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执行率</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r>
      <w:tr>
        <w:tblPrEx>
          <w:tblLayout w:type="fixed"/>
          <w:tblCellMar>
            <w:top w:w="0" w:type="dxa"/>
            <w:left w:w="0" w:type="dxa"/>
            <w:bottom w:w="0" w:type="dxa"/>
            <w:right w:w="0" w:type="dxa"/>
          </w:tblCellMar>
        </w:tblPrEx>
        <w:trPr>
          <w:trHeight w:val="319" w:hRule="atLeast"/>
        </w:trPr>
        <w:tc>
          <w:tcPr>
            <w:tcW w:w="12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77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年度资金总额</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215.19</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215.19</w:t>
            </w:r>
          </w:p>
        </w:tc>
        <w:tc>
          <w:tcPr>
            <w:tcW w:w="11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215.19</w:t>
            </w:r>
          </w:p>
        </w:tc>
        <w:tc>
          <w:tcPr>
            <w:tcW w:w="7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8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r>
      <w:tr>
        <w:tblPrEx>
          <w:tblLayout w:type="fixed"/>
          <w:tblCellMar>
            <w:top w:w="0" w:type="dxa"/>
            <w:left w:w="0" w:type="dxa"/>
            <w:bottom w:w="0" w:type="dxa"/>
            <w:right w:w="0" w:type="dxa"/>
          </w:tblCellMar>
        </w:tblPrEx>
        <w:trPr>
          <w:trHeight w:val="319" w:hRule="atLeast"/>
        </w:trPr>
        <w:tc>
          <w:tcPr>
            <w:tcW w:w="12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77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其中：当年财政拨款</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215.19</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215.19</w:t>
            </w:r>
          </w:p>
        </w:tc>
        <w:tc>
          <w:tcPr>
            <w:tcW w:w="11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215.19</w:t>
            </w:r>
          </w:p>
        </w:tc>
        <w:tc>
          <w:tcPr>
            <w:tcW w:w="7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10</w:t>
            </w:r>
          </w:p>
        </w:tc>
        <w:tc>
          <w:tcPr>
            <w:tcW w:w="8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319" w:hRule="atLeast"/>
        </w:trPr>
        <w:tc>
          <w:tcPr>
            <w:tcW w:w="12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77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上年结转资金</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1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7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8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12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77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其他资金</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1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7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8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年度总体目标</w:t>
            </w:r>
          </w:p>
        </w:tc>
        <w:tc>
          <w:tcPr>
            <w:tcW w:w="4627"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预期目标</w:t>
            </w:r>
          </w:p>
        </w:tc>
        <w:tc>
          <w:tcPr>
            <w:tcW w:w="3508"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实际完成情况</w:t>
            </w:r>
          </w:p>
        </w:tc>
      </w:tr>
      <w:tr>
        <w:tblPrEx>
          <w:tblLayout w:type="fixed"/>
          <w:tblCellMar>
            <w:top w:w="0" w:type="dxa"/>
            <w:left w:w="0" w:type="dxa"/>
            <w:bottom w:w="0" w:type="dxa"/>
            <w:right w:w="0" w:type="dxa"/>
          </w:tblCellMar>
        </w:tblPrEx>
        <w:trPr>
          <w:trHeight w:val="90"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627"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outlineLvl w:val="9"/>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水毁修复庆阳湖乡大泉1号桥，三台镇东大梁2-13m小桥，东台子1-13m小桥，1-4m盖板涵，老台乡乏马塘2-13m小桥，西台子村2-20m中桥，二工镇烧房沟村1-8m小桥，泉子街镇白杨河村1-20m小桥，广泉河大桥，X183线第一处、第二处小桥，1-4m盖板涵（砂厂位置），1-2m盖板涵（庆阳湖乡、水岸名居度假村路口）。</w:t>
            </w:r>
          </w:p>
        </w:tc>
        <w:tc>
          <w:tcPr>
            <w:tcW w:w="3508"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outlineLvl w:val="9"/>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水毁修复庆阳湖乡大泉1号桥，三台镇东大梁2-13m小桥，东台子1-13m小桥，1-4m盖板涵，老台乡乏马塘2-13m小桥，西台子村2-20m中桥，二工镇烧房沟村1-8m小桥，泉子街镇白杨河村1-20m小桥，广泉河大桥，X183线第一处、第二处小桥，1-4m盖板涵（砂厂位置），1-2m盖板涵（庆阳湖乡、水岸名居度假村路口）。</w:t>
            </w:r>
          </w:p>
        </w:tc>
      </w:tr>
      <w:tr>
        <w:tblPrEx>
          <w:tblLayout w:type="fixed"/>
          <w:tblCellMar>
            <w:top w:w="0" w:type="dxa"/>
            <w:left w:w="0" w:type="dxa"/>
            <w:bottom w:w="0" w:type="dxa"/>
            <w:right w:w="0" w:type="dxa"/>
          </w:tblCellMar>
        </w:tblPrEx>
        <w:trPr>
          <w:trHeight w:val="319" w:hRule="atLeast"/>
        </w:trPr>
        <w:tc>
          <w:tcPr>
            <w:tcW w:w="72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绩              效    指    标</w:t>
            </w:r>
          </w:p>
        </w:tc>
        <w:tc>
          <w:tcPr>
            <w:tcW w:w="57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一级指标</w:t>
            </w:r>
          </w:p>
        </w:tc>
        <w:tc>
          <w:tcPr>
            <w:tcW w:w="10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二级指标</w:t>
            </w:r>
          </w:p>
        </w:tc>
        <w:tc>
          <w:tcPr>
            <w:tcW w:w="230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三级指标</w:t>
            </w:r>
          </w:p>
        </w:tc>
        <w:tc>
          <w:tcPr>
            <w:tcW w:w="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w:t>
            </w:r>
          </w:p>
        </w:tc>
        <w:tc>
          <w:tcPr>
            <w:tcW w:w="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w:t>
            </w:r>
          </w:p>
        </w:tc>
        <w:tc>
          <w:tcPr>
            <w:tcW w:w="6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61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c>
          <w:tcPr>
            <w:tcW w:w="13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偏差原因分析及改进措施</w:t>
            </w:r>
          </w:p>
        </w:tc>
      </w:tr>
      <w:tr>
        <w:tblPrEx>
          <w:tblLayout w:type="fixed"/>
          <w:tblCellMar>
            <w:top w:w="0" w:type="dxa"/>
            <w:left w:w="0" w:type="dxa"/>
            <w:bottom w:w="0" w:type="dxa"/>
            <w:right w:w="0" w:type="dxa"/>
          </w:tblCellMar>
        </w:tblPrEx>
        <w:trPr>
          <w:trHeight w:val="319" w:hRule="atLeast"/>
        </w:trPr>
        <w:tc>
          <w:tcPr>
            <w:tcW w:w="7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7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30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指标值</w:t>
            </w:r>
          </w:p>
        </w:tc>
        <w:tc>
          <w:tcPr>
            <w:tcW w:w="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完成值</w:t>
            </w:r>
          </w:p>
        </w:tc>
        <w:tc>
          <w:tcPr>
            <w:tcW w:w="6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3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0" w:hRule="atLeast"/>
        </w:trPr>
        <w:tc>
          <w:tcPr>
            <w:tcW w:w="7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7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产出指标</w:t>
            </w:r>
          </w:p>
        </w:tc>
        <w:tc>
          <w:tcPr>
            <w:tcW w:w="10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数量指标</w:t>
            </w:r>
          </w:p>
        </w:tc>
        <w:tc>
          <w:tcPr>
            <w:tcW w:w="230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水毁修复桥梁工程量（座）</w:t>
            </w:r>
          </w:p>
        </w:tc>
        <w:tc>
          <w:tcPr>
            <w:tcW w:w="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6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3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309" w:hRule="atLeast"/>
        </w:trPr>
        <w:tc>
          <w:tcPr>
            <w:tcW w:w="7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7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30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水毁修复涵洞工程量（道）</w:t>
            </w:r>
          </w:p>
        </w:tc>
        <w:tc>
          <w:tcPr>
            <w:tcW w:w="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3</w:t>
            </w:r>
          </w:p>
        </w:tc>
        <w:tc>
          <w:tcPr>
            <w:tcW w:w="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3</w:t>
            </w:r>
          </w:p>
        </w:tc>
        <w:tc>
          <w:tcPr>
            <w:tcW w:w="6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3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351" w:hRule="atLeast"/>
        </w:trPr>
        <w:tc>
          <w:tcPr>
            <w:tcW w:w="7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7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质量指标</w:t>
            </w:r>
          </w:p>
        </w:tc>
        <w:tc>
          <w:tcPr>
            <w:tcW w:w="230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建设工程质量合格率（%）</w:t>
            </w:r>
          </w:p>
        </w:tc>
        <w:tc>
          <w:tcPr>
            <w:tcW w:w="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3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323" w:hRule="atLeast"/>
        </w:trPr>
        <w:tc>
          <w:tcPr>
            <w:tcW w:w="7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7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30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工程验收合格率（%）</w:t>
            </w:r>
          </w:p>
        </w:tc>
        <w:tc>
          <w:tcPr>
            <w:tcW w:w="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3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284" w:hRule="atLeast"/>
        </w:trPr>
        <w:tc>
          <w:tcPr>
            <w:tcW w:w="7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7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时效指标</w:t>
            </w:r>
          </w:p>
        </w:tc>
        <w:tc>
          <w:tcPr>
            <w:tcW w:w="230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工程及时开工率（%）</w:t>
            </w:r>
          </w:p>
        </w:tc>
        <w:tc>
          <w:tcPr>
            <w:tcW w:w="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w:t>
            </w:r>
          </w:p>
        </w:tc>
        <w:tc>
          <w:tcPr>
            <w:tcW w:w="13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257" w:hRule="atLeast"/>
        </w:trPr>
        <w:tc>
          <w:tcPr>
            <w:tcW w:w="7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7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30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工程及时完工率（%）</w:t>
            </w:r>
          </w:p>
        </w:tc>
        <w:tc>
          <w:tcPr>
            <w:tcW w:w="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w:t>
            </w:r>
          </w:p>
        </w:tc>
        <w:tc>
          <w:tcPr>
            <w:tcW w:w="13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247" w:hRule="atLeast"/>
        </w:trPr>
        <w:tc>
          <w:tcPr>
            <w:tcW w:w="7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7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成本指标</w:t>
            </w:r>
          </w:p>
        </w:tc>
        <w:tc>
          <w:tcPr>
            <w:tcW w:w="230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工程量完成率（%）</w:t>
            </w:r>
          </w:p>
        </w:tc>
        <w:tc>
          <w:tcPr>
            <w:tcW w:w="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3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284" w:hRule="atLeast"/>
        </w:trPr>
        <w:tc>
          <w:tcPr>
            <w:tcW w:w="7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7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30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工程按时完成率（%）</w:t>
            </w:r>
          </w:p>
        </w:tc>
        <w:tc>
          <w:tcPr>
            <w:tcW w:w="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3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310" w:hRule="atLeast"/>
        </w:trPr>
        <w:tc>
          <w:tcPr>
            <w:tcW w:w="7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7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30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w:t>
            </w:r>
            <w:r>
              <w:rPr>
                <w:rFonts w:hint="eastAsia" w:ascii="宋体" w:hAnsi="宋体" w:eastAsia="宋体" w:cs="宋体"/>
                <w:i w:val="0"/>
                <w:color w:val="000000"/>
                <w:kern w:val="0"/>
                <w:sz w:val="18"/>
                <w:szCs w:val="18"/>
                <w:highlight w:val="none"/>
                <w:u w:val="none"/>
                <w:lang w:val="en-US" w:eastAsia="zh-CN" w:bidi="ar"/>
              </w:rPr>
              <w:t>工程合同期限内完工率（%</w:t>
            </w:r>
            <w:r>
              <w:rPr>
                <w:rFonts w:hint="eastAsia" w:ascii="宋体" w:hAnsi="宋体" w:eastAsia="宋体" w:cs="宋体"/>
                <w:i w:val="0"/>
                <w:color w:val="000000"/>
                <w:kern w:val="0"/>
                <w:sz w:val="20"/>
                <w:szCs w:val="20"/>
                <w:highlight w:val="none"/>
                <w:u w:val="none"/>
                <w:lang w:val="en-US" w:eastAsia="zh-CN" w:bidi="ar"/>
              </w:rPr>
              <w:t>）</w:t>
            </w:r>
          </w:p>
        </w:tc>
        <w:tc>
          <w:tcPr>
            <w:tcW w:w="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3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519" w:hRule="atLeast"/>
        </w:trPr>
        <w:tc>
          <w:tcPr>
            <w:tcW w:w="7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7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效益指标</w:t>
            </w:r>
          </w:p>
        </w:tc>
        <w:tc>
          <w:tcPr>
            <w:tcW w:w="100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经济效益指标</w:t>
            </w:r>
          </w:p>
        </w:tc>
        <w:tc>
          <w:tcPr>
            <w:tcW w:w="230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修复后的桥梁涵洞比拆除重建更节约资金</w:t>
            </w:r>
          </w:p>
        </w:tc>
        <w:tc>
          <w:tcPr>
            <w:tcW w:w="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是</w:t>
            </w:r>
          </w:p>
        </w:tc>
        <w:tc>
          <w:tcPr>
            <w:tcW w:w="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是</w:t>
            </w:r>
          </w:p>
        </w:tc>
        <w:tc>
          <w:tcPr>
            <w:tcW w:w="6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13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493" w:hRule="atLeast"/>
        </w:trPr>
        <w:tc>
          <w:tcPr>
            <w:tcW w:w="7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7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0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社会效益指标</w:t>
            </w:r>
          </w:p>
        </w:tc>
        <w:tc>
          <w:tcPr>
            <w:tcW w:w="230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建成通车后基本公共服务水平提升率</w:t>
            </w:r>
          </w:p>
        </w:tc>
        <w:tc>
          <w:tcPr>
            <w:tcW w:w="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13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575" w:hRule="atLeast"/>
        </w:trPr>
        <w:tc>
          <w:tcPr>
            <w:tcW w:w="7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7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0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生态效益指标</w:t>
            </w:r>
          </w:p>
        </w:tc>
        <w:tc>
          <w:tcPr>
            <w:tcW w:w="230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农村公路建设符合环境审批要求</w:t>
            </w:r>
          </w:p>
        </w:tc>
        <w:tc>
          <w:tcPr>
            <w:tcW w:w="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符合</w:t>
            </w:r>
          </w:p>
        </w:tc>
        <w:tc>
          <w:tcPr>
            <w:tcW w:w="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符合</w:t>
            </w:r>
          </w:p>
        </w:tc>
        <w:tc>
          <w:tcPr>
            <w:tcW w:w="6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13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575" w:hRule="atLeast"/>
        </w:trPr>
        <w:tc>
          <w:tcPr>
            <w:tcW w:w="7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7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可持续影响指标</w:t>
            </w:r>
          </w:p>
        </w:tc>
        <w:tc>
          <w:tcPr>
            <w:tcW w:w="230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使得水毁修复后的桥涵达到设计使用寿命（%）</w:t>
            </w:r>
          </w:p>
        </w:tc>
        <w:tc>
          <w:tcPr>
            <w:tcW w:w="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3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368" w:hRule="atLeast"/>
        </w:trPr>
        <w:tc>
          <w:tcPr>
            <w:tcW w:w="7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7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满意度指标</w:t>
            </w:r>
          </w:p>
        </w:tc>
        <w:tc>
          <w:tcPr>
            <w:tcW w:w="10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服务对象满意度指标</w:t>
            </w:r>
          </w:p>
        </w:tc>
        <w:tc>
          <w:tcPr>
            <w:tcW w:w="230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受益群体满意度（%）</w:t>
            </w:r>
          </w:p>
        </w:tc>
        <w:tc>
          <w:tcPr>
            <w:tcW w:w="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≥90%</w:t>
            </w:r>
          </w:p>
        </w:tc>
        <w:tc>
          <w:tcPr>
            <w:tcW w:w="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90%</w:t>
            </w:r>
          </w:p>
        </w:tc>
        <w:tc>
          <w:tcPr>
            <w:tcW w:w="6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13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319" w:hRule="atLeast"/>
        </w:trPr>
        <w:tc>
          <w:tcPr>
            <w:tcW w:w="6227"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总分</w:t>
            </w:r>
          </w:p>
        </w:tc>
        <w:tc>
          <w:tcPr>
            <w:tcW w:w="6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3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bl>
    <w:p>
      <w:pPr>
        <w:keepNext w:val="0"/>
        <w:keepLines w:val="0"/>
        <w:pageBreakBefore w:val="0"/>
        <w:kinsoku/>
        <w:wordWrap/>
        <w:overflowPunct/>
        <w:topLinePunct w:val="0"/>
        <w:autoSpaceDE/>
        <w:autoSpaceDN/>
        <w:bidi w:val="0"/>
        <w:adjustRightInd/>
        <w:snapToGrid/>
        <w:spacing w:line="400" w:lineRule="exact"/>
        <w:ind w:firstLine="640" w:firstLineChars="200"/>
        <w:outlineLvl w:val="9"/>
        <w:rPr>
          <w:rFonts w:hint="eastAsia" w:ascii="仿宋_GB2312" w:eastAsia="仿宋_GB2312"/>
          <w:sz w:val="32"/>
          <w:szCs w:val="32"/>
          <w:highlight w:val="none"/>
        </w:rPr>
      </w:pPr>
      <w:r>
        <w:rPr>
          <w:rFonts w:hint="eastAsia" w:ascii="仿宋_GB2312" w:eastAsia="仿宋_GB2312"/>
          <w:sz w:val="32"/>
          <w:szCs w:val="32"/>
          <w:highlight w:val="none"/>
          <w:lang w:val="en-US" w:eastAsia="zh-CN"/>
        </w:rPr>
        <w:t>4.吉木萨尔县2012年通村油路工程建设项目</w:t>
      </w:r>
    </w:p>
    <w:tbl>
      <w:tblPr>
        <w:tblStyle w:val="13"/>
        <w:tblW w:w="10440" w:type="dxa"/>
        <w:tblInd w:w="-906" w:type="dxa"/>
        <w:shd w:val="clear" w:color="auto" w:fill="auto"/>
        <w:tblLayout w:type="fixed"/>
        <w:tblCellMar>
          <w:top w:w="0" w:type="dxa"/>
          <w:left w:w="0" w:type="dxa"/>
          <w:bottom w:w="0" w:type="dxa"/>
          <w:right w:w="0" w:type="dxa"/>
        </w:tblCellMar>
      </w:tblPr>
      <w:tblGrid>
        <w:gridCol w:w="467"/>
        <w:gridCol w:w="520"/>
        <w:gridCol w:w="1587"/>
        <w:gridCol w:w="786"/>
        <w:gridCol w:w="174"/>
        <w:gridCol w:w="786"/>
        <w:gridCol w:w="226"/>
        <w:gridCol w:w="1108"/>
        <w:gridCol w:w="1173"/>
        <w:gridCol w:w="233"/>
        <w:gridCol w:w="355"/>
        <w:gridCol w:w="430"/>
        <w:gridCol w:w="102"/>
        <w:gridCol w:w="590"/>
        <w:gridCol w:w="1903"/>
      </w:tblGrid>
      <w:tr>
        <w:tblPrEx>
          <w:shd w:val="clear" w:color="auto" w:fill="auto"/>
          <w:tblLayout w:type="fixed"/>
          <w:tblCellMar>
            <w:top w:w="0" w:type="dxa"/>
            <w:left w:w="0" w:type="dxa"/>
            <w:bottom w:w="0" w:type="dxa"/>
            <w:right w:w="0" w:type="dxa"/>
          </w:tblCellMar>
        </w:tblPrEx>
        <w:trPr>
          <w:trHeight w:val="405" w:hRule="atLeast"/>
        </w:trPr>
        <w:tc>
          <w:tcPr>
            <w:tcW w:w="10440" w:type="dxa"/>
            <w:gridSpan w:val="15"/>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outlineLvl w:val="9"/>
              <w:rPr>
                <w:rFonts w:hint="eastAsia" w:ascii="宋体" w:hAnsi="宋体" w:eastAsia="宋体" w:cs="宋体"/>
                <w:b/>
                <w:i w:val="0"/>
                <w:color w:val="000000"/>
                <w:sz w:val="20"/>
                <w:szCs w:val="20"/>
                <w:highlight w:val="none"/>
                <w:u w:val="none"/>
              </w:rPr>
            </w:pPr>
            <w:r>
              <w:rPr>
                <w:rFonts w:hint="eastAsia" w:ascii="宋体" w:hAnsi="宋体" w:eastAsia="宋体" w:cs="宋体"/>
                <w:b/>
                <w:i w:val="0"/>
                <w:color w:val="000000"/>
                <w:kern w:val="0"/>
                <w:sz w:val="32"/>
                <w:szCs w:val="32"/>
                <w:highlight w:val="none"/>
                <w:u w:val="none"/>
                <w:lang w:val="en-US" w:eastAsia="zh-CN" w:bidi="ar"/>
              </w:rPr>
              <w:t>项目支出绩效自评表</w:t>
            </w:r>
          </w:p>
        </w:tc>
      </w:tr>
      <w:tr>
        <w:tblPrEx>
          <w:tblLayout w:type="fixed"/>
          <w:tblCellMar>
            <w:top w:w="0" w:type="dxa"/>
            <w:left w:w="0" w:type="dxa"/>
            <w:bottom w:w="0" w:type="dxa"/>
            <w:right w:w="0" w:type="dxa"/>
          </w:tblCellMar>
        </w:tblPrEx>
        <w:trPr>
          <w:trHeight w:val="405" w:hRule="atLeast"/>
        </w:trPr>
        <w:tc>
          <w:tcPr>
            <w:tcW w:w="10440" w:type="dxa"/>
            <w:gridSpan w:val="15"/>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outlineLvl w:val="9"/>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（2019年度）</w:t>
            </w:r>
          </w:p>
        </w:tc>
      </w:tr>
      <w:tr>
        <w:tblPrEx>
          <w:tblLayout w:type="fixed"/>
          <w:tblCellMar>
            <w:top w:w="0" w:type="dxa"/>
            <w:left w:w="0" w:type="dxa"/>
            <w:bottom w:w="0" w:type="dxa"/>
            <w:right w:w="0" w:type="dxa"/>
          </w:tblCellMar>
        </w:tblPrEx>
        <w:trPr>
          <w:trHeight w:val="319" w:hRule="atLeast"/>
        </w:trPr>
        <w:tc>
          <w:tcPr>
            <w:tcW w:w="9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项目名称</w:t>
            </w:r>
          </w:p>
        </w:tc>
        <w:tc>
          <w:tcPr>
            <w:tcW w:w="9453" w:type="dxa"/>
            <w:gridSpan w:val="1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吉木萨尔县2012年通村油路工程建设项目</w:t>
            </w:r>
          </w:p>
        </w:tc>
      </w:tr>
      <w:tr>
        <w:tblPrEx>
          <w:tblLayout w:type="fixed"/>
          <w:tblCellMar>
            <w:top w:w="0" w:type="dxa"/>
            <w:left w:w="0" w:type="dxa"/>
            <w:bottom w:w="0" w:type="dxa"/>
            <w:right w:w="0" w:type="dxa"/>
          </w:tblCellMar>
        </w:tblPrEx>
        <w:trPr>
          <w:trHeight w:val="319" w:hRule="atLeast"/>
        </w:trPr>
        <w:tc>
          <w:tcPr>
            <w:tcW w:w="9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主管部门</w:t>
            </w:r>
          </w:p>
        </w:tc>
        <w:tc>
          <w:tcPr>
            <w:tcW w:w="4667"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昌吉州交通运输局</w:t>
            </w:r>
          </w:p>
        </w:tc>
        <w:tc>
          <w:tcPr>
            <w:tcW w:w="14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实施单位</w:t>
            </w:r>
          </w:p>
        </w:tc>
        <w:tc>
          <w:tcPr>
            <w:tcW w:w="338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吉木萨尔县交通运输局</w:t>
            </w:r>
          </w:p>
        </w:tc>
      </w:tr>
      <w:tr>
        <w:tblPrEx>
          <w:tblLayout w:type="fixed"/>
          <w:tblCellMar>
            <w:top w:w="0" w:type="dxa"/>
            <w:left w:w="0" w:type="dxa"/>
            <w:bottom w:w="0" w:type="dxa"/>
            <w:right w:w="0" w:type="dxa"/>
          </w:tblCellMar>
        </w:tblPrEx>
        <w:trPr>
          <w:trHeight w:val="319" w:hRule="atLeast"/>
        </w:trPr>
        <w:tc>
          <w:tcPr>
            <w:tcW w:w="9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项目资金       （万元）</w:t>
            </w:r>
          </w:p>
        </w:tc>
        <w:tc>
          <w:tcPr>
            <w:tcW w:w="23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年初预算数</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全年预算数</w:t>
            </w:r>
          </w:p>
        </w:tc>
        <w:tc>
          <w:tcPr>
            <w:tcW w:w="14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全年执行数</w:t>
            </w:r>
          </w:p>
        </w:tc>
        <w:tc>
          <w:tcPr>
            <w:tcW w:w="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69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执行率</w:t>
            </w:r>
          </w:p>
        </w:tc>
        <w:tc>
          <w:tcPr>
            <w:tcW w:w="19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r>
      <w:tr>
        <w:tblPrEx>
          <w:tblLayout w:type="fixed"/>
          <w:tblCellMar>
            <w:top w:w="0" w:type="dxa"/>
            <w:left w:w="0" w:type="dxa"/>
            <w:bottom w:w="0" w:type="dxa"/>
            <w:right w:w="0" w:type="dxa"/>
          </w:tblCellMar>
        </w:tblPrEx>
        <w:trPr>
          <w:trHeight w:val="319" w:hRule="atLeast"/>
        </w:trPr>
        <w:tc>
          <w:tcPr>
            <w:tcW w:w="9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54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年度资金总额</w:t>
            </w:r>
          </w:p>
        </w:tc>
        <w:tc>
          <w:tcPr>
            <w:tcW w:w="10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138.57 </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138.57</w:t>
            </w:r>
          </w:p>
        </w:tc>
        <w:tc>
          <w:tcPr>
            <w:tcW w:w="14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138.57</w:t>
            </w:r>
          </w:p>
        </w:tc>
        <w:tc>
          <w:tcPr>
            <w:tcW w:w="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69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9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r>
      <w:tr>
        <w:tblPrEx>
          <w:tblLayout w:type="fixed"/>
          <w:tblCellMar>
            <w:top w:w="0" w:type="dxa"/>
            <w:left w:w="0" w:type="dxa"/>
            <w:bottom w:w="0" w:type="dxa"/>
            <w:right w:w="0" w:type="dxa"/>
          </w:tblCellMar>
        </w:tblPrEx>
        <w:trPr>
          <w:trHeight w:val="319" w:hRule="atLeast"/>
        </w:trPr>
        <w:tc>
          <w:tcPr>
            <w:tcW w:w="9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54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其中：当年财政拨款</w:t>
            </w:r>
          </w:p>
        </w:tc>
        <w:tc>
          <w:tcPr>
            <w:tcW w:w="10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138.57 </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138.57</w:t>
            </w:r>
          </w:p>
        </w:tc>
        <w:tc>
          <w:tcPr>
            <w:tcW w:w="14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138.57</w:t>
            </w:r>
          </w:p>
        </w:tc>
        <w:tc>
          <w:tcPr>
            <w:tcW w:w="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9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9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9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54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上年结转资金</w:t>
            </w:r>
          </w:p>
        </w:tc>
        <w:tc>
          <w:tcPr>
            <w:tcW w:w="10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4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69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9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9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54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其他资金</w:t>
            </w:r>
          </w:p>
        </w:tc>
        <w:tc>
          <w:tcPr>
            <w:tcW w:w="10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4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69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9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4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年度总体目标</w:t>
            </w:r>
          </w:p>
        </w:tc>
        <w:tc>
          <w:tcPr>
            <w:tcW w:w="518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预期目标</w:t>
            </w:r>
          </w:p>
        </w:tc>
        <w:tc>
          <w:tcPr>
            <w:tcW w:w="4786"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实际完成情况</w:t>
            </w:r>
          </w:p>
        </w:tc>
      </w:tr>
      <w:tr>
        <w:tblPrEx>
          <w:tblLayout w:type="fixed"/>
          <w:tblCellMar>
            <w:top w:w="0" w:type="dxa"/>
            <w:left w:w="0" w:type="dxa"/>
            <w:bottom w:w="0" w:type="dxa"/>
            <w:right w:w="0" w:type="dxa"/>
          </w:tblCellMar>
        </w:tblPrEx>
        <w:trPr>
          <w:trHeight w:val="1770" w:hRule="atLeast"/>
        </w:trPr>
        <w:tc>
          <w:tcPr>
            <w:tcW w:w="4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18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本项目建设内容为：建设里程27.551公里通村油路，包括路基、路面、涵洞及其公路附属设施。该项目于2012年5月开工，10月完工，已完成竣工验收工作并交付使用。该项目总投资866.12万元，已支付727.55万元，本次支付资金138.57万元。本次支付资金主要用于支付施工尾款。本次支付后施工工程款全部支付完毕。</w:t>
            </w:r>
          </w:p>
        </w:tc>
        <w:tc>
          <w:tcPr>
            <w:tcW w:w="4786"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本项目建设内容为：建设里程27.551公里通村油路，包括路基、路面、涵洞及其公路附属设施。该项目于2012年5月开工，10月完工，已完成竣工验收工作并交付使用。该项目总投资866.12万元，已支付727.55万元，本次支付资金138.57万元。本次支付资金主要用于支付施工尾款。本次支付后施工工程款全部支付完毕。</w:t>
            </w:r>
          </w:p>
        </w:tc>
      </w:tr>
      <w:tr>
        <w:tblPrEx>
          <w:tblLayout w:type="fixed"/>
          <w:tblCellMar>
            <w:top w:w="0" w:type="dxa"/>
            <w:left w:w="0" w:type="dxa"/>
            <w:bottom w:w="0" w:type="dxa"/>
            <w:right w:w="0" w:type="dxa"/>
          </w:tblCellMar>
        </w:tblPrEx>
        <w:trPr>
          <w:trHeight w:val="224" w:hRule="atLeast"/>
        </w:trPr>
        <w:tc>
          <w:tcPr>
            <w:tcW w:w="4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 xml:space="preserve">绩              效 </w:t>
            </w:r>
          </w:p>
          <w:p>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指</w:t>
            </w:r>
          </w:p>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标</w:t>
            </w:r>
          </w:p>
        </w:tc>
        <w:tc>
          <w:tcPr>
            <w:tcW w:w="5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一级指标</w:t>
            </w:r>
          </w:p>
        </w:tc>
        <w:tc>
          <w:tcPr>
            <w:tcW w:w="158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二级指标</w:t>
            </w:r>
          </w:p>
        </w:tc>
        <w:tc>
          <w:tcPr>
            <w:tcW w:w="174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三级指标</w:t>
            </w: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w:t>
            </w:r>
          </w:p>
        </w:tc>
        <w:tc>
          <w:tcPr>
            <w:tcW w:w="58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5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c>
          <w:tcPr>
            <w:tcW w:w="249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偏差原因分析及改进措施</w:t>
            </w:r>
          </w:p>
        </w:tc>
      </w:tr>
      <w:tr>
        <w:tblPrEx>
          <w:tblLayout w:type="fixed"/>
          <w:tblCellMar>
            <w:top w:w="0" w:type="dxa"/>
            <w:left w:w="0" w:type="dxa"/>
            <w:bottom w:w="0" w:type="dxa"/>
            <w:right w:w="0" w:type="dxa"/>
          </w:tblCellMar>
        </w:tblPrEx>
        <w:trPr>
          <w:trHeight w:val="130" w:hRule="atLeast"/>
        </w:trPr>
        <w:tc>
          <w:tcPr>
            <w:tcW w:w="4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5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74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指标值</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完成值</w:t>
            </w:r>
          </w:p>
        </w:tc>
        <w:tc>
          <w:tcPr>
            <w:tcW w:w="58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4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272" w:hRule="atLeast"/>
        </w:trPr>
        <w:tc>
          <w:tcPr>
            <w:tcW w:w="4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58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数量指标</w:t>
            </w:r>
          </w:p>
        </w:tc>
        <w:tc>
          <w:tcPr>
            <w:tcW w:w="174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公路建设里程数</w:t>
            </w: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27.551公里</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27.551公里</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24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232" w:hRule="atLeast"/>
        </w:trPr>
        <w:tc>
          <w:tcPr>
            <w:tcW w:w="4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5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74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公路路基宽度</w:t>
            </w: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6.5米</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6.5米</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24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200" w:hRule="atLeast"/>
        </w:trPr>
        <w:tc>
          <w:tcPr>
            <w:tcW w:w="4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5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74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公路油面宽度</w:t>
            </w: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5.0米</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5.0米</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24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227" w:hRule="atLeast"/>
        </w:trPr>
        <w:tc>
          <w:tcPr>
            <w:tcW w:w="4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5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74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涵洞个数</w:t>
            </w: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79个</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79个</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24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267" w:hRule="atLeast"/>
        </w:trPr>
        <w:tc>
          <w:tcPr>
            <w:tcW w:w="4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58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质量指标</w:t>
            </w:r>
          </w:p>
        </w:tc>
        <w:tc>
          <w:tcPr>
            <w:tcW w:w="174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项目审计完成率</w:t>
            </w: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24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267" w:hRule="atLeast"/>
        </w:trPr>
        <w:tc>
          <w:tcPr>
            <w:tcW w:w="4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5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74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工程验收合格率</w:t>
            </w: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24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267" w:hRule="atLeast"/>
        </w:trPr>
        <w:tc>
          <w:tcPr>
            <w:tcW w:w="4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5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74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公路等级</w:t>
            </w: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四级</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四级</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24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280" w:hRule="atLeast"/>
        </w:trPr>
        <w:tc>
          <w:tcPr>
            <w:tcW w:w="4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58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时效指标</w:t>
            </w:r>
          </w:p>
        </w:tc>
        <w:tc>
          <w:tcPr>
            <w:tcW w:w="174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工程及时开工率</w:t>
            </w: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24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294" w:hRule="atLeast"/>
        </w:trPr>
        <w:tc>
          <w:tcPr>
            <w:tcW w:w="4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5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74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工程及时完工率</w:t>
            </w: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24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253" w:hRule="atLeast"/>
        </w:trPr>
        <w:tc>
          <w:tcPr>
            <w:tcW w:w="4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5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74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资金及时支付率</w:t>
            </w: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24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240" w:hRule="atLeast"/>
        </w:trPr>
        <w:tc>
          <w:tcPr>
            <w:tcW w:w="4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58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成本指标</w:t>
            </w:r>
          </w:p>
        </w:tc>
        <w:tc>
          <w:tcPr>
            <w:tcW w:w="174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项目审计价</w:t>
            </w: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≦866.12万元</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866.12万元</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4 </w:t>
            </w:r>
          </w:p>
        </w:tc>
        <w:tc>
          <w:tcPr>
            <w:tcW w:w="24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307" w:hRule="atLeast"/>
        </w:trPr>
        <w:tc>
          <w:tcPr>
            <w:tcW w:w="4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5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74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已支付金额</w:t>
            </w: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≦727.55万元</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727.55万元</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3</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3</w:t>
            </w:r>
          </w:p>
        </w:tc>
        <w:tc>
          <w:tcPr>
            <w:tcW w:w="24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254" w:hRule="atLeast"/>
        </w:trPr>
        <w:tc>
          <w:tcPr>
            <w:tcW w:w="4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5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74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本年计划支付金额</w:t>
            </w: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≦138.57万元</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138.57万元</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3</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3</w:t>
            </w:r>
          </w:p>
        </w:tc>
        <w:tc>
          <w:tcPr>
            <w:tcW w:w="24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274" w:hRule="atLeast"/>
        </w:trPr>
        <w:tc>
          <w:tcPr>
            <w:tcW w:w="4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效益指标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经济效益指标</w:t>
            </w:r>
          </w:p>
        </w:tc>
        <w:tc>
          <w:tcPr>
            <w:tcW w:w="174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24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605" w:hRule="atLeast"/>
        </w:trPr>
        <w:tc>
          <w:tcPr>
            <w:tcW w:w="4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社会效益指标</w:t>
            </w:r>
          </w:p>
        </w:tc>
        <w:tc>
          <w:tcPr>
            <w:tcW w:w="174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18"/>
                <w:szCs w:val="18"/>
                <w:highlight w:val="none"/>
                <w:u w:val="none"/>
                <w:lang w:val="en-US" w:eastAsia="zh-CN" w:bidi="ar"/>
              </w:rPr>
              <w:t>有效提高农村公路的通畅水平，为农户出行提供便利</w:t>
            </w: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15</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15</w:t>
            </w:r>
          </w:p>
        </w:tc>
        <w:tc>
          <w:tcPr>
            <w:tcW w:w="24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261" w:hRule="atLeast"/>
        </w:trPr>
        <w:tc>
          <w:tcPr>
            <w:tcW w:w="4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生态效益指标</w:t>
            </w:r>
          </w:p>
        </w:tc>
        <w:tc>
          <w:tcPr>
            <w:tcW w:w="174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24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90" w:hRule="atLeast"/>
        </w:trPr>
        <w:tc>
          <w:tcPr>
            <w:tcW w:w="4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18"/>
                <w:szCs w:val="18"/>
                <w:highlight w:val="none"/>
                <w:u w:val="none"/>
                <w:lang w:val="en-US" w:eastAsia="zh-CN" w:bidi="ar"/>
              </w:rPr>
              <w:t>可持续影响指标</w:t>
            </w:r>
          </w:p>
        </w:tc>
        <w:tc>
          <w:tcPr>
            <w:tcW w:w="174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16"/>
                <w:szCs w:val="16"/>
                <w:highlight w:val="none"/>
                <w:u w:val="none"/>
                <w:lang w:val="en-US" w:eastAsia="zh-CN" w:bidi="ar"/>
              </w:rPr>
              <w:t>农村公路设计使用年限</w:t>
            </w: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6年</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6年</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15</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15</w:t>
            </w:r>
          </w:p>
        </w:tc>
        <w:tc>
          <w:tcPr>
            <w:tcW w:w="24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335" w:hRule="atLeast"/>
        </w:trPr>
        <w:tc>
          <w:tcPr>
            <w:tcW w:w="4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18"/>
                <w:szCs w:val="18"/>
                <w:highlight w:val="none"/>
                <w:u w:val="none"/>
                <w:lang w:val="en-US" w:eastAsia="zh-CN" w:bidi="ar"/>
              </w:rPr>
              <w:t>满意</w:t>
            </w:r>
            <w:r>
              <w:rPr>
                <w:rFonts w:hint="eastAsia" w:ascii="宋体" w:hAnsi="宋体" w:eastAsia="宋体" w:cs="宋体"/>
                <w:i w:val="0"/>
                <w:color w:val="000000"/>
                <w:kern w:val="0"/>
                <w:sz w:val="16"/>
                <w:szCs w:val="16"/>
                <w:highlight w:val="none"/>
                <w:u w:val="none"/>
                <w:lang w:val="en-US" w:eastAsia="zh-CN" w:bidi="ar"/>
              </w:rPr>
              <w:t>度指标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18"/>
                <w:szCs w:val="18"/>
                <w:highlight w:val="none"/>
                <w:u w:val="none"/>
                <w:lang w:val="en-US" w:eastAsia="zh-CN" w:bidi="ar"/>
              </w:rPr>
              <w:t>满意度指标</w:t>
            </w:r>
          </w:p>
        </w:tc>
        <w:tc>
          <w:tcPr>
            <w:tcW w:w="174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受益群体满意度（%）</w:t>
            </w: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≥90%</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90%</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24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317" w:hRule="atLeast"/>
        </w:trPr>
        <w:tc>
          <w:tcPr>
            <w:tcW w:w="6827"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总分</w:t>
            </w:r>
          </w:p>
        </w:tc>
        <w:tc>
          <w:tcPr>
            <w:tcW w:w="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24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bl>
    <w:p>
      <w:pPr>
        <w:keepNext w:val="0"/>
        <w:keepLines w:val="0"/>
        <w:pageBreakBefore w:val="0"/>
        <w:numPr>
          <w:ilvl w:val="0"/>
          <w:numId w:val="0"/>
        </w:numPr>
        <w:kinsoku/>
        <w:wordWrap/>
        <w:overflowPunct/>
        <w:topLinePunct w:val="0"/>
        <w:autoSpaceDE/>
        <w:autoSpaceDN/>
        <w:bidi w:val="0"/>
        <w:adjustRightInd/>
        <w:snapToGrid/>
        <w:spacing w:line="360" w:lineRule="exact"/>
        <w:ind w:firstLine="640" w:firstLineChars="200"/>
        <w:outlineLvl w:val="9"/>
        <w:rPr>
          <w:rFonts w:hint="eastAsia" w:ascii="仿宋_GB2312" w:eastAsia="仿宋_GB2312"/>
          <w:sz w:val="32"/>
          <w:szCs w:val="32"/>
          <w:highlight w:val="none"/>
        </w:rPr>
      </w:pP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吉木萨尔县2014年（第三批）、2015年农村公路危桥改造工程（第二批）</w:t>
      </w:r>
      <w:r>
        <w:rPr>
          <w:rFonts w:hint="eastAsia" w:ascii="仿宋_GB2312" w:eastAsia="仿宋_GB2312"/>
          <w:sz w:val="32"/>
          <w:szCs w:val="32"/>
          <w:highlight w:val="none"/>
          <w:lang w:eastAsia="zh-CN"/>
        </w:rPr>
        <w:t>项目</w:t>
      </w:r>
    </w:p>
    <w:tbl>
      <w:tblPr>
        <w:tblStyle w:val="13"/>
        <w:tblW w:w="10067" w:type="dxa"/>
        <w:tblInd w:w="-866" w:type="dxa"/>
        <w:shd w:val="clear" w:color="auto" w:fill="auto"/>
        <w:tblLayout w:type="fixed"/>
        <w:tblCellMar>
          <w:top w:w="0" w:type="dxa"/>
          <w:left w:w="0" w:type="dxa"/>
          <w:bottom w:w="0" w:type="dxa"/>
          <w:right w:w="0" w:type="dxa"/>
        </w:tblCellMar>
      </w:tblPr>
      <w:tblGrid>
        <w:gridCol w:w="680"/>
        <w:gridCol w:w="534"/>
        <w:gridCol w:w="66"/>
        <w:gridCol w:w="1120"/>
        <w:gridCol w:w="814"/>
        <w:gridCol w:w="1280"/>
        <w:gridCol w:w="466"/>
        <w:gridCol w:w="720"/>
        <w:gridCol w:w="846"/>
        <w:gridCol w:w="270"/>
        <w:gridCol w:w="405"/>
        <w:gridCol w:w="497"/>
        <w:gridCol w:w="115"/>
        <w:gridCol w:w="679"/>
        <w:gridCol w:w="1575"/>
      </w:tblGrid>
      <w:tr>
        <w:tblPrEx>
          <w:shd w:val="clear" w:color="auto" w:fill="auto"/>
          <w:tblLayout w:type="fixed"/>
          <w:tblCellMar>
            <w:top w:w="0" w:type="dxa"/>
            <w:left w:w="0" w:type="dxa"/>
            <w:bottom w:w="0" w:type="dxa"/>
            <w:right w:w="0" w:type="dxa"/>
          </w:tblCellMar>
        </w:tblPrEx>
        <w:trPr>
          <w:trHeight w:val="405" w:hRule="atLeast"/>
        </w:trPr>
        <w:tc>
          <w:tcPr>
            <w:tcW w:w="10067" w:type="dxa"/>
            <w:gridSpan w:val="15"/>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宋体" w:hAnsi="宋体" w:eastAsia="宋体" w:cs="宋体"/>
                <w:b/>
                <w:i w:val="0"/>
                <w:color w:val="000000"/>
                <w:sz w:val="32"/>
                <w:szCs w:val="32"/>
                <w:highlight w:val="none"/>
                <w:u w:val="none"/>
              </w:rPr>
            </w:pPr>
            <w:r>
              <w:rPr>
                <w:rFonts w:hint="eastAsia" w:ascii="宋体" w:hAnsi="宋体" w:eastAsia="宋体" w:cs="宋体"/>
                <w:b/>
                <w:i w:val="0"/>
                <w:color w:val="000000"/>
                <w:kern w:val="0"/>
                <w:sz w:val="32"/>
                <w:szCs w:val="32"/>
                <w:highlight w:val="none"/>
                <w:u w:val="none"/>
                <w:lang w:val="en-US" w:eastAsia="zh-CN" w:bidi="ar"/>
              </w:rPr>
              <w:t>项目支出绩效自评表</w:t>
            </w:r>
          </w:p>
        </w:tc>
      </w:tr>
      <w:tr>
        <w:tblPrEx>
          <w:tblLayout w:type="fixed"/>
          <w:tblCellMar>
            <w:top w:w="0" w:type="dxa"/>
            <w:left w:w="0" w:type="dxa"/>
            <w:bottom w:w="0" w:type="dxa"/>
            <w:right w:w="0" w:type="dxa"/>
          </w:tblCellMar>
        </w:tblPrEx>
        <w:trPr>
          <w:trHeight w:val="405" w:hRule="atLeast"/>
        </w:trPr>
        <w:tc>
          <w:tcPr>
            <w:tcW w:w="10067" w:type="dxa"/>
            <w:gridSpan w:val="15"/>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（2019年度）</w:t>
            </w:r>
          </w:p>
        </w:tc>
      </w:tr>
      <w:tr>
        <w:tblPrEx>
          <w:tblLayout w:type="fixed"/>
          <w:tblCellMar>
            <w:top w:w="0" w:type="dxa"/>
            <w:left w:w="0" w:type="dxa"/>
            <w:bottom w:w="0" w:type="dxa"/>
            <w:right w:w="0" w:type="dxa"/>
          </w:tblCellMar>
        </w:tblPrEx>
        <w:trPr>
          <w:trHeight w:val="319" w:hRule="atLeast"/>
        </w:trPr>
        <w:tc>
          <w:tcPr>
            <w:tcW w:w="12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项目名称</w:t>
            </w:r>
          </w:p>
        </w:tc>
        <w:tc>
          <w:tcPr>
            <w:tcW w:w="878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吉木萨尔县2014年（第三批）、2015年农村公路危桥改造工程（第二批）</w:t>
            </w:r>
          </w:p>
        </w:tc>
      </w:tr>
      <w:tr>
        <w:tblPrEx>
          <w:tblLayout w:type="fixed"/>
          <w:tblCellMar>
            <w:top w:w="0" w:type="dxa"/>
            <w:left w:w="0" w:type="dxa"/>
            <w:bottom w:w="0" w:type="dxa"/>
            <w:right w:w="0" w:type="dxa"/>
          </w:tblCellMar>
        </w:tblPrEx>
        <w:trPr>
          <w:trHeight w:val="319" w:hRule="atLeast"/>
        </w:trPr>
        <w:tc>
          <w:tcPr>
            <w:tcW w:w="12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主管部门</w:t>
            </w:r>
          </w:p>
        </w:tc>
        <w:tc>
          <w:tcPr>
            <w:tcW w:w="440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吉木萨尔县交通运输局</w:t>
            </w:r>
          </w:p>
        </w:tc>
        <w:tc>
          <w:tcPr>
            <w:tcW w:w="11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实施单位</w:t>
            </w:r>
          </w:p>
        </w:tc>
        <w:tc>
          <w:tcPr>
            <w:tcW w:w="327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吉木萨尔县交通运输局</w:t>
            </w:r>
          </w:p>
        </w:tc>
      </w:tr>
      <w:tr>
        <w:tblPrEx>
          <w:tblLayout w:type="fixed"/>
          <w:tblCellMar>
            <w:top w:w="0" w:type="dxa"/>
            <w:left w:w="0" w:type="dxa"/>
            <w:bottom w:w="0" w:type="dxa"/>
            <w:right w:w="0" w:type="dxa"/>
          </w:tblCellMar>
        </w:tblPrEx>
        <w:trPr>
          <w:trHeight w:val="319" w:hRule="atLeast"/>
        </w:trPr>
        <w:tc>
          <w:tcPr>
            <w:tcW w:w="12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项目资金       （万元）</w:t>
            </w:r>
          </w:p>
        </w:tc>
        <w:tc>
          <w:tcPr>
            <w:tcW w:w="19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年初预算数</w:t>
            </w:r>
          </w:p>
        </w:tc>
        <w:tc>
          <w:tcPr>
            <w:tcW w:w="11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全年预算数</w:t>
            </w:r>
          </w:p>
        </w:tc>
        <w:tc>
          <w:tcPr>
            <w:tcW w:w="11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全年执行数</w:t>
            </w:r>
          </w:p>
        </w:tc>
        <w:tc>
          <w:tcPr>
            <w:tcW w:w="9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79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执行率</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r>
      <w:tr>
        <w:tblPrEx>
          <w:tblLayout w:type="fixed"/>
          <w:tblCellMar>
            <w:top w:w="0" w:type="dxa"/>
            <w:left w:w="0" w:type="dxa"/>
            <w:bottom w:w="0" w:type="dxa"/>
            <w:right w:w="0" w:type="dxa"/>
          </w:tblCellMar>
        </w:tblPrEx>
        <w:trPr>
          <w:trHeight w:val="319" w:hRule="atLeast"/>
        </w:trPr>
        <w:tc>
          <w:tcPr>
            <w:tcW w:w="12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9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年度资金总额</w:t>
            </w: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4.2</w:t>
            </w:r>
          </w:p>
        </w:tc>
        <w:tc>
          <w:tcPr>
            <w:tcW w:w="11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4.2</w:t>
            </w:r>
          </w:p>
        </w:tc>
        <w:tc>
          <w:tcPr>
            <w:tcW w:w="11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4.2</w:t>
            </w:r>
          </w:p>
        </w:tc>
        <w:tc>
          <w:tcPr>
            <w:tcW w:w="9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79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r>
      <w:tr>
        <w:tblPrEx>
          <w:tblLayout w:type="fixed"/>
          <w:tblCellMar>
            <w:top w:w="0" w:type="dxa"/>
            <w:left w:w="0" w:type="dxa"/>
            <w:bottom w:w="0" w:type="dxa"/>
            <w:right w:w="0" w:type="dxa"/>
          </w:tblCellMar>
        </w:tblPrEx>
        <w:trPr>
          <w:trHeight w:val="319" w:hRule="atLeast"/>
        </w:trPr>
        <w:tc>
          <w:tcPr>
            <w:tcW w:w="12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9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其中：当年财政拨款</w:t>
            </w: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4.2</w:t>
            </w:r>
          </w:p>
        </w:tc>
        <w:tc>
          <w:tcPr>
            <w:tcW w:w="11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4.2</w:t>
            </w:r>
          </w:p>
        </w:tc>
        <w:tc>
          <w:tcPr>
            <w:tcW w:w="11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4.2</w:t>
            </w:r>
          </w:p>
        </w:tc>
        <w:tc>
          <w:tcPr>
            <w:tcW w:w="9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79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319" w:hRule="atLeast"/>
        </w:trPr>
        <w:tc>
          <w:tcPr>
            <w:tcW w:w="12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9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上年结转资金</w:t>
            </w: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1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1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9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79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12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9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其他资金</w:t>
            </w: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1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1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9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79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6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年度总体目标</w:t>
            </w:r>
          </w:p>
        </w:tc>
        <w:tc>
          <w:tcPr>
            <w:tcW w:w="500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预期目标</w:t>
            </w:r>
          </w:p>
        </w:tc>
        <w:tc>
          <w:tcPr>
            <w:tcW w:w="438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实际完成情况</w:t>
            </w:r>
          </w:p>
        </w:tc>
      </w:tr>
      <w:tr>
        <w:tblPrEx>
          <w:tblLayout w:type="fixed"/>
          <w:tblCellMar>
            <w:top w:w="0" w:type="dxa"/>
            <w:left w:w="0" w:type="dxa"/>
            <w:bottom w:w="0" w:type="dxa"/>
            <w:right w:w="0" w:type="dxa"/>
          </w:tblCellMar>
        </w:tblPrEx>
        <w:trPr>
          <w:trHeight w:val="929" w:hRule="atLeast"/>
        </w:trPr>
        <w:tc>
          <w:tcPr>
            <w:tcW w:w="6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00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outlineLvl w:val="9"/>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修建吉木萨尔县吾塘沟1-8m小桥，夹河子1-8m小桥，花儿沟1-8m小桥，新地沟1-13m小桥，七家地1-6m小桥，山东地村1-8m小桥，韭菜园子2-10m小桥，夹河子村160m过水路面。</w:t>
            </w:r>
          </w:p>
        </w:tc>
        <w:tc>
          <w:tcPr>
            <w:tcW w:w="438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outlineLvl w:val="9"/>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修建吉木萨尔县吾塘沟1-8m小桥，夹河子1-8m小桥，花儿沟1-8m小桥，新地沟1-13m小桥，七家地1-6m小桥，山东地村1-8m小桥，韭菜园子2-10m小桥，夹河子村160m过水路面。</w:t>
            </w:r>
          </w:p>
        </w:tc>
      </w:tr>
      <w:tr>
        <w:tblPrEx>
          <w:tblLayout w:type="fixed"/>
          <w:tblCellMar>
            <w:top w:w="0" w:type="dxa"/>
            <w:left w:w="0" w:type="dxa"/>
            <w:bottom w:w="0" w:type="dxa"/>
            <w:right w:w="0" w:type="dxa"/>
          </w:tblCellMar>
        </w:tblPrEx>
        <w:trPr>
          <w:trHeight w:val="200" w:hRule="atLeast"/>
        </w:trPr>
        <w:tc>
          <w:tcPr>
            <w:tcW w:w="68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绩              效    指    标</w:t>
            </w:r>
          </w:p>
        </w:tc>
        <w:tc>
          <w:tcPr>
            <w:tcW w:w="5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一级指标</w:t>
            </w:r>
          </w:p>
        </w:tc>
        <w:tc>
          <w:tcPr>
            <w:tcW w:w="118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二级指标</w:t>
            </w:r>
          </w:p>
        </w:tc>
        <w:tc>
          <w:tcPr>
            <w:tcW w:w="256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三级指标</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w:t>
            </w:r>
          </w:p>
        </w:tc>
        <w:tc>
          <w:tcPr>
            <w:tcW w:w="67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6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c>
          <w:tcPr>
            <w:tcW w:w="225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偏差原因分析及改进措施</w:t>
            </w:r>
          </w:p>
        </w:tc>
      </w:tr>
      <w:tr>
        <w:tblPrEx>
          <w:tblLayout w:type="fixed"/>
          <w:tblCellMar>
            <w:top w:w="0" w:type="dxa"/>
            <w:left w:w="0" w:type="dxa"/>
            <w:bottom w:w="0" w:type="dxa"/>
            <w:right w:w="0" w:type="dxa"/>
          </w:tblCellMar>
        </w:tblPrEx>
        <w:trPr>
          <w:trHeight w:val="227"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8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56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指标值</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完成值</w:t>
            </w:r>
          </w:p>
        </w:tc>
        <w:tc>
          <w:tcPr>
            <w:tcW w:w="6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2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295"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产出指标</w:t>
            </w:r>
          </w:p>
        </w:tc>
        <w:tc>
          <w:tcPr>
            <w:tcW w:w="118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数量指标</w:t>
            </w:r>
          </w:p>
        </w:tc>
        <w:tc>
          <w:tcPr>
            <w:tcW w:w="2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桥梁建设工程量（延米）</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71</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71</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22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268"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8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过水路面工程量（米）</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160</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160</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22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269"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8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质量指标</w:t>
            </w:r>
          </w:p>
        </w:tc>
        <w:tc>
          <w:tcPr>
            <w:tcW w:w="2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建设工程质量合格率（%）</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22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268"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8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工程验收合格率（%）</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22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281"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8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时效指标</w:t>
            </w:r>
          </w:p>
        </w:tc>
        <w:tc>
          <w:tcPr>
            <w:tcW w:w="2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工程及时开工率（%）</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22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284"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8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工程及时完工率（%）</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22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203"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8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成本指标</w:t>
            </w:r>
          </w:p>
        </w:tc>
        <w:tc>
          <w:tcPr>
            <w:tcW w:w="2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工程量完成率（%）</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22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257"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8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工程按时完成率（%）</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22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270"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8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工程合同期限内完工率（%）</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22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720"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效益指标</w:t>
            </w:r>
          </w:p>
        </w:tc>
        <w:tc>
          <w:tcPr>
            <w:tcW w:w="1186"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经济效益指标</w:t>
            </w:r>
          </w:p>
        </w:tc>
        <w:tc>
          <w:tcPr>
            <w:tcW w:w="2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农村公路对经济发展的促进作用</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是</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是</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22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720"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86"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社会效益指标</w:t>
            </w:r>
          </w:p>
        </w:tc>
        <w:tc>
          <w:tcPr>
            <w:tcW w:w="2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建成通车后基本公共服务水平提升率</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22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720"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86"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生态效益指标</w:t>
            </w:r>
          </w:p>
        </w:tc>
        <w:tc>
          <w:tcPr>
            <w:tcW w:w="2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农村公路建设符合环境审批要求</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符合</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符合</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22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720"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可持续影响指标</w:t>
            </w:r>
          </w:p>
        </w:tc>
        <w:tc>
          <w:tcPr>
            <w:tcW w:w="2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使得水毁修复后的桥涵达到设计使用寿命（%）</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22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720"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3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满意度指标</w:t>
            </w:r>
          </w:p>
        </w:tc>
        <w:tc>
          <w:tcPr>
            <w:tcW w:w="11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服务对象满意度指标</w:t>
            </w:r>
          </w:p>
        </w:tc>
        <w:tc>
          <w:tcPr>
            <w:tcW w:w="25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受益群体满意度（%）</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≥90%</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90%</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22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319" w:hRule="atLeast"/>
        </w:trPr>
        <w:tc>
          <w:tcPr>
            <w:tcW w:w="6526"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总分</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22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bl>
    <w:p>
      <w:pPr>
        <w:numPr>
          <w:ilvl w:val="0"/>
          <w:numId w:val="0"/>
        </w:numPr>
        <w:spacing w:line="540" w:lineRule="exact"/>
        <w:rPr>
          <w:rFonts w:hint="eastAsia" w:ascii="仿宋_GB2312" w:eastAsia="仿宋_GB2312"/>
          <w:sz w:val="32"/>
          <w:szCs w:val="32"/>
          <w:highlight w:val="none"/>
        </w:rPr>
      </w:pPr>
    </w:p>
    <w:p>
      <w:pPr>
        <w:spacing w:line="54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val="en-US" w:eastAsia="zh-CN"/>
        </w:rPr>
        <w:t>6.2018年至2019年上半年公交车运营补贴资金项目</w:t>
      </w:r>
    </w:p>
    <w:tbl>
      <w:tblPr>
        <w:tblStyle w:val="13"/>
        <w:tblW w:w="10013" w:type="dxa"/>
        <w:tblInd w:w="-879" w:type="dxa"/>
        <w:shd w:val="clear" w:color="auto" w:fill="auto"/>
        <w:tblLayout w:type="fixed"/>
        <w:tblCellMar>
          <w:top w:w="0" w:type="dxa"/>
          <w:left w:w="0" w:type="dxa"/>
          <w:bottom w:w="0" w:type="dxa"/>
          <w:right w:w="0" w:type="dxa"/>
        </w:tblCellMar>
      </w:tblPr>
      <w:tblGrid>
        <w:gridCol w:w="400"/>
        <w:gridCol w:w="560"/>
        <w:gridCol w:w="120"/>
        <w:gridCol w:w="1160"/>
        <w:gridCol w:w="1133"/>
        <w:gridCol w:w="1147"/>
        <w:gridCol w:w="600"/>
        <w:gridCol w:w="653"/>
        <w:gridCol w:w="1067"/>
        <w:gridCol w:w="190"/>
        <w:gridCol w:w="382"/>
        <w:gridCol w:w="462"/>
        <w:gridCol w:w="110"/>
        <w:gridCol w:w="634"/>
        <w:gridCol w:w="1395"/>
      </w:tblGrid>
      <w:tr>
        <w:tblPrEx>
          <w:shd w:val="clear" w:color="auto" w:fill="auto"/>
          <w:tblLayout w:type="fixed"/>
          <w:tblCellMar>
            <w:top w:w="0" w:type="dxa"/>
            <w:left w:w="0" w:type="dxa"/>
            <w:bottom w:w="0" w:type="dxa"/>
            <w:right w:w="0" w:type="dxa"/>
          </w:tblCellMar>
        </w:tblPrEx>
        <w:trPr>
          <w:trHeight w:val="405" w:hRule="atLeast"/>
        </w:trPr>
        <w:tc>
          <w:tcPr>
            <w:tcW w:w="10013" w:type="dxa"/>
            <w:gridSpan w:val="15"/>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highlight w:val="none"/>
                <w:u w:val="none"/>
              </w:rPr>
            </w:pPr>
            <w:r>
              <w:rPr>
                <w:rFonts w:hint="eastAsia" w:ascii="宋体" w:hAnsi="宋体" w:eastAsia="宋体" w:cs="宋体"/>
                <w:b/>
                <w:i w:val="0"/>
                <w:color w:val="000000"/>
                <w:kern w:val="0"/>
                <w:sz w:val="32"/>
                <w:szCs w:val="32"/>
                <w:highlight w:val="none"/>
                <w:u w:val="none"/>
                <w:lang w:val="en-US" w:eastAsia="zh-CN" w:bidi="ar"/>
              </w:rPr>
              <w:t>项目支出绩效自评表</w:t>
            </w:r>
          </w:p>
        </w:tc>
      </w:tr>
      <w:tr>
        <w:tblPrEx>
          <w:tblLayout w:type="fixed"/>
          <w:tblCellMar>
            <w:top w:w="0" w:type="dxa"/>
            <w:left w:w="0" w:type="dxa"/>
            <w:bottom w:w="0" w:type="dxa"/>
            <w:right w:w="0" w:type="dxa"/>
          </w:tblCellMar>
        </w:tblPrEx>
        <w:trPr>
          <w:trHeight w:val="405" w:hRule="atLeast"/>
        </w:trPr>
        <w:tc>
          <w:tcPr>
            <w:tcW w:w="10013" w:type="dxa"/>
            <w:gridSpan w:val="15"/>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（2019年度）</w:t>
            </w:r>
          </w:p>
        </w:tc>
      </w:tr>
      <w:tr>
        <w:tblPrEx>
          <w:tblLayout w:type="fixed"/>
          <w:tblCellMar>
            <w:top w:w="0" w:type="dxa"/>
            <w:left w:w="0" w:type="dxa"/>
            <w:bottom w:w="0" w:type="dxa"/>
            <w:right w:w="0" w:type="dxa"/>
          </w:tblCellMar>
        </w:tblPrEx>
        <w:trPr>
          <w:trHeight w:val="319"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项目名称</w:t>
            </w:r>
          </w:p>
        </w:tc>
        <w:tc>
          <w:tcPr>
            <w:tcW w:w="8933"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2018年至2019年上半年公交车运营补贴资金</w:t>
            </w:r>
          </w:p>
        </w:tc>
      </w:tr>
      <w:tr>
        <w:tblPrEx>
          <w:tblLayout w:type="fixed"/>
          <w:tblCellMar>
            <w:top w:w="0" w:type="dxa"/>
            <w:left w:w="0" w:type="dxa"/>
            <w:bottom w:w="0" w:type="dxa"/>
            <w:right w:w="0" w:type="dxa"/>
          </w:tblCellMar>
        </w:tblPrEx>
        <w:trPr>
          <w:trHeight w:val="319" w:hRule="atLeast"/>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主管部门</w:t>
            </w:r>
          </w:p>
        </w:tc>
        <w:tc>
          <w:tcPr>
            <w:tcW w:w="469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昌吉州交通运输局</w:t>
            </w:r>
          </w:p>
        </w:tc>
        <w:tc>
          <w:tcPr>
            <w:tcW w:w="125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实施单位</w:t>
            </w:r>
          </w:p>
        </w:tc>
        <w:tc>
          <w:tcPr>
            <w:tcW w:w="298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吉木萨尔县交通运输局</w:t>
            </w:r>
          </w:p>
        </w:tc>
      </w:tr>
      <w:tr>
        <w:tblPrEx>
          <w:tblLayout w:type="fixed"/>
          <w:tblCellMar>
            <w:top w:w="0" w:type="dxa"/>
            <w:left w:w="0" w:type="dxa"/>
            <w:bottom w:w="0" w:type="dxa"/>
            <w:right w:w="0" w:type="dxa"/>
          </w:tblCellMar>
        </w:tblPrEx>
        <w:trPr>
          <w:trHeight w:val="319" w:hRule="atLeast"/>
        </w:trPr>
        <w:tc>
          <w:tcPr>
            <w:tcW w:w="10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项目资金       （万元）</w:t>
            </w: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年初预算数</w:t>
            </w:r>
          </w:p>
        </w:tc>
        <w:tc>
          <w:tcPr>
            <w:tcW w:w="12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全年预算数</w:t>
            </w:r>
          </w:p>
        </w:tc>
        <w:tc>
          <w:tcPr>
            <w:tcW w:w="125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全年执行数</w:t>
            </w:r>
          </w:p>
        </w:tc>
        <w:tc>
          <w:tcPr>
            <w:tcW w:w="8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7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执行率</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r>
      <w:tr>
        <w:tblPrEx>
          <w:tblLayout w:type="fixed"/>
          <w:tblCellMar>
            <w:top w:w="0" w:type="dxa"/>
            <w:left w:w="0" w:type="dxa"/>
            <w:bottom w:w="0" w:type="dxa"/>
            <w:right w:w="0" w:type="dxa"/>
          </w:tblCellMar>
        </w:tblPrEx>
        <w:trPr>
          <w:trHeight w:val="319" w:hRule="atLeast"/>
        </w:trPr>
        <w:tc>
          <w:tcPr>
            <w:tcW w:w="10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年度资金总额</w:t>
            </w:r>
          </w:p>
        </w:tc>
        <w:tc>
          <w:tcPr>
            <w:tcW w:w="11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159.00 </w:t>
            </w:r>
          </w:p>
        </w:tc>
        <w:tc>
          <w:tcPr>
            <w:tcW w:w="12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159.00 </w:t>
            </w:r>
          </w:p>
        </w:tc>
        <w:tc>
          <w:tcPr>
            <w:tcW w:w="125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159.00 </w:t>
            </w:r>
          </w:p>
        </w:tc>
        <w:tc>
          <w:tcPr>
            <w:tcW w:w="8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7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r>
      <w:tr>
        <w:tblPrEx>
          <w:tblLayout w:type="fixed"/>
          <w:tblCellMar>
            <w:top w:w="0" w:type="dxa"/>
            <w:left w:w="0" w:type="dxa"/>
            <w:bottom w:w="0" w:type="dxa"/>
            <w:right w:w="0" w:type="dxa"/>
          </w:tblCellMar>
        </w:tblPrEx>
        <w:trPr>
          <w:trHeight w:val="319" w:hRule="atLeast"/>
        </w:trPr>
        <w:tc>
          <w:tcPr>
            <w:tcW w:w="10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其中：当年财政拨款</w:t>
            </w:r>
          </w:p>
        </w:tc>
        <w:tc>
          <w:tcPr>
            <w:tcW w:w="11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159.00 </w:t>
            </w:r>
          </w:p>
        </w:tc>
        <w:tc>
          <w:tcPr>
            <w:tcW w:w="12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159.00 </w:t>
            </w:r>
          </w:p>
        </w:tc>
        <w:tc>
          <w:tcPr>
            <w:tcW w:w="125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159.00 </w:t>
            </w:r>
          </w:p>
        </w:tc>
        <w:tc>
          <w:tcPr>
            <w:tcW w:w="8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10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上年结转资金</w:t>
            </w:r>
          </w:p>
        </w:tc>
        <w:tc>
          <w:tcPr>
            <w:tcW w:w="11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2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25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8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7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10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其他资金</w:t>
            </w:r>
          </w:p>
        </w:tc>
        <w:tc>
          <w:tcPr>
            <w:tcW w:w="11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2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25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8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7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4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年度总体目标</w:t>
            </w:r>
          </w:p>
        </w:tc>
        <w:tc>
          <w:tcPr>
            <w:tcW w:w="5373"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预期目标</w:t>
            </w:r>
          </w:p>
        </w:tc>
        <w:tc>
          <w:tcPr>
            <w:tcW w:w="424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实际完成情况</w:t>
            </w:r>
          </w:p>
        </w:tc>
      </w:tr>
      <w:tr>
        <w:tblPrEx>
          <w:tblLayout w:type="fixed"/>
          <w:tblCellMar>
            <w:top w:w="0" w:type="dxa"/>
            <w:left w:w="0" w:type="dxa"/>
            <w:bottom w:w="0" w:type="dxa"/>
            <w:right w:w="0" w:type="dxa"/>
          </w:tblCellMar>
        </w:tblPrEx>
        <w:trPr>
          <w:trHeight w:val="1185" w:hRule="atLeast"/>
        </w:trPr>
        <w:tc>
          <w:tcPr>
            <w:tcW w:w="4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373"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根据县政府和吉木萨尔县运安公共交通运输有限责任公司签订《吉木萨尔县城市公交运营合作协议吉木萨尔县城市公交运营合作协议》，为确保公交公司正常投入使用，2018年至2019年上半年公交车运营补贴资金159万元；按照协议要求在规定时间内发放到位。</w:t>
            </w:r>
          </w:p>
        </w:tc>
        <w:tc>
          <w:tcPr>
            <w:tcW w:w="424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向吉木萨尔县运安公共交通运输有限责任公司发放2018年至2019年上半年公交车运营补贴资金159.00万元已全部到位。</w:t>
            </w:r>
          </w:p>
        </w:tc>
      </w:tr>
      <w:tr>
        <w:tblPrEx>
          <w:tblLayout w:type="fixed"/>
          <w:tblCellMar>
            <w:top w:w="0" w:type="dxa"/>
            <w:left w:w="0" w:type="dxa"/>
            <w:bottom w:w="0" w:type="dxa"/>
            <w:right w:w="0" w:type="dxa"/>
          </w:tblCellMar>
        </w:tblPrEx>
        <w:trPr>
          <w:trHeight w:val="319" w:hRule="atLeast"/>
        </w:trPr>
        <w:tc>
          <w:tcPr>
            <w:tcW w:w="40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绩              效    指    标</w:t>
            </w:r>
          </w:p>
        </w:tc>
        <w:tc>
          <w:tcPr>
            <w:tcW w:w="5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一级指标</w:t>
            </w:r>
          </w:p>
        </w:tc>
        <w:tc>
          <w:tcPr>
            <w:tcW w:w="12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二级指标</w:t>
            </w:r>
          </w:p>
        </w:tc>
        <w:tc>
          <w:tcPr>
            <w:tcW w:w="28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三级指标</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w:t>
            </w:r>
          </w:p>
        </w:tc>
        <w:tc>
          <w:tcPr>
            <w:tcW w:w="10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w:t>
            </w:r>
          </w:p>
        </w:tc>
        <w:tc>
          <w:tcPr>
            <w:tcW w:w="57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57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c>
          <w:tcPr>
            <w:tcW w:w="202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偏差原因分析及改进措施</w:t>
            </w:r>
          </w:p>
        </w:tc>
      </w:tr>
      <w:tr>
        <w:tblPrEx>
          <w:tblLayout w:type="fixed"/>
          <w:tblCellMar>
            <w:top w:w="0" w:type="dxa"/>
            <w:left w:w="0" w:type="dxa"/>
            <w:bottom w:w="0" w:type="dxa"/>
            <w:right w:w="0" w:type="dxa"/>
          </w:tblCellMar>
        </w:tblPrEx>
        <w:trPr>
          <w:trHeight w:val="319" w:hRule="atLeast"/>
        </w:trPr>
        <w:tc>
          <w:tcPr>
            <w:tcW w:w="40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2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8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指标值</w:t>
            </w:r>
          </w:p>
        </w:tc>
        <w:tc>
          <w:tcPr>
            <w:tcW w:w="10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完成值</w:t>
            </w:r>
          </w:p>
        </w:tc>
        <w:tc>
          <w:tcPr>
            <w:tcW w:w="5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02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207" w:hRule="atLeast"/>
        </w:trPr>
        <w:tc>
          <w:tcPr>
            <w:tcW w:w="40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产出指标</w:t>
            </w:r>
          </w:p>
        </w:tc>
        <w:tc>
          <w:tcPr>
            <w:tcW w:w="1280" w:type="dxa"/>
            <w:gridSpan w:val="2"/>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数量指标</w:t>
            </w:r>
          </w:p>
        </w:tc>
        <w:tc>
          <w:tcPr>
            <w:tcW w:w="28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公共交通线路培育补贴对象个数</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1家</w:t>
            </w:r>
          </w:p>
        </w:tc>
        <w:tc>
          <w:tcPr>
            <w:tcW w:w="10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1家</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20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260" w:hRule="atLeast"/>
        </w:trPr>
        <w:tc>
          <w:tcPr>
            <w:tcW w:w="40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280"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8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公交公司车辆数量个数</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54辆</w:t>
            </w:r>
          </w:p>
        </w:tc>
        <w:tc>
          <w:tcPr>
            <w:tcW w:w="10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54辆</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20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220" w:hRule="atLeast"/>
        </w:trPr>
        <w:tc>
          <w:tcPr>
            <w:tcW w:w="40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280"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8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城市公共交通线路培育补贴期间</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6个月</w:t>
            </w:r>
          </w:p>
        </w:tc>
        <w:tc>
          <w:tcPr>
            <w:tcW w:w="10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6个月</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20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319" w:hRule="atLeast"/>
        </w:trPr>
        <w:tc>
          <w:tcPr>
            <w:tcW w:w="40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2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质量指标</w:t>
            </w:r>
          </w:p>
        </w:tc>
        <w:tc>
          <w:tcPr>
            <w:tcW w:w="28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公交车正常运行率</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0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20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319" w:hRule="atLeast"/>
        </w:trPr>
        <w:tc>
          <w:tcPr>
            <w:tcW w:w="40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2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88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服务质量达标率</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0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20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319" w:hRule="atLeast"/>
        </w:trPr>
        <w:tc>
          <w:tcPr>
            <w:tcW w:w="40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2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时效指标</w:t>
            </w:r>
          </w:p>
        </w:tc>
        <w:tc>
          <w:tcPr>
            <w:tcW w:w="28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资金支付及时率</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0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20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827" w:hRule="atLeast"/>
        </w:trPr>
        <w:tc>
          <w:tcPr>
            <w:tcW w:w="40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效益指标</w:t>
            </w:r>
          </w:p>
        </w:tc>
        <w:tc>
          <w:tcPr>
            <w:tcW w:w="1280"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社会效益指标</w:t>
            </w:r>
          </w:p>
        </w:tc>
        <w:tc>
          <w:tcPr>
            <w:tcW w:w="28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有效减轻城市客运公交车经营者成本的压力，促进客运服务均等化，保障人民群众安全便捷出行，推动行业健康发展。</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w:t>
            </w:r>
          </w:p>
        </w:tc>
        <w:tc>
          <w:tcPr>
            <w:tcW w:w="1067"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20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660" w:hRule="atLeast"/>
        </w:trPr>
        <w:tc>
          <w:tcPr>
            <w:tcW w:w="40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280"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生态效益指标</w:t>
            </w:r>
          </w:p>
        </w:tc>
        <w:tc>
          <w:tcPr>
            <w:tcW w:w="28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车辆符合环境保护相关要求</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w:t>
            </w:r>
          </w:p>
        </w:tc>
        <w:tc>
          <w:tcPr>
            <w:tcW w:w="1067"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20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660" w:hRule="atLeast"/>
        </w:trPr>
        <w:tc>
          <w:tcPr>
            <w:tcW w:w="40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2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可持续影响指标</w:t>
            </w:r>
          </w:p>
        </w:tc>
        <w:tc>
          <w:tcPr>
            <w:tcW w:w="28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车辆使用年限</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8年</w:t>
            </w:r>
          </w:p>
        </w:tc>
        <w:tc>
          <w:tcPr>
            <w:tcW w:w="10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8年</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20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702" w:hRule="atLeast"/>
        </w:trPr>
        <w:tc>
          <w:tcPr>
            <w:tcW w:w="40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6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满意度指标</w:t>
            </w:r>
          </w:p>
        </w:tc>
        <w:tc>
          <w:tcPr>
            <w:tcW w:w="12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服务对象满意度指标</w:t>
            </w:r>
          </w:p>
        </w:tc>
        <w:tc>
          <w:tcPr>
            <w:tcW w:w="28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受益群体满意度（%）</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≥90%</w:t>
            </w:r>
          </w:p>
        </w:tc>
        <w:tc>
          <w:tcPr>
            <w:tcW w:w="10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90%</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20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319" w:hRule="atLeast"/>
        </w:trPr>
        <w:tc>
          <w:tcPr>
            <w:tcW w:w="684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总分</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20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bl>
    <w:p>
      <w:pPr>
        <w:numPr>
          <w:numId w:val="0"/>
        </w:numPr>
        <w:spacing w:line="540" w:lineRule="exact"/>
        <w:rPr>
          <w:rFonts w:hint="eastAsia" w:ascii="仿宋_GB2312" w:eastAsia="仿宋_GB2312"/>
          <w:sz w:val="32"/>
          <w:szCs w:val="32"/>
          <w:highlight w:val="none"/>
          <w:lang w:val="en-US" w:eastAsia="zh-CN"/>
        </w:rPr>
      </w:pPr>
    </w:p>
    <w:p>
      <w:pPr>
        <w:numPr>
          <w:numId w:val="0"/>
        </w:numPr>
        <w:spacing w:line="540" w:lineRule="exact"/>
        <w:rPr>
          <w:rFonts w:hint="eastAsia" w:ascii="仿宋_GB2312" w:eastAsia="仿宋_GB2312"/>
          <w:sz w:val="32"/>
          <w:szCs w:val="32"/>
          <w:highlight w:val="none"/>
          <w:lang w:val="en-US" w:eastAsia="zh-CN"/>
        </w:rPr>
      </w:pPr>
    </w:p>
    <w:p>
      <w:pPr>
        <w:numPr>
          <w:numId w:val="0"/>
        </w:numPr>
        <w:spacing w:line="540" w:lineRule="exact"/>
        <w:rPr>
          <w:rFonts w:hint="eastAsia" w:ascii="仿宋_GB2312" w:eastAsia="仿宋_GB2312"/>
          <w:sz w:val="32"/>
          <w:szCs w:val="32"/>
          <w:highlight w:val="none"/>
        </w:rPr>
      </w:pPr>
      <w:r>
        <w:rPr>
          <w:rFonts w:hint="eastAsia" w:ascii="仿宋_GB2312" w:eastAsia="仿宋_GB2312"/>
          <w:sz w:val="32"/>
          <w:szCs w:val="32"/>
          <w:highlight w:val="none"/>
          <w:lang w:val="en-US" w:eastAsia="zh-CN"/>
        </w:rPr>
        <w:t>7.2019年农村公路养护工程项目</w:t>
      </w:r>
    </w:p>
    <w:tbl>
      <w:tblPr>
        <w:tblStyle w:val="13"/>
        <w:tblW w:w="10146" w:type="dxa"/>
        <w:tblInd w:w="-812" w:type="dxa"/>
        <w:shd w:val="clear" w:color="auto" w:fill="auto"/>
        <w:tblLayout w:type="fixed"/>
        <w:tblCellMar>
          <w:top w:w="0" w:type="dxa"/>
          <w:left w:w="0" w:type="dxa"/>
          <w:bottom w:w="0" w:type="dxa"/>
          <w:right w:w="0" w:type="dxa"/>
        </w:tblCellMar>
      </w:tblPr>
      <w:tblGrid>
        <w:gridCol w:w="680"/>
        <w:gridCol w:w="506"/>
        <w:gridCol w:w="211"/>
        <w:gridCol w:w="1652"/>
        <w:gridCol w:w="137"/>
        <w:gridCol w:w="1120"/>
        <w:gridCol w:w="1147"/>
        <w:gridCol w:w="560"/>
        <w:gridCol w:w="774"/>
        <w:gridCol w:w="245"/>
        <w:gridCol w:w="368"/>
        <w:gridCol w:w="448"/>
        <w:gridCol w:w="105"/>
        <w:gridCol w:w="617"/>
        <w:gridCol w:w="1576"/>
      </w:tblGrid>
      <w:tr>
        <w:tblPrEx>
          <w:shd w:val="clear" w:color="auto" w:fill="auto"/>
          <w:tblLayout w:type="fixed"/>
          <w:tblCellMar>
            <w:top w:w="0" w:type="dxa"/>
            <w:left w:w="0" w:type="dxa"/>
            <w:bottom w:w="0" w:type="dxa"/>
            <w:right w:w="0" w:type="dxa"/>
          </w:tblCellMar>
        </w:tblPrEx>
        <w:trPr>
          <w:trHeight w:val="405" w:hRule="atLeast"/>
        </w:trPr>
        <w:tc>
          <w:tcPr>
            <w:tcW w:w="10146" w:type="dxa"/>
            <w:gridSpan w:val="15"/>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highlight w:val="none"/>
                <w:u w:val="none"/>
              </w:rPr>
            </w:pPr>
            <w:r>
              <w:rPr>
                <w:rFonts w:hint="eastAsia" w:ascii="宋体" w:hAnsi="宋体" w:eastAsia="宋体" w:cs="宋体"/>
                <w:b/>
                <w:i w:val="0"/>
                <w:color w:val="000000"/>
                <w:kern w:val="0"/>
                <w:sz w:val="32"/>
                <w:szCs w:val="32"/>
                <w:highlight w:val="none"/>
                <w:u w:val="none"/>
                <w:lang w:val="en-US" w:eastAsia="zh-CN" w:bidi="ar"/>
              </w:rPr>
              <w:t>项目支出绩效自评表</w:t>
            </w:r>
          </w:p>
        </w:tc>
      </w:tr>
      <w:tr>
        <w:tblPrEx>
          <w:tblLayout w:type="fixed"/>
          <w:tblCellMar>
            <w:top w:w="0" w:type="dxa"/>
            <w:left w:w="0" w:type="dxa"/>
            <w:bottom w:w="0" w:type="dxa"/>
            <w:right w:w="0" w:type="dxa"/>
          </w:tblCellMar>
        </w:tblPrEx>
        <w:trPr>
          <w:trHeight w:val="405" w:hRule="atLeast"/>
        </w:trPr>
        <w:tc>
          <w:tcPr>
            <w:tcW w:w="10146" w:type="dxa"/>
            <w:gridSpan w:val="15"/>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（2019年度）</w:t>
            </w:r>
          </w:p>
        </w:tc>
      </w:tr>
      <w:tr>
        <w:tblPrEx>
          <w:tblLayout w:type="fixed"/>
          <w:tblCellMar>
            <w:top w:w="0" w:type="dxa"/>
            <w:left w:w="0" w:type="dxa"/>
            <w:bottom w:w="0" w:type="dxa"/>
            <w:right w:w="0" w:type="dxa"/>
          </w:tblCellMar>
        </w:tblPrEx>
        <w:trPr>
          <w:trHeight w:val="319" w:hRule="atLeast"/>
        </w:trPr>
        <w:tc>
          <w:tcPr>
            <w:tcW w:w="11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项目名称</w:t>
            </w:r>
          </w:p>
        </w:tc>
        <w:tc>
          <w:tcPr>
            <w:tcW w:w="8960" w:type="dxa"/>
            <w:gridSpan w:val="1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2019年农村公路养护工程</w:t>
            </w:r>
          </w:p>
        </w:tc>
      </w:tr>
      <w:tr>
        <w:tblPrEx>
          <w:tblLayout w:type="fixed"/>
          <w:tblCellMar>
            <w:top w:w="0" w:type="dxa"/>
            <w:left w:w="0" w:type="dxa"/>
            <w:bottom w:w="0" w:type="dxa"/>
            <w:right w:w="0" w:type="dxa"/>
          </w:tblCellMar>
        </w:tblPrEx>
        <w:trPr>
          <w:trHeight w:val="319" w:hRule="atLeast"/>
        </w:trPr>
        <w:tc>
          <w:tcPr>
            <w:tcW w:w="11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主管部门</w:t>
            </w:r>
          </w:p>
        </w:tc>
        <w:tc>
          <w:tcPr>
            <w:tcW w:w="4267"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昌吉州交通运输局</w:t>
            </w:r>
          </w:p>
        </w:tc>
        <w:tc>
          <w:tcPr>
            <w:tcW w:w="157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实施单位</w:t>
            </w:r>
          </w:p>
        </w:tc>
        <w:tc>
          <w:tcPr>
            <w:tcW w:w="311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吉木萨尔县交通运输局</w:t>
            </w:r>
          </w:p>
        </w:tc>
      </w:tr>
      <w:tr>
        <w:tblPrEx>
          <w:tblLayout w:type="fixed"/>
          <w:tblCellMar>
            <w:top w:w="0" w:type="dxa"/>
            <w:left w:w="0" w:type="dxa"/>
            <w:bottom w:w="0" w:type="dxa"/>
            <w:right w:w="0" w:type="dxa"/>
          </w:tblCellMar>
        </w:tblPrEx>
        <w:trPr>
          <w:trHeight w:val="319" w:hRule="atLeast"/>
        </w:trPr>
        <w:tc>
          <w:tcPr>
            <w:tcW w:w="118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项目资金       （万元）</w:t>
            </w:r>
          </w:p>
        </w:tc>
        <w:tc>
          <w:tcPr>
            <w:tcW w:w="2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年初预算数</w:t>
            </w:r>
          </w:p>
        </w:tc>
        <w:tc>
          <w:tcPr>
            <w:tcW w:w="11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全年预算数</w:t>
            </w:r>
          </w:p>
        </w:tc>
        <w:tc>
          <w:tcPr>
            <w:tcW w:w="157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全年执行数</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72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执行率</w:t>
            </w:r>
          </w:p>
        </w:tc>
        <w:tc>
          <w:tcPr>
            <w:tcW w:w="15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r>
      <w:tr>
        <w:tblPrEx>
          <w:tblLayout w:type="fixed"/>
          <w:tblCellMar>
            <w:top w:w="0" w:type="dxa"/>
            <w:left w:w="0" w:type="dxa"/>
            <w:bottom w:w="0" w:type="dxa"/>
            <w:right w:w="0" w:type="dxa"/>
          </w:tblCellMar>
        </w:tblPrEx>
        <w:trPr>
          <w:trHeight w:val="319" w:hRule="atLeast"/>
        </w:trPr>
        <w:tc>
          <w:tcPr>
            <w:tcW w:w="118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年度资金总额</w:t>
            </w:r>
          </w:p>
        </w:tc>
        <w:tc>
          <w:tcPr>
            <w:tcW w:w="11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300.00 </w:t>
            </w:r>
          </w:p>
        </w:tc>
        <w:tc>
          <w:tcPr>
            <w:tcW w:w="11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300.00 </w:t>
            </w:r>
          </w:p>
        </w:tc>
        <w:tc>
          <w:tcPr>
            <w:tcW w:w="157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300.00 </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72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5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r>
      <w:tr>
        <w:tblPrEx>
          <w:tblLayout w:type="fixed"/>
          <w:tblCellMar>
            <w:top w:w="0" w:type="dxa"/>
            <w:left w:w="0" w:type="dxa"/>
            <w:bottom w:w="0" w:type="dxa"/>
            <w:right w:w="0" w:type="dxa"/>
          </w:tblCellMar>
        </w:tblPrEx>
        <w:trPr>
          <w:trHeight w:val="319" w:hRule="atLeast"/>
        </w:trPr>
        <w:tc>
          <w:tcPr>
            <w:tcW w:w="118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其中：当年财政拨款</w:t>
            </w:r>
          </w:p>
        </w:tc>
        <w:tc>
          <w:tcPr>
            <w:tcW w:w="11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300.00 </w:t>
            </w:r>
          </w:p>
        </w:tc>
        <w:tc>
          <w:tcPr>
            <w:tcW w:w="11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300.00 </w:t>
            </w:r>
          </w:p>
        </w:tc>
        <w:tc>
          <w:tcPr>
            <w:tcW w:w="157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300.00 </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72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15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118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上年结转资金</w:t>
            </w:r>
          </w:p>
        </w:tc>
        <w:tc>
          <w:tcPr>
            <w:tcW w:w="11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1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57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72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15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118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0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其他资金</w:t>
            </w:r>
          </w:p>
        </w:tc>
        <w:tc>
          <w:tcPr>
            <w:tcW w:w="11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1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57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72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15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6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年度总体目标</w:t>
            </w:r>
          </w:p>
        </w:tc>
        <w:tc>
          <w:tcPr>
            <w:tcW w:w="477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预期目标</w:t>
            </w:r>
          </w:p>
        </w:tc>
        <w:tc>
          <w:tcPr>
            <w:tcW w:w="4693"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实际完成情况</w:t>
            </w:r>
          </w:p>
        </w:tc>
      </w:tr>
      <w:tr>
        <w:tblPrEx>
          <w:tblLayout w:type="fixed"/>
          <w:tblCellMar>
            <w:top w:w="0" w:type="dxa"/>
            <w:left w:w="0" w:type="dxa"/>
            <w:bottom w:w="0" w:type="dxa"/>
            <w:right w:w="0" w:type="dxa"/>
          </w:tblCellMar>
        </w:tblPrEx>
        <w:trPr>
          <w:trHeight w:val="276" w:hRule="atLeast"/>
        </w:trPr>
        <w:tc>
          <w:tcPr>
            <w:tcW w:w="6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77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修补全县九个乡镇农村公路路面坑槽面积67000平方米</w:t>
            </w:r>
          </w:p>
        </w:tc>
        <w:tc>
          <w:tcPr>
            <w:tcW w:w="4693"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修补全县九个乡镇农村公路路面坑槽面积67000平方米</w:t>
            </w:r>
          </w:p>
        </w:tc>
      </w:tr>
      <w:tr>
        <w:tblPrEx>
          <w:tblLayout w:type="fixed"/>
          <w:tblCellMar>
            <w:top w:w="0" w:type="dxa"/>
            <w:left w:w="0" w:type="dxa"/>
            <w:bottom w:w="0" w:type="dxa"/>
            <w:right w:w="0" w:type="dxa"/>
          </w:tblCellMar>
        </w:tblPrEx>
        <w:trPr>
          <w:trHeight w:val="319" w:hRule="atLeast"/>
        </w:trPr>
        <w:tc>
          <w:tcPr>
            <w:tcW w:w="68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绩              效    指    标</w:t>
            </w:r>
          </w:p>
        </w:tc>
        <w:tc>
          <w:tcPr>
            <w:tcW w:w="71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一级指标</w:t>
            </w:r>
          </w:p>
        </w:tc>
        <w:tc>
          <w:tcPr>
            <w:tcW w:w="16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二级指标</w:t>
            </w:r>
          </w:p>
        </w:tc>
        <w:tc>
          <w:tcPr>
            <w:tcW w:w="240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三级指标</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w:t>
            </w:r>
          </w:p>
        </w:tc>
        <w:tc>
          <w:tcPr>
            <w:tcW w:w="61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55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c>
          <w:tcPr>
            <w:tcW w:w="219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偏差原因分析及改进措施</w:t>
            </w:r>
          </w:p>
        </w:tc>
      </w:tr>
      <w:tr>
        <w:tblPrEx>
          <w:tblLayout w:type="fixed"/>
          <w:tblCellMar>
            <w:top w:w="0" w:type="dxa"/>
            <w:left w:w="0" w:type="dxa"/>
            <w:bottom w:w="0" w:type="dxa"/>
            <w:right w:w="0" w:type="dxa"/>
          </w:tblCellMar>
        </w:tblPrEx>
        <w:trPr>
          <w:trHeight w:val="319"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6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40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指标值</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完成值</w:t>
            </w:r>
          </w:p>
        </w:tc>
        <w:tc>
          <w:tcPr>
            <w:tcW w:w="6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5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1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5"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1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产出指标</w:t>
            </w:r>
          </w:p>
        </w:tc>
        <w:tc>
          <w:tcPr>
            <w:tcW w:w="16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数量指标</w:t>
            </w:r>
          </w:p>
        </w:tc>
        <w:tc>
          <w:tcPr>
            <w:tcW w:w="24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工程完成面积</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67000</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67000</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5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21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288"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6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质量指标</w:t>
            </w:r>
          </w:p>
        </w:tc>
        <w:tc>
          <w:tcPr>
            <w:tcW w:w="24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建设工程质量合格率（%）</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5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21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262"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6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4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资金保障率（%）</w:t>
            </w:r>
          </w:p>
        </w:tc>
        <w:tc>
          <w:tcPr>
            <w:tcW w:w="56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74"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5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21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222"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6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4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工程验收合格率（%）</w:t>
            </w:r>
          </w:p>
        </w:tc>
        <w:tc>
          <w:tcPr>
            <w:tcW w:w="56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74"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5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21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262"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6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时效指标</w:t>
            </w:r>
          </w:p>
        </w:tc>
        <w:tc>
          <w:tcPr>
            <w:tcW w:w="24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工程及时开工率（%）</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5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21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169"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6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4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工程及时完工率（%）</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5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21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208"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6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4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资金及时支付率（%）</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5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21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275"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6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成本指标</w:t>
            </w:r>
          </w:p>
        </w:tc>
        <w:tc>
          <w:tcPr>
            <w:tcW w:w="24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工程量完成率（%）</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5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21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235"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6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4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工程按时完成率（%）</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5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21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288"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6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4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工程合同期限内完工率（%）</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5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21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580"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1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效益指标</w:t>
            </w:r>
          </w:p>
        </w:tc>
        <w:tc>
          <w:tcPr>
            <w:tcW w:w="165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经济效益指标</w:t>
            </w:r>
          </w:p>
        </w:tc>
        <w:tc>
          <w:tcPr>
            <w:tcW w:w="24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养护农村公路对经济发展的促进作用</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是</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是</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5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21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580"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65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社会效益指标</w:t>
            </w:r>
          </w:p>
        </w:tc>
        <w:tc>
          <w:tcPr>
            <w:tcW w:w="24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修补路面后基本公共服务水平提升率</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5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21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580"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65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生态效益指标</w:t>
            </w:r>
          </w:p>
        </w:tc>
        <w:tc>
          <w:tcPr>
            <w:tcW w:w="24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养护符合环境审批要求</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符合</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符合</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5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21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580"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6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可持续影响指标</w:t>
            </w:r>
          </w:p>
        </w:tc>
        <w:tc>
          <w:tcPr>
            <w:tcW w:w="24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适应未来一定时间内农村交通要求</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5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21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580"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17"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满意度指标</w:t>
            </w:r>
          </w:p>
        </w:tc>
        <w:tc>
          <w:tcPr>
            <w:tcW w:w="16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服务对象满意度指标</w:t>
            </w:r>
          </w:p>
        </w:tc>
        <w:tc>
          <w:tcPr>
            <w:tcW w:w="24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受益群体满意度（%）</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≥90%</w:t>
            </w:r>
          </w:p>
        </w:tc>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90%</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5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21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319" w:hRule="atLeast"/>
        </w:trPr>
        <w:tc>
          <w:tcPr>
            <w:tcW w:w="6787"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总分</w:t>
            </w:r>
          </w:p>
        </w:tc>
        <w:tc>
          <w:tcPr>
            <w:tcW w:w="6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21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bl>
    <w:p>
      <w:pPr>
        <w:numPr>
          <w:numId w:val="0"/>
        </w:numPr>
        <w:spacing w:line="540" w:lineRule="exact"/>
        <w:jc w:val="left"/>
        <w:rPr>
          <w:rFonts w:hint="eastAsia" w:ascii="仿宋_GB2312" w:eastAsia="仿宋_GB2312"/>
          <w:sz w:val="32"/>
          <w:szCs w:val="32"/>
          <w:highlight w:val="none"/>
          <w:lang w:val="en-US" w:eastAsia="zh-CN"/>
        </w:rPr>
      </w:pPr>
    </w:p>
    <w:p>
      <w:pPr>
        <w:numPr>
          <w:numId w:val="0"/>
        </w:numPr>
        <w:spacing w:line="540" w:lineRule="exact"/>
        <w:jc w:val="left"/>
        <w:rPr>
          <w:rFonts w:hint="eastAsia" w:ascii="仿宋_GB2312" w:eastAsia="仿宋_GB2312"/>
          <w:sz w:val="32"/>
          <w:szCs w:val="32"/>
          <w:highlight w:val="none"/>
          <w:lang w:val="en-US" w:eastAsia="zh-CN"/>
        </w:rPr>
      </w:pPr>
    </w:p>
    <w:p>
      <w:pPr>
        <w:numPr>
          <w:numId w:val="0"/>
        </w:numPr>
        <w:spacing w:line="540" w:lineRule="exact"/>
        <w:jc w:val="left"/>
        <w:rPr>
          <w:rFonts w:hint="eastAsia" w:ascii="仿宋_GB2312" w:eastAsia="仿宋_GB2312"/>
          <w:sz w:val="32"/>
          <w:szCs w:val="32"/>
          <w:highlight w:val="none"/>
        </w:rPr>
      </w:pPr>
      <w:r>
        <w:rPr>
          <w:rFonts w:hint="eastAsia" w:ascii="仿宋_GB2312" w:eastAsia="仿宋_GB2312"/>
          <w:sz w:val="32"/>
          <w:szCs w:val="32"/>
          <w:highlight w:val="none"/>
          <w:lang w:val="en-US" w:eastAsia="zh-CN"/>
        </w:rPr>
        <w:t>8.2019年下半年公交车运营补贴资金项目</w:t>
      </w:r>
    </w:p>
    <w:tbl>
      <w:tblPr>
        <w:tblStyle w:val="13"/>
        <w:tblW w:w="10253" w:type="dxa"/>
        <w:tblInd w:w="-839" w:type="dxa"/>
        <w:shd w:val="clear" w:color="auto" w:fill="auto"/>
        <w:tblLayout w:type="fixed"/>
        <w:tblCellMar>
          <w:top w:w="0" w:type="dxa"/>
          <w:left w:w="0" w:type="dxa"/>
          <w:bottom w:w="0" w:type="dxa"/>
          <w:right w:w="0" w:type="dxa"/>
        </w:tblCellMar>
      </w:tblPr>
      <w:tblGrid>
        <w:gridCol w:w="853"/>
        <w:gridCol w:w="620"/>
        <w:gridCol w:w="940"/>
        <w:gridCol w:w="1354"/>
        <w:gridCol w:w="1037"/>
        <w:gridCol w:w="516"/>
        <w:gridCol w:w="747"/>
        <w:gridCol w:w="1093"/>
        <w:gridCol w:w="427"/>
        <w:gridCol w:w="259"/>
        <w:gridCol w:w="301"/>
        <w:gridCol w:w="394"/>
        <w:gridCol w:w="1712"/>
      </w:tblGrid>
      <w:tr>
        <w:tblPrEx>
          <w:shd w:val="clear" w:color="auto" w:fill="auto"/>
          <w:tblLayout w:type="fixed"/>
          <w:tblCellMar>
            <w:top w:w="0" w:type="dxa"/>
            <w:left w:w="0" w:type="dxa"/>
            <w:bottom w:w="0" w:type="dxa"/>
            <w:right w:w="0" w:type="dxa"/>
          </w:tblCellMar>
        </w:tblPrEx>
        <w:trPr>
          <w:trHeight w:val="405" w:hRule="atLeast"/>
        </w:trPr>
        <w:tc>
          <w:tcPr>
            <w:tcW w:w="10253" w:type="dxa"/>
            <w:gridSpan w:val="1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highlight w:val="none"/>
                <w:u w:val="none"/>
              </w:rPr>
            </w:pPr>
            <w:r>
              <w:rPr>
                <w:rFonts w:hint="eastAsia" w:ascii="宋体" w:hAnsi="宋体" w:eastAsia="宋体" w:cs="宋体"/>
                <w:b/>
                <w:i w:val="0"/>
                <w:color w:val="000000"/>
                <w:kern w:val="0"/>
                <w:sz w:val="32"/>
                <w:szCs w:val="32"/>
                <w:highlight w:val="none"/>
                <w:u w:val="none"/>
                <w:lang w:val="en-US" w:eastAsia="zh-CN" w:bidi="ar"/>
              </w:rPr>
              <w:t>项目支出绩效自评表</w:t>
            </w:r>
          </w:p>
        </w:tc>
      </w:tr>
      <w:tr>
        <w:tblPrEx>
          <w:tblLayout w:type="fixed"/>
          <w:tblCellMar>
            <w:top w:w="0" w:type="dxa"/>
            <w:left w:w="0" w:type="dxa"/>
            <w:bottom w:w="0" w:type="dxa"/>
            <w:right w:w="0" w:type="dxa"/>
          </w:tblCellMar>
        </w:tblPrEx>
        <w:trPr>
          <w:trHeight w:val="405" w:hRule="atLeast"/>
        </w:trPr>
        <w:tc>
          <w:tcPr>
            <w:tcW w:w="10253" w:type="dxa"/>
            <w:gridSpan w:val="1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（2019年度）</w:t>
            </w:r>
          </w:p>
        </w:tc>
      </w:tr>
      <w:tr>
        <w:tblPrEx>
          <w:tblLayout w:type="fixed"/>
          <w:tblCellMar>
            <w:top w:w="0" w:type="dxa"/>
            <w:left w:w="0" w:type="dxa"/>
            <w:bottom w:w="0" w:type="dxa"/>
            <w:right w:w="0" w:type="dxa"/>
          </w:tblCellMar>
        </w:tblPrEx>
        <w:trPr>
          <w:trHeight w:val="319" w:hRule="atLeast"/>
        </w:trPr>
        <w:tc>
          <w:tcPr>
            <w:tcW w:w="8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项目名称</w:t>
            </w:r>
          </w:p>
        </w:tc>
        <w:tc>
          <w:tcPr>
            <w:tcW w:w="940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2019年下半年公交车运营补贴资金</w:t>
            </w:r>
          </w:p>
        </w:tc>
      </w:tr>
      <w:tr>
        <w:tblPrEx>
          <w:tblLayout w:type="fixed"/>
          <w:tblCellMar>
            <w:top w:w="0" w:type="dxa"/>
            <w:left w:w="0" w:type="dxa"/>
            <w:bottom w:w="0" w:type="dxa"/>
            <w:right w:w="0" w:type="dxa"/>
          </w:tblCellMar>
        </w:tblPrEx>
        <w:trPr>
          <w:trHeight w:val="319" w:hRule="atLeast"/>
        </w:trPr>
        <w:tc>
          <w:tcPr>
            <w:tcW w:w="8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主管部门</w:t>
            </w:r>
          </w:p>
        </w:tc>
        <w:tc>
          <w:tcPr>
            <w:tcW w:w="5214"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昌吉州交通运输局</w:t>
            </w:r>
          </w:p>
        </w:tc>
        <w:tc>
          <w:tcPr>
            <w:tcW w:w="10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实施单位</w:t>
            </w:r>
          </w:p>
        </w:tc>
        <w:tc>
          <w:tcPr>
            <w:tcW w:w="309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吉木萨尔县交通运输局</w:t>
            </w:r>
          </w:p>
        </w:tc>
      </w:tr>
      <w:tr>
        <w:tblPrEx>
          <w:tblLayout w:type="fixed"/>
          <w:tblCellMar>
            <w:top w:w="0" w:type="dxa"/>
            <w:left w:w="0" w:type="dxa"/>
            <w:bottom w:w="0" w:type="dxa"/>
            <w:right w:w="0" w:type="dxa"/>
          </w:tblCellMar>
        </w:tblPrEx>
        <w:trPr>
          <w:trHeight w:val="319" w:hRule="atLeast"/>
        </w:trPr>
        <w:tc>
          <w:tcPr>
            <w:tcW w:w="85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项目资金       （万元）</w:t>
            </w:r>
          </w:p>
        </w:tc>
        <w:tc>
          <w:tcPr>
            <w:tcW w:w="291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年初预算数</w:t>
            </w:r>
          </w:p>
        </w:tc>
        <w:tc>
          <w:tcPr>
            <w:tcW w:w="12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全年预算数</w:t>
            </w:r>
          </w:p>
        </w:tc>
        <w:tc>
          <w:tcPr>
            <w:tcW w:w="10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全年执行数</w:t>
            </w:r>
          </w:p>
        </w:tc>
        <w:tc>
          <w:tcPr>
            <w:tcW w:w="6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执行率</w:t>
            </w:r>
          </w:p>
        </w:tc>
        <w:tc>
          <w:tcPr>
            <w:tcW w:w="17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r>
      <w:tr>
        <w:tblPrEx>
          <w:tblLayout w:type="fixed"/>
          <w:tblCellMar>
            <w:top w:w="0" w:type="dxa"/>
            <w:left w:w="0" w:type="dxa"/>
            <w:bottom w:w="0" w:type="dxa"/>
            <w:right w:w="0" w:type="dxa"/>
          </w:tblCellMar>
        </w:tblPrEx>
        <w:trPr>
          <w:trHeight w:val="319" w:hRule="atLeast"/>
        </w:trPr>
        <w:tc>
          <w:tcPr>
            <w:tcW w:w="8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91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年度资金总额</w:t>
            </w:r>
          </w:p>
        </w:tc>
        <w:tc>
          <w:tcPr>
            <w:tcW w:w="10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64.00 </w:t>
            </w:r>
          </w:p>
        </w:tc>
        <w:tc>
          <w:tcPr>
            <w:tcW w:w="12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64.00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64.00 </w:t>
            </w:r>
          </w:p>
        </w:tc>
        <w:tc>
          <w:tcPr>
            <w:tcW w:w="6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7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r>
      <w:tr>
        <w:tblPrEx>
          <w:tblLayout w:type="fixed"/>
          <w:tblCellMar>
            <w:top w:w="0" w:type="dxa"/>
            <w:left w:w="0" w:type="dxa"/>
            <w:bottom w:w="0" w:type="dxa"/>
            <w:right w:w="0" w:type="dxa"/>
          </w:tblCellMar>
        </w:tblPrEx>
        <w:trPr>
          <w:trHeight w:val="319" w:hRule="atLeast"/>
        </w:trPr>
        <w:tc>
          <w:tcPr>
            <w:tcW w:w="8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91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其中：当年财政拨款</w:t>
            </w:r>
          </w:p>
        </w:tc>
        <w:tc>
          <w:tcPr>
            <w:tcW w:w="10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64.00 </w:t>
            </w:r>
          </w:p>
        </w:tc>
        <w:tc>
          <w:tcPr>
            <w:tcW w:w="12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64.00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64.00 </w:t>
            </w:r>
          </w:p>
        </w:tc>
        <w:tc>
          <w:tcPr>
            <w:tcW w:w="6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7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8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91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上年结转资金</w:t>
            </w:r>
          </w:p>
        </w:tc>
        <w:tc>
          <w:tcPr>
            <w:tcW w:w="10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2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0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6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7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8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91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其他资金</w:t>
            </w:r>
          </w:p>
        </w:tc>
        <w:tc>
          <w:tcPr>
            <w:tcW w:w="10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2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0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6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7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85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年度总体目标</w:t>
            </w:r>
          </w:p>
        </w:tc>
        <w:tc>
          <w:tcPr>
            <w:tcW w:w="5214"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预期目标</w:t>
            </w:r>
          </w:p>
        </w:tc>
        <w:tc>
          <w:tcPr>
            <w:tcW w:w="418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实际完成情况</w:t>
            </w:r>
          </w:p>
        </w:tc>
      </w:tr>
      <w:tr>
        <w:tblPrEx>
          <w:tblLayout w:type="fixed"/>
          <w:tblCellMar>
            <w:top w:w="0" w:type="dxa"/>
            <w:left w:w="0" w:type="dxa"/>
            <w:bottom w:w="0" w:type="dxa"/>
            <w:right w:w="0" w:type="dxa"/>
          </w:tblCellMar>
        </w:tblPrEx>
        <w:trPr>
          <w:trHeight w:val="1045" w:hRule="atLeast"/>
        </w:trPr>
        <w:tc>
          <w:tcPr>
            <w:tcW w:w="8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214"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outlineLvl w:val="9"/>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根据县政府和吉木萨尔县运安公共交通运输有限责任公司签订《吉木萨尔县城市公交运营合作协议吉木萨尔县城市公交运营合作协议》，为确保公交公司正常投入使用，2019年下半年公交车运营补贴资金64万元；按照协议要求在规定时间内发放到位。</w:t>
            </w:r>
          </w:p>
        </w:tc>
        <w:tc>
          <w:tcPr>
            <w:tcW w:w="418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outlineLvl w:val="9"/>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向吉木萨尔县运安公共交通运输有限责任公司发放2019年下半年公交车运营补贴资金64万元已全部到位。</w:t>
            </w:r>
          </w:p>
        </w:tc>
      </w:tr>
      <w:tr>
        <w:tblPrEx>
          <w:tblLayout w:type="fixed"/>
          <w:tblCellMar>
            <w:top w:w="0" w:type="dxa"/>
            <w:left w:w="0" w:type="dxa"/>
            <w:bottom w:w="0" w:type="dxa"/>
            <w:right w:w="0" w:type="dxa"/>
          </w:tblCellMar>
        </w:tblPrEx>
        <w:trPr>
          <w:trHeight w:val="160" w:hRule="atLeast"/>
        </w:trPr>
        <w:tc>
          <w:tcPr>
            <w:tcW w:w="853"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绩              效    指    标</w:t>
            </w:r>
          </w:p>
        </w:tc>
        <w:tc>
          <w:tcPr>
            <w:tcW w:w="6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一级指标</w:t>
            </w:r>
          </w:p>
        </w:tc>
        <w:tc>
          <w:tcPr>
            <w:tcW w:w="94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二级指标</w:t>
            </w:r>
          </w:p>
        </w:tc>
        <w:tc>
          <w:tcPr>
            <w:tcW w:w="290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三级指标</w:t>
            </w:r>
          </w:p>
        </w:tc>
        <w:tc>
          <w:tcPr>
            <w:tcW w:w="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w:t>
            </w:r>
          </w:p>
        </w:tc>
        <w:tc>
          <w:tcPr>
            <w:tcW w:w="10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w:t>
            </w:r>
          </w:p>
        </w:tc>
        <w:tc>
          <w:tcPr>
            <w:tcW w:w="4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5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c>
          <w:tcPr>
            <w:tcW w:w="210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18"/>
                <w:szCs w:val="18"/>
                <w:highlight w:val="none"/>
                <w:u w:val="none"/>
                <w:lang w:val="en-US" w:eastAsia="zh-CN" w:bidi="ar"/>
              </w:rPr>
              <w:t>偏差原因分析及改进措施</w:t>
            </w:r>
          </w:p>
        </w:tc>
      </w:tr>
      <w:tr>
        <w:tblPrEx>
          <w:tblLayout w:type="fixed"/>
          <w:tblCellMar>
            <w:top w:w="0" w:type="dxa"/>
            <w:left w:w="0" w:type="dxa"/>
            <w:bottom w:w="0" w:type="dxa"/>
            <w:right w:w="0" w:type="dxa"/>
          </w:tblCellMar>
        </w:tblPrEx>
        <w:trPr>
          <w:trHeight w:val="114" w:hRule="atLeast"/>
        </w:trPr>
        <w:tc>
          <w:tcPr>
            <w:tcW w:w="85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90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指标值</w:t>
            </w:r>
          </w:p>
        </w:tc>
        <w:tc>
          <w:tcPr>
            <w:tcW w:w="10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完成值</w:t>
            </w:r>
          </w:p>
        </w:tc>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1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229" w:hRule="atLeast"/>
        </w:trPr>
        <w:tc>
          <w:tcPr>
            <w:tcW w:w="85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产出指标</w:t>
            </w:r>
          </w:p>
        </w:tc>
        <w:tc>
          <w:tcPr>
            <w:tcW w:w="94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数量指标</w:t>
            </w:r>
          </w:p>
        </w:tc>
        <w:tc>
          <w:tcPr>
            <w:tcW w:w="290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公共交通线路培育补贴对象个数</w:t>
            </w:r>
          </w:p>
        </w:tc>
        <w:tc>
          <w:tcPr>
            <w:tcW w:w="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1家</w:t>
            </w:r>
          </w:p>
        </w:tc>
        <w:tc>
          <w:tcPr>
            <w:tcW w:w="10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1家</w:t>
            </w:r>
          </w:p>
        </w:tc>
        <w:tc>
          <w:tcPr>
            <w:tcW w:w="4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21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322" w:hRule="atLeast"/>
        </w:trPr>
        <w:tc>
          <w:tcPr>
            <w:tcW w:w="85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4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90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公交公司车辆数量个数</w:t>
            </w:r>
          </w:p>
        </w:tc>
        <w:tc>
          <w:tcPr>
            <w:tcW w:w="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54辆</w:t>
            </w:r>
          </w:p>
        </w:tc>
        <w:tc>
          <w:tcPr>
            <w:tcW w:w="10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54辆</w:t>
            </w:r>
          </w:p>
        </w:tc>
        <w:tc>
          <w:tcPr>
            <w:tcW w:w="4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21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215" w:hRule="atLeast"/>
        </w:trPr>
        <w:tc>
          <w:tcPr>
            <w:tcW w:w="85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4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90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城市公共交通线路培育补贴期间</w:t>
            </w:r>
          </w:p>
        </w:tc>
        <w:tc>
          <w:tcPr>
            <w:tcW w:w="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6个月</w:t>
            </w:r>
          </w:p>
        </w:tc>
        <w:tc>
          <w:tcPr>
            <w:tcW w:w="10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6个月</w:t>
            </w:r>
          </w:p>
        </w:tc>
        <w:tc>
          <w:tcPr>
            <w:tcW w:w="4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21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189" w:hRule="atLeast"/>
        </w:trPr>
        <w:tc>
          <w:tcPr>
            <w:tcW w:w="85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4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质量指标</w:t>
            </w:r>
          </w:p>
        </w:tc>
        <w:tc>
          <w:tcPr>
            <w:tcW w:w="290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公交车正常运行率</w:t>
            </w:r>
          </w:p>
        </w:tc>
        <w:tc>
          <w:tcPr>
            <w:tcW w:w="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0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4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21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175" w:hRule="atLeast"/>
        </w:trPr>
        <w:tc>
          <w:tcPr>
            <w:tcW w:w="85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907"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服务质量达标率</w:t>
            </w:r>
          </w:p>
        </w:tc>
        <w:tc>
          <w:tcPr>
            <w:tcW w:w="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0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4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21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161" w:hRule="atLeast"/>
        </w:trPr>
        <w:tc>
          <w:tcPr>
            <w:tcW w:w="85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时效指标</w:t>
            </w:r>
          </w:p>
        </w:tc>
        <w:tc>
          <w:tcPr>
            <w:tcW w:w="290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资金支付及时率</w:t>
            </w:r>
          </w:p>
        </w:tc>
        <w:tc>
          <w:tcPr>
            <w:tcW w:w="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0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4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21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855" w:hRule="atLeast"/>
        </w:trPr>
        <w:tc>
          <w:tcPr>
            <w:tcW w:w="85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效益指标</w:t>
            </w:r>
          </w:p>
        </w:tc>
        <w:tc>
          <w:tcPr>
            <w:tcW w:w="94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社会效益指标</w:t>
            </w:r>
          </w:p>
        </w:tc>
        <w:tc>
          <w:tcPr>
            <w:tcW w:w="290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有效减轻城市客运公交车经营者成本的压力，促进客运服务均等化，保障人民群众安全便捷出行，推动行业健康发展。</w:t>
            </w:r>
          </w:p>
        </w:tc>
        <w:tc>
          <w:tcPr>
            <w:tcW w:w="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w:t>
            </w:r>
          </w:p>
        </w:tc>
        <w:tc>
          <w:tcPr>
            <w:tcW w:w="1093"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w:t>
            </w:r>
          </w:p>
        </w:tc>
        <w:tc>
          <w:tcPr>
            <w:tcW w:w="4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21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495" w:hRule="atLeast"/>
        </w:trPr>
        <w:tc>
          <w:tcPr>
            <w:tcW w:w="85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4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生态效益指标</w:t>
            </w:r>
          </w:p>
        </w:tc>
        <w:tc>
          <w:tcPr>
            <w:tcW w:w="290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车辆符合环境保护相关要求</w:t>
            </w:r>
          </w:p>
        </w:tc>
        <w:tc>
          <w:tcPr>
            <w:tcW w:w="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w:t>
            </w:r>
          </w:p>
        </w:tc>
        <w:tc>
          <w:tcPr>
            <w:tcW w:w="1093"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w:t>
            </w:r>
          </w:p>
        </w:tc>
        <w:tc>
          <w:tcPr>
            <w:tcW w:w="4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21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542" w:hRule="atLeast"/>
        </w:trPr>
        <w:tc>
          <w:tcPr>
            <w:tcW w:w="85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可持续影响指标</w:t>
            </w:r>
          </w:p>
        </w:tc>
        <w:tc>
          <w:tcPr>
            <w:tcW w:w="290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车辆使用年限</w:t>
            </w:r>
          </w:p>
        </w:tc>
        <w:tc>
          <w:tcPr>
            <w:tcW w:w="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8年/辆</w:t>
            </w:r>
          </w:p>
        </w:tc>
        <w:tc>
          <w:tcPr>
            <w:tcW w:w="10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8年/辆</w:t>
            </w:r>
          </w:p>
        </w:tc>
        <w:tc>
          <w:tcPr>
            <w:tcW w:w="4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21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1000" w:hRule="atLeast"/>
        </w:trPr>
        <w:tc>
          <w:tcPr>
            <w:tcW w:w="85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2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满意度指标</w:t>
            </w:r>
          </w:p>
        </w:tc>
        <w:tc>
          <w:tcPr>
            <w:tcW w:w="9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服务对象满意度指标</w:t>
            </w:r>
          </w:p>
        </w:tc>
        <w:tc>
          <w:tcPr>
            <w:tcW w:w="290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受益群体满意度（%）</w:t>
            </w:r>
          </w:p>
        </w:tc>
        <w:tc>
          <w:tcPr>
            <w:tcW w:w="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≥90%</w:t>
            </w:r>
          </w:p>
        </w:tc>
        <w:tc>
          <w:tcPr>
            <w:tcW w:w="1093"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90%</w:t>
            </w:r>
          </w:p>
        </w:tc>
        <w:tc>
          <w:tcPr>
            <w:tcW w:w="4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21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319" w:hRule="atLeast"/>
        </w:trPr>
        <w:tc>
          <w:tcPr>
            <w:tcW w:w="7160"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总分</w:t>
            </w:r>
          </w:p>
        </w:tc>
        <w:tc>
          <w:tcPr>
            <w:tcW w:w="4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21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bl>
    <w:p>
      <w:pPr>
        <w:numPr>
          <w:ilvl w:val="0"/>
          <w:numId w:val="0"/>
        </w:numPr>
        <w:spacing w:line="540" w:lineRule="exact"/>
        <w:ind w:leftChars="200"/>
        <w:jc w:val="left"/>
        <w:rPr>
          <w:rFonts w:hint="eastAsia" w:ascii="仿宋_GB2312" w:eastAsia="仿宋_GB2312"/>
          <w:sz w:val="32"/>
          <w:szCs w:val="32"/>
          <w:highlight w:val="none"/>
        </w:rPr>
      </w:pPr>
    </w:p>
    <w:p>
      <w:pPr>
        <w:numPr>
          <w:numId w:val="0"/>
        </w:numPr>
        <w:spacing w:line="540" w:lineRule="exact"/>
        <w:ind w:leftChars="200"/>
        <w:jc w:val="left"/>
        <w:rPr>
          <w:rFonts w:hint="eastAsia" w:ascii="仿宋_GB2312" w:eastAsia="仿宋_GB2312"/>
          <w:sz w:val="32"/>
          <w:szCs w:val="32"/>
          <w:highlight w:val="none"/>
          <w:lang w:val="en-US" w:eastAsia="zh-CN"/>
        </w:rPr>
      </w:pPr>
    </w:p>
    <w:p>
      <w:pPr>
        <w:numPr>
          <w:numId w:val="0"/>
        </w:numPr>
        <w:spacing w:line="540" w:lineRule="exact"/>
        <w:ind w:leftChars="200"/>
        <w:jc w:val="left"/>
        <w:rPr>
          <w:rFonts w:hint="eastAsia" w:ascii="仿宋_GB2312" w:eastAsia="仿宋_GB2312"/>
          <w:sz w:val="32"/>
          <w:szCs w:val="32"/>
          <w:highlight w:val="none"/>
          <w:lang w:val="en-US" w:eastAsia="zh-CN"/>
        </w:rPr>
      </w:pPr>
    </w:p>
    <w:p>
      <w:pPr>
        <w:numPr>
          <w:numId w:val="0"/>
        </w:numPr>
        <w:spacing w:line="540" w:lineRule="exact"/>
        <w:ind w:leftChars="200"/>
        <w:jc w:val="left"/>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9.2019年农村公路养护工程项目</w:t>
      </w:r>
    </w:p>
    <w:tbl>
      <w:tblPr>
        <w:tblStyle w:val="13"/>
        <w:tblW w:w="10307" w:type="dxa"/>
        <w:tblInd w:w="-1066" w:type="dxa"/>
        <w:shd w:val="clear" w:color="auto" w:fill="auto"/>
        <w:tblLayout w:type="fixed"/>
        <w:tblCellMar>
          <w:top w:w="0" w:type="dxa"/>
          <w:left w:w="0" w:type="dxa"/>
          <w:bottom w:w="0" w:type="dxa"/>
          <w:right w:w="0" w:type="dxa"/>
        </w:tblCellMar>
      </w:tblPr>
      <w:tblGrid>
        <w:gridCol w:w="947"/>
        <w:gridCol w:w="732"/>
        <w:gridCol w:w="921"/>
        <w:gridCol w:w="574"/>
        <w:gridCol w:w="1294"/>
        <w:gridCol w:w="266"/>
        <w:gridCol w:w="1400"/>
        <w:gridCol w:w="1041"/>
        <w:gridCol w:w="239"/>
        <w:gridCol w:w="620"/>
        <w:gridCol w:w="700"/>
        <w:gridCol w:w="54"/>
        <w:gridCol w:w="1519"/>
      </w:tblGrid>
      <w:tr>
        <w:tblPrEx>
          <w:shd w:val="clear" w:color="auto" w:fill="auto"/>
          <w:tblLayout w:type="fixed"/>
          <w:tblCellMar>
            <w:top w:w="0" w:type="dxa"/>
            <w:left w:w="0" w:type="dxa"/>
            <w:bottom w:w="0" w:type="dxa"/>
            <w:right w:w="0" w:type="dxa"/>
          </w:tblCellMar>
        </w:tblPrEx>
        <w:trPr>
          <w:trHeight w:val="405" w:hRule="atLeast"/>
        </w:trPr>
        <w:tc>
          <w:tcPr>
            <w:tcW w:w="10307" w:type="dxa"/>
            <w:gridSpan w:val="1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highlight w:val="none"/>
                <w:u w:val="none"/>
              </w:rPr>
            </w:pPr>
            <w:r>
              <w:rPr>
                <w:rFonts w:hint="eastAsia" w:ascii="宋体" w:hAnsi="宋体" w:eastAsia="宋体" w:cs="宋体"/>
                <w:b/>
                <w:i w:val="0"/>
                <w:color w:val="000000"/>
                <w:kern w:val="0"/>
                <w:sz w:val="32"/>
                <w:szCs w:val="32"/>
                <w:highlight w:val="none"/>
                <w:u w:val="none"/>
                <w:lang w:val="en-US" w:eastAsia="zh-CN" w:bidi="ar"/>
              </w:rPr>
              <w:t>项目支出绩效自评表</w:t>
            </w:r>
          </w:p>
        </w:tc>
      </w:tr>
      <w:tr>
        <w:tblPrEx>
          <w:tblLayout w:type="fixed"/>
          <w:tblCellMar>
            <w:top w:w="0" w:type="dxa"/>
            <w:left w:w="0" w:type="dxa"/>
            <w:bottom w:w="0" w:type="dxa"/>
            <w:right w:w="0" w:type="dxa"/>
          </w:tblCellMar>
        </w:tblPrEx>
        <w:trPr>
          <w:trHeight w:val="405" w:hRule="atLeast"/>
        </w:trPr>
        <w:tc>
          <w:tcPr>
            <w:tcW w:w="10307" w:type="dxa"/>
            <w:gridSpan w:val="1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（2019年度）</w:t>
            </w:r>
          </w:p>
        </w:tc>
      </w:tr>
      <w:tr>
        <w:tblPrEx>
          <w:tblLayout w:type="fixed"/>
          <w:tblCellMar>
            <w:top w:w="0" w:type="dxa"/>
            <w:left w:w="0" w:type="dxa"/>
            <w:bottom w:w="0" w:type="dxa"/>
            <w:right w:w="0" w:type="dxa"/>
          </w:tblCellMar>
        </w:tblPrEx>
        <w:trPr>
          <w:trHeight w:val="319" w:hRule="atLeast"/>
        </w:trPr>
        <w:tc>
          <w:tcPr>
            <w:tcW w:w="9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项目名称</w:t>
            </w:r>
          </w:p>
        </w:tc>
        <w:tc>
          <w:tcPr>
            <w:tcW w:w="936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2019年农村公路养护工程</w:t>
            </w:r>
          </w:p>
        </w:tc>
      </w:tr>
      <w:tr>
        <w:tblPrEx>
          <w:tblLayout w:type="fixed"/>
          <w:tblCellMar>
            <w:top w:w="0" w:type="dxa"/>
            <w:left w:w="0" w:type="dxa"/>
            <w:bottom w:w="0" w:type="dxa"/>
            <w:right w:w="0" w:type="dxa"/>
          </w:tblCellMar>
        </w:tblPrEx>
        <w:trPr>
          <w:trHeight w:val="319" w:hRule="atLeast"/>
        </w:trPr>
        <w:tc>
          <w:tcPr>
            <w:tcW w:w="9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主管部门</w:t>
            </w:r>
          </w:p>
        </w:tc>
        <w:tc>
          <w:tcPr>
            <w:tcW w:w="5187"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昌吉州交通运输局</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实施单位</w:t>
            </w:r>
          </w:p>
        </w:tc>
        <w:tc>
          <w:tcPr>
            <w:tcW w:w="3132"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吉木萨尔县交通运输局</w:t>
            </w:r>
          </w:p>
        </w:tc>
      </w:tr>
      <w:tr>
        <w:tblPrEx>
          <w:tblLayout w:type="fixed"/>
          <w:tblCellMar>
            <w:top w:w="0" w:type="dxa"/>
            <w:left w:w="0" w:type="dxa"/>
            <w:bottom w:w="0" w:type="dxa"/>
            <w:right w:w="0" w:type="dxa"/>
          </w:tblCellMar>
        </w:tblPrEx>
        <w:trPr>
          <w:trHeight w:val="319" w:hRule="atLeast"/>
        </w:trPr>
        <w:tc>
          <w:tcPr>
            <w:tcW w:w="9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项目资金       （万元）</w:t>
            </w:r>
          </w:p>
        </w:tc>
        <w:tc>
          <w:tcPr>
            <w:tcW w:w="222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2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年初预算数</w:t>
            </w:r>
          </w:p>
        </w:tc>
        <w:tc>
          <w:tcPr>
            <w:tcW w:w="16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全年预算数</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全年执行数</w:t>
            </w:r>
          </w:p>
        </w:tc>
        <w:tc>
          <w:tcPr>
            <w:tcW w:w="85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7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执行率</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r>
      <w:tr>
        <w:tblPrEx>
          <w:tblLayout w:type="fixed"/>
          <w:tblCellMar>
            <w:top w:w="0" w:type="dxa"/>
            <w:left w:w="0" w:type="dxa"/>
            <w:bottom w:w="0" w:type="dxa"/>
            <w:right w:w="0" w:type="dxa"/>
          </w:tblCellMar>
        </w:tblPrEx>
        <w:trPr>
          <w:trHeight w:val="319" w:hRule="atLeast"/>
        </w:trPr>
        <w:tc>
          <w:tcPr>
            <w:tcW w:w="9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22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年度资金总额</w:t>
            </w:r>
          </w:p>
        </w:tc>
        <w:tc>
          <w:tcPr>
            <w:tcW w:w="12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60</w:t>
            </w:r>
          </w:p>
        </w:tc>
        <w:tc>
          <w:tcPr>
            <w:tcW w:w="16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60</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60</w:t>
            </w:r>
          </w:p>
        </w:tc>
        <w:tc>
          <w:tcPr>
            <w:tcW w:w="85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7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r>
      <w:tr>
        <w:tblPrEx>
          <w:tblLayout w:type="fixed"/>
          <w:tblCellMar>
            <w:top w:w="0" w:type="dxa"/>
            <w:left w:w="0" w:type="dxa"/>
            <w:bottom w:w="0" w:type="dxa"/>
            <w:right w:w="0" w:type="dxa"/>
          </w:tblCellMar>
        </w:tblPrEx>
        <w:trPr>
          <w:trHeight w:val="319" w:hRule="atLeast"/>
        </w:trPr>
        <w:tc>
          <w:tcPr>
            <w:tcW w:w="9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22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其中：当年财政拨款</w:t>
            </w:r>
          </w:p>
        </w:tc>
        <w:tc>
          <w:tcPr>
            <w:tcW w:w="12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60</w:t>
            </w:r>
          </w:p>
        </w:tc>
        <w:tc>
          <w:tcPr>
            <w:tcW w:w="16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60</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60</w:t>
            </w:r>
          </w:p>
        </w:tc>
        <w:tc>
          <w:tcPr>
            <w:tcW w:w="85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7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319" w:hRule="atLeast"/>
        </w:trPr>
        <w:tc>
          <w:tcPr>
            <w:tcW w:w="9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22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上年结转资金</w:t>
            </w:r>
          </w:p>
        </w:tc>
        <w:tc>
          <w:tcPr>
            <w:tcW w:w="12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6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85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7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9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22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其他资金</w:t>
            </w:r>
          </w:p>
        </w:tc>
        <w:tc>
          <w:tcPr>
            <w:tcW w:w="12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6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0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85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7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5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9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年度总体目标</w:t>
            </w:r>
          </w:p>
        </w:tc>
        <w:tc>
          <w:tcPr>
            <w:tcW w:w="5187"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预期目标</w:t>
            </w:r>
          </w:p>
        </w:tc>
        <w:tc>
          <w:tcPr>
            <w:tcW w:w="417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实际完成情况</w:t>
            </w:r>
          </w:p>
        </w:tc>
      </w:tr>
      <w:tr>
        <w:tblPrEx>
          <w:tblLayout w:type="fixed"/>
          <w:tblCellMar>
            <w:top w:w="0" w:type="dxa"/>
            <w:left w:w="0" w:type="dxa"/>
            <w:bottom w:w="0" w:type="dxa"/>
            <w:right w:w="0" w:type="dxa"/>
          </w:tblCellMar>
        </w:tblPrEx>
        <w:trPr>
          <w:trHeight w:val="522" w:hRule="atLeast"/>
        </w:trPr>
        <w:tc>
          <w:tcPr>
            <w:tcW w:w="9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187"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完成老台乡客运站396.57平方米主体、装修、站前广场建设。</w:t>
            </w:r>
          </w:p>
        </w:tc>
        <w:tc>
          <w:tcPr>
            <w:tcW w:w="417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已完成老台乡客运站396.57平方米主体、装修、站前广场建设。</w:t>
            </w:r>
          </w:p>
        </w:tc>
      </w:tr>
      <w:tr>
        <w:tblPrEx>
          <w:tblLayout w:type="fixed"/>
          <w:tblCellMar>
            <w:top w:w="0" w:type="dxa"/>
            <w:left w:w="0" w:type="dxa"/>
            <w:bottom w:w="0" w:type="dxa"/>
            <w:right w:w="0" w:type="dxa"/>
          </w:tblCellMar>
        </w:tblPrEx>
        <w:trPr>
          <w:trHeight w:val="319" w:hRule="atLeast"/>
        </w:trPr>
        <w:tc>
          <w:tcPr>
            <w:tcW w:w="947"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绩              效    指    标</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一级指标</w:t>
            </w:r>
          </w:p>
        </w:tc>
        <w:tc>
          <w:tcPr>
            <w:tcW w:w="9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二级指标</w:t>
            </w:r>
          </w:p>
        </w:tc>
        <w:tc>
          <w:tcPr>
            <w:tcW w:w="213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三级指标</w:t>
            </w:r>
          </w:p>
        </w:tc>
        <w:tc>
          <w:tcPr>
            <w:tcW w:w="1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w:t>
            </w:r>
          </w:p>
        </w:tc>
        <w:tc>
          <w:tcPr>
            <w:tcW w:w="12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w:t>
            </w:r>
          </w:p>
        </w:tc>
        <w:tc>
          <w:tcPr>
            <w:tcW w:w="6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7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c>
          <w:tcPr>
            <w:tcW w:w="157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偏差原因分析及改进措施</w:t>
            </w:r>
          </w:p>
        </w:tc>
      </w:tr>
      <w:tr>
        <w:tblPrEx>
          <w:tblLayout w:type="fixed"/>
          <w:tblCellMar>
            <w:top w:w="0" w:type="dxa"/>
            <w:left w:w="0" w:type="dxa"/>
            <w:bottom w:w="0" w:type="dxa"/>
            <w:right w:w="0" w:type="dxa"/>
          </w:tblCellMar>
        </w:tblPrEx>
        <w:trPr>
          <w:trHeight w:val="319" w:hRule="atLeast"/>
        </w:trPr>
        <w:tc>
          <w:tcPr>
            <w:tcW w:w="94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13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指标值</w:t>
            </w:r>
          </w:p>
        </w:tc>
        <w:tc>
          <w:tcPr>
            <w:tcW w:w="12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完成值</w:t>
            </w:r>
          </w:p>
        </w:tc>
        <w:tc>
          <w:tcPr>
            <w:tcW w:w="6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5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242" w:hRule="atLeast"/>
        </w:trPr>
        <w:tc>
          <w:tcPr>
            <w:tcW w:w="94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产出指标</w:t>
            </w:r>
          </w:p>
        </w:tc>
        <w:tc>
          <w:tcPr>
            <w:tcW w:w="9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数量指标</w:t>
            </w:r>
          </w:p>
        </w:tc>
        <w:tc>
          <w:tcPr>
            <w:tcW w:w="213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工程完成面积</w:t>
            </w:r>
          </w:p>
        </w:tc>
        <w:tc>
          <w:tcPr>
            <w:tcW w:w="1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396.57平方米</w:t>
            </w:r>
          </w:p>
        </w:tc>
        <w:tc>
          <w:tcPr>
            <w:tcW w:w="12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396.57平方米</w:t>
            </w:r>
          </w:p>
        </w:tc>
        <w:tc>
          <w:tcPr>
            <w:tcW w:w="6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w:t>
            </w:r>
          </w:p>
        </w:tc>
        <w:tc>
          <w:tcPr>
            <w:tcW w:w="1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147" w:hRule="atLeast"/>
        </w:trPr>
        <w:tc>
          <w:tcPr>
            <w:tcW w:w="94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13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站后停车场</w:t>
            </w:r>
          </w:p>
        </w:tc>
        <w:tc>
          <w:tcPr>
            <w:tcW w:w="1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788平方米</w:t>
            </w:r>
          </w:p>
        </w:tc>
        <w:tc>
          <w:tcPr>
            <w:tcW w:w="12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788平方米</w:t>
            </w:r>
          </w:p>
        </w:tc>
        <w:tc>
          <w:tcPr>
            <w:tcW w:w="6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w:t>
            </w:r>
          </w:p>
        </w:tc>
        <w:tc>
          <w:tcPr>
            <w:tcW w:w="1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272" w:hRule="atLeast"/>
        </w:trPr>
        <w:tc>
          <w:tcPr>
            <w:tcW w:w="94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134" w:type="dxa"/>
            <w:gridSpan w:val="3"/>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站前停车场</w:t>
            </w:r>
          </w:p>
        </w:tc>
        <w:tc>
          <w:tcPr>
            <w:tcW w:w="1400"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1286平方米</w:t>
            </w:r>
          </w:p>
        </w:tc>
        <w:tc>
          <w:tcPr>
            <w:tcW w:w="1280"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1286平方米</w:t>
            </w:r>
          </w:p>
        </w:tc>
        <w:tc>
          <w:tcPr>
            <w:tcW w:w="6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174" w:hRule="atLeast"/>
        </w:trPr>
        <w:tc>
          <w:tcPr>
            <w:tcW w:w="94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质量指标</w:t>
            </w:r>
          </w:p>
        </w:tc>
        <w:tc>
          <w:tcPr>
            <w:tcW w:w="213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工程验收合格率</w:t>
            </w:r>
          </w:p>
        </w:tc>
        <w:tc>
          <w:tcPr>
            <w:tcW w:w="1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2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319" w:hRule="atLeast"/>
        </w:trPr>
        <w:tc>
          <w:tcPr>
            <w:tcW w:w="94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13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项目设计功能实现率（%）</w:t>
            </w:r>
          </w:p>
        </w:tc>
        <w:tc>
          <w:tcPr>
            <w:tcW w:w="1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2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319" w:hRule="atLeast"/>
        </w:trPr>
        <w:tc>
          <w:tcPr>
            <w:tcW w:w="94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13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项目综合利用率</w:t>
            </w:r>
          </w:p>
        </w:tc>
        <w:tc>
          <w:tcPr>
            <w:tcW w:w="1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2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319" w:hRule="atLeast"/>
        </w:trPr>
        <w:tc>
          <w:tcPr>
            <w:tcW w:w="94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时效指标</w:t>
            </w:r>
          </w:p>
        </w:tc>
        <w:tc>
          <w:tcPr>
            <w:tcW w:w="213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工程当年按时开工率</w:t>
            </w:r>
          </w:p>
        </w:tc>
        <w:tc>
          <w:tcPr>
            <w:tcW w:w="1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2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3</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3</w:t>
            </w:r>
          </w:p>
        </w:tc>
        <w:tc>
          <w:tcPr>
            <w:tcW w:w="1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319" w:hRule="atLeast"/>
        </w:trPr>
        <w:tc>
          <w:tcPr>
            <w:tcW w:w="94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13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工程当年按时完工率</w:t>
            </w:r>
          </w:p>
        </w:tc>
        <w:tc>
          <w:tcPr>
            <w:tcW w:w="1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2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3</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3</w:t>
            </w:r>
          </w:p>
        </w:tc>
        <w:tc>
          <w:tcPr>
            <w:tcW w:w="1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319" w:hRule="atLeast"/>
        </w:trPr>
        <w:tc>
          <w:tcPr>
            <w:tcW w:w="94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13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工程资金按合同及时支付率</w:t>
            </w:r>
          </w:p>
        </w:tc>
        <w:tc>
          <w:tcPr>
            <w:tcW w:w="1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2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3</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3</w:t>
            </w:r>
          </w:p>
        </w:tc>
        <w:tc>
          <w:tcPr>
            <w:tcW w:w="1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336" w:hRule="atLeast"/>
        </w:trPr>
        <w:tc>
          <w:tcPr>
            <w:tcW w:w="94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成本指标</w:t>
            </w:r>
          </w:p>
        </w:tc>
        <w:tc>
          <w:tcPr>
            <w:tcW w:w="213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工程单位建设成本</w:t>
            </w:r>
          </w:p>
        </w:tc>
        <w:tc>
          <w:tcPr>
            <w:tcW w:w="140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≦4059元/㎡</w:t>
            </w:r>
          </w:p>
        </w:tc>
        <w:tc>
          <w:tcPr>
            <w:tcW w:w="1280"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4059元/㎡</w:t>
            </w:r>
          </w:p>
        </w:tc>
        <w:tc>
          <w:tcPr>
            <w:tcW w:w="6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w:t>
            </w:r>
          </w:p>
        </w:tc>
        <w:tc>
          <w:tcPr>
            <w:tcW w:w="1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435" w:hRule="atLeast"/>
        </w:trPr>
        <w:tc>
          <w:tcPr>
            <w:tcW w:w="94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效益指标</w:t>
            </w:r>
          </w:p>
        </w:tc>
        <w:tc>
          <w:tcPr>
            <w:tcW w:w="92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经济效益指标</w:t>
            </w:r>
          </w:p>
        </w:tc>
        <w:tc>
          <w:tcPr>
            <w:tcW w:w="213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日发送旅客100人</w:t>
            </w:r>
          </w:p>
        </w:tc>
        <w:tc>
          <w:tcPr>
            <w:tcW w:w="1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2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600" w:hRule="atLeast"/>
        </w:trPr>
        <w:tc>
          <w:tcPr>
            <w:tcW w:w="94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2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社会效益指标</w:t>
            </w:r>
          </w:p>
        </w:tc>
        <w:tc>
          <w:tcPr>
            <w:tcW w:w="213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提高客运站的服务质量，便利行人的出行条件</w:t>
            </w:r>
          </w:p>
        </w:tc>
        <w:tc>
          <w:tcPr>
            <w:tcW w:w="1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2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426" w:hRule="atLeast"/>
        </w:trPr>
        <w:tc>
          <w:tcPr>
            <w:tcW w:w="94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2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生态效益指标</w:t>
            </w:r>
          </w:p>
        </w:tc>
        <w:tc>
          <w:tcPr>
            <w:tcW w:w="213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符合生态指标</w:t>
            </w:r>
          </w:p>
        </w:tc>
        <w:tc>
          <w:tcPr>
            <w:tcW w:w="1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2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319" w:hRule="atLeast"/>
        </w:trPr>
        <w:tc>
          <w:tcPr>
            <w:tcW w:w="94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可持续影响指标</w:t>
            </w:r>
          </w:p>
        </w:tc>
        <w:tc>
          <w:tcPr>
            <w:tcW w:w="213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工程设计使用年限</w:t>
            </w:r>
          </w:p>
        </w:tc>
        <w:tc>
          <w:tcPr>
            <w:tcW w:w="1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30</w:t>
            </w:r>
          </w:p>
        </w:tc>
        <w:tc>
          <w:tcPr>
            <w:tcW w:w="12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30</w:t>
            </w:r>
          </w:p>
        </w:tc>
        <w:tc>
          <w:tcPr>
            <w:tcW w:w="6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679" w:hRule="atLeast"/>
        </w:trPr>
        <w:tc>
          <w:tcPr>
            <w:tcW w:w="94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13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工程完成后将长期为行人出行提供便利</w:t>
            </w:r>
          </w:p>
        </w:tc>
        <w:tc>
          <w:tcPr>
            <w:tcW w:w="1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日发送旅客100人</w:t>
            </w:r>
          </w:p>
        </w:tc>
        <w:tc>
          <w:tcPr>
            <w:tcW w:w="12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日发送旅客100人</w:t>
            </w:r>
          </w:p>
        </w:tc>
        <w:tc>
          <w:tcPr>
            <w:tcW w:w="6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1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555" w:hRule="atLeast"/>
        </w:trPr>
        <w:tc>
          <w:tcPr>
            <w:tcW w:w="94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7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满意度指标</w:t>
            </w:r>
          </w:p>
        </w:tc>
        <w:tc>
          <w:tcPr>
            <w:tcW w:w="9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服务对象满意度指标</w:t>
            </w:r>
          </w:p>
        </w:tc>
        <w:tc>
          <w:tcPr>
            <w:tcW w:w="213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受益群众满意度</w:t>
            </w:r>
          </w:p>
        </w:tc>
        <w:tc>
          <w:tcPr>
            <w:tcW w:w="1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≥90%</w:t>
            </w:r>
          </w:p>
        </w:tc>
        <w:tc>
          <w:tcPr>
            <w:tcW w:w="12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95%</w:t>
            </w:r>
          </w:p>
        </w:tc>
        <w:tc>
          <w:tcPr>
            <w:tcW w:w="6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1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319" w:hRule="atLeast"/>
        </w:trPr>
        <w:tc>
          <w:tcPr>
            <w:tcW w:w="7414"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总分</w:t>
            </w:r>
          </w:p>
        </w:tc>
        <w:tc>
          <w:tcPr>
            <w:tcW w:w="6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bl>
    <w:p>
      <w:pPr>
        <w:numPr>
          <w:numId w:val="0"/>
        </w:numPr>
        <w:spacing w:line="540" w:lineRule="exact"/>
        <w:jc w:val="left"/>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10.2018-2019年度城市公交成品油价格补助资金项目</w:t>
      </w:r>
    </w:p>
    <w:tbl>
      <w:tblPr>
        <w:tblStyle w:val="13"/>
        <w:tblW w:w="10814" w:type="dxa"/>
        <w:tblInd w:w="-1066" w:type="dxa"/>
        <w:shd w:val="clear" w:color="auto" w:fill="auto"/>
        <w:tblLayout w:type="fixed"/>
        <w:tblCellMar>
          <w:top w:w="0" w:type="dxa"/>
          <w:left w:w="0" w:type="dxa"/>
          <w:bottom w:w="0" w:type="dxa"/>
          <w:right w:w="0" w:type="dxa"/>
        </w:tblCellMar>
      </w:tblPr>
      <w:tblGrid>
        <w:gridCol w:w="854"/>
        <w:gridCol w:w="874"/>
        <w:gridCol w:w="1180"/>
        <w:gridCol w:w="812"/>
        <w:gridCol w:w="902"/>
        <w:gridCol w:w="276"/>
        <w:gridCol w:w="930"/>
        <w:gridCol w:w="930"/>
        <w:gridCol w:w="210"/>
        <w:gridCol w:w="423"/>
        <w:gridCol w:w="517"/>
        <w:gridCol w:w="116"/>
        <w:gridCol w:w="710"/>
        <w:gridCol w:w="2080"/>
      </w:tblGrid>
      <w:tr>
        <w:tblPrEx>
          <w:shd w:val="clear" w:color="auto" w:fill="auto"/>
          <w:tblLayout w:type="fixed"/>
          <w:tblCellMar>
            <w:top w:w="0" w:type="dxa"/>
            <w:left w:w="0" w:type="dxa"/>
            <w:bottom w:w="0" w:type="dxa"/>
            <w:right w:w="0" w:type="dxa"/>
          </w:tblCellMar>
        </w:tblPrEx>
        <w:trPr>
          <w:trHeight w:val="405" w:hRule="atLeast"/>
        </w:trPr>
        <w:tc>
          <w:tcPr>
            <w:tcW w:w="10814"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highlight w:val="none"/>
                <w:u w:val="none"/>
              </w:rPr>
            </w:pPr>
            <w:r>
              <w:rPr>
                <w:rFonts w:hint="eastAsia" w:ascii="宋体" w:hAnsi="宋体" w:eastAsia="宋体" w:cs="宋体"/>
                <w:b/>
                <w:i w:val="0"/>
                <w:color w:val="000000"/>
                <w:kern w:val="0"/>
                <w:sz w:val="32"/>
                <w:szCs w:val="32"/>
                <w:highlight w:val="none"/>
                <w:u w:val="none"/>
                <w:lang w:val="en-US" w:eastAsia="zh-CN" w:bidi="ar"/>
              </w:rPr>
              <w:t>项目支出绩效自评表</w:t>
            </w:r>
          </w:p>
        </w:tc>
      </w:tr>
      <w:tr>
        <w:tblPrEx>
          <w:tblLayout w:type="fixed"/>
          <w:tblCellMar>
            <w:top w:w="0" w:type="dxa"/>
            <w:left w:w="0" w:type="dxa"/>
            <w:bottom w:w="0" w:type="dxa"/>
            <w:right w:w="0" w:type="dxa"/>
          </w:tblCellMar>
        </w:tblPrEx>
        <w:trPr>
          <w:trHeight w:val="405" w:hRule="atLeast"/>
        </w:trPr>
        <w:tc>
          <w:tcPr>
            <w:tcW w:w="10814"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（2019年度）</w:t>
            </w:r>
          </w:p>
        </w:tc>
      </w:tr>
      <w:tr>
        <w:tblPrEx>
          <w:tblLayout w:type="fixed"/>
          <w:tblCellMar>
            <w:top w:w="0" w:type="dxa"/>
            <w:left w:w="0" w:type="dxa"/>
            <w:bottom w:w="0" w:type="dxa"/>
            <w:right w:w="0" w:type="dxa"/>
          </w:tblCellMar>
        </w:tblPrEx>
        <w:trPr>
          <w:trHeight w:val="319" w:hRule="atLeast"/>
        </w:trPr>
        <w:tc>
          <w:tcPr>
            <w:tcW w:w="8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项目名称</w:t>
            </w:r>
          </w:p>
        </w:tc>
        <w:tc>
          <w:tcPr>
            <w:tcW w:w="9960" w:type="dxa"/>
            <w:gridSpan w:val="1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2018-2019年度城市公交成品油价格补助资金</w:t>
            </w:r>
          </w:p>
        </w:tc>
      </w:tr>
      <w:tr>
        <w:tblPrEx>
          <w:tblLayout w:type="fixed"/>
          <w:tblCellMar>
            <w:top w:w="0" w:type="dxa"/>
            <w:left w:w="0" w:type="dxa"/>
            <w:bottom w:w="0" w:type="dxa"/>
            <w:right w:w="0" w:type="dxa"/>
          </w:tblCellMar>
        </w:tblPrEx>
        <w:trPr>
          <w:trHeight w:val="319" w:hRule="atLeast"/>
        </w:trPr>
        <w:tc>
          <w:tcPr>
            <w:tcW w:w="8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主管部门</w:t>
            </w:r>
          </w:p>
        </w:tc>
        <w:tc>
          <w:tcPr>
            <w:tcW w:w="4974"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昌吉州交通运输局</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实施单位</w:t>
            </w:r>
          </w:p>
        </w:tc>
        <w:tc>
          <w:tcPr>
            <w:tcW w:w="384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吉木萨尔县交通运输局</w:t>
            </w:r>
          </w:p>
        </w:tc>
      </w:tr>
      <w:tr>
        <w:tblPrEx>
          <w:tblLayout w:type="fixed"/>
          <w:tblCellMar>
            <w:top w:w="0" w:type="dxa"/>
            <w:left w:w="0" w:type="dxa"/>
            <w:bottom w:w="0" w:type="dxa"/>
            <w:right w:w="0" w:type="dxa"/>
          </w:tblCellMar>
        </w:tblPrEx>
        <w:trPr>
          <w:trHeight w:val="319" w:hRule="atLeast"/>
        </w:trPr>
        <w:tc>
          <w:tcPr>
            <w:tcW w:w="85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项目资金       （万元）</w:t>
            </w:r>
          </w:p>
        </w:tc>
        <w:tc>
          <w:tcPr>
            <w:tcW w:w="286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年初预算数</w:t>
            </w:r>
          </w:p>
        </w:tc>
        <w:tc>
          <w:tcPr>
            <w:tcW w:w="12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全年预算数</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全年执行数</w:t>
            </w:r>
          </w:p>
        </w:tc>
        <w:tc>
          <w:tcPr>
            <w:tcW w:w="9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8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执行率</w:t>
            </w:r>
          </w:p>
        </w:tc>
        <w:tc>
          <w:tcPr>
            <w:tcW w:w="2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r>
      <w:tr>
        <w:tblPrEx>
          <w:tblLayout w:type="fixed"/>
          <w:tblCellMar>
            <w:top w:w="0" w:type="dxa"/>
            <w:left w:w="0" w:type="dxa"/>
            <w:bottom w:w="0" w:type="dxa"/>
            <w:right w:w="0" w:type="dxa"/>
          </w:tblCellMar>
        </w:tblPrEx>
        <w:trPr>
          <w:trHeight w:val="319"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86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年度资金总额</w:t>
            </w: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88.69</w:t>
            </w:r>
          </w:p>
        </w:tc>
        <w:tc>
          <w:tcPr>
            <w:tcW w:w="12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88.69</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88.69</w:t>
            </w:r>
          </w:p>
        </w:tc>
        <w:tc>
          <w:tcPr>
            <w:tcW w:w="9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8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2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r>
      <w:tr>
        <w:tblPrEx>
          <w:tblLayout w:type="fixed"/>
          <w:tblCellMar>
            <w:top w:w="0" w:type="dxa"/>
            <w:left w:w="0" w:type="dxa"/>
            <w:bottom w:w="0" w:type="dxa"/>
            <w:right w:w="0" w:type="dxa"/>
          </w:tblCellMar>
        </w:tblPrEx>
        <w:trPr>
          <w:trHeight w:val="319"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86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其中：当年财政拨款</w:t>
            </w: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88.69</w:t>
            </w:r>
          </w:p>
        </w:tc>
        <w:tc>
          <w:tcPr>
            <w:tcW w:w="12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88.69</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88.69</w:t>
            </w:r>
          </w:p>
        </w:tc>
        <w:tc>
          <w:tcPr>
            <w:tcW w:w="9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8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2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319"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86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上年结转资金</w:t>
            </w: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2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9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8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2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86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其他资金</w:t>
            </w: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2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9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8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2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85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年度总体目标</w:t>
            </w:r>
          </w:p>
        </w:tc>
        <w:tc>
          <w:tcPr>
            <w:tcW w:w="4974"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预期目标</w:t>
            </w:r>
          </w:p>
        </w:tc>
        <w:tc>
          <w:tcPr>
            <w:tcW w:w="4986"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实际完成情况</w:t>
            </w:r>
          </w:p>
        </w:tc>
      </w:tr>
      <w:tr>
        <w:tblPrEx>
          <w:tblLayout w:type="fixed"/>
          <w:tblCellMar>
            <w:top w:w="0" w:type="dxa"/>
            <w:left w:w="0" w:type="dxa"/>
            <w:bottom w:w="0" w:type="dxa"/>
            <w:right w:w="0" w:type="dxa"/>
          </w:tblCellMar>
        </w:tblPrEx>
        <w:trPr>
          <w:trHeight w:val="784"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974"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outlineLvl w:val="9"/>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 xml:space="preserve">2018-2019年度城市公交成品油价格补助资金：886951.98元，共有42辆公交车参加营运，享受成品油价格补助资金共计42标台（每辆车均为1标台），全部车辆发放到位。             </w:t>
            </w:r>
          </w:p>
        </w:tc>
        <w:tc>
          <w:tcPr>
            <w:tcW w:w="4986"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outlineLvl w:val="9"/>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已全部发放到位</w:t>
            </w:r>
          </w:p>
        </w:tc>
      </w:tr>
      <w:tr>
        <w:tblPrEx>
          <w:tblLayout w:type="fixed"/>
          <w:tblCellMar>
            <w:top w:w="0" w:type="dxa"/>
            <w:left w:w="0" w:type="dxa"/>
            <w:bottom w:w="0" w:type="dxa"/>
            <w:right w:w="0" w:type="dxa"/>
          </w:tblCellMar>
        </w:tblPrEx>
        <w:trPr>
          <w:trHeight w:val="319" w:hRule="atLeast"/>
        </w:trPr>
        <w:tc>
          <w:tcPr>
            <w:tcW w:w="854"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绩              效</w:t>
            </w:r>
          </w:p>
          <w:p>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指</w:t>
            </w:r>
          </w:p>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标</w:t>
            </w:r>
          </w:p>
        </w:tc>
        <w:tc>
          <w:tcPr>
            <w:tcW w:w="87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一级指标</w:t>
            </w:r>
          </w:p>
        </w:tc>
        <w:tc>
          <w:tcPr>
            <w:tcW w:w="11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二级指标</w:t>
            </w:r>
          </w:p>
        </w:tc>
        <w:tc>
          <w:tcPr>
            <w:tcW w:w="199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三级指标</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w:t>
            </w:r>
          </w:p>
        </w:tc>
        <w:tc>
          <w:tcPr>
            <w:tcW w:w="63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63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c>
          <w:tcPr>
            <w:tcW w:w="27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偏差原因分析及改进措施</w:t>
            </w:r>
          </w:p>
        </w:tc>
      </w:tr>
      <w:tr>
        <w:tblPrEx>
          <w:tblLayout w:type="fixed"/>
          <w:tblCellMar>
            <w:top w:w="0" w:type="dxa"/>
            <w:left w:w="0" w:type="dxa"/>
            <w:bottom w:w="0" w:type="dxa"/>
            <w:right w:w="0" w:type="dxa"/>
          </w:tblCellMar>
        </w:tblPrEx>
        <w:trPr>
          <w:trHeight w:val="319" w:hRule="atLeast"/>
        </w:trPr>
        <w:tc>
          <w:tcPr>
            <w:tcW w:w="85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9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指标值</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完成值</w:t>
            </w:r>
          </w:p>
        </w:tc>
        <w:tc>
          <w:tcPr>
            <w:tcW w:w="6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7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85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7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产出指标</w:t>
            </w:r>
          </w:p>
        </w:tc>
        <w:tc>
          <w:tcPr>
            <w:tcW w:w="11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数量指标</w:t>
            </w:r>
          </w:p>
        </w:tc>
        <w:tc>
          <w:tcPr>
            <w:tcW w:w="199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新增及更换公交车数量</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42辆</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42辆</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4</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4</w:t>
            </w:r>
          </w:p>
        </w:tc>
        <w:tc>
          <w:tcPr>
            <w:tcW w:w="710"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c>
          <w:tcPr>
            <w:tcW w:w="208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highlight w:val="none"/>
                <w:u w:val="none"/>
              </w:rPr>
            </w:pPr>
          </w:p>
        </w:tc>
      </w:tr>
      <w:tr>
        <w:tblPrEx>
          <w:tblLayout w:type="fixed"/>
          <w:tblCellMar>
            <w:top w:w="0" w:type="dxa"/>
            <w:left w:w="0" w:type="dxa"/>
            <w:bottom w:w="0" w:type="dxa"/>
            <w:right w:w="0" w:type="dxa"/>
          </w:tblCellMar>
        </w:tblPrEx>
        <w:trPr>
          <w:trHeight w:val="319" w:hRule="atLeast"/>
        </w:trPr>
        <w:tc>
          <w:tcPr>
            <w:tcW w:w="85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7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p>
        </w:tc>
        <w:tc>
          <w:tcPr>
            <w:tcW w:w="11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199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参加运营车辆标台数</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42</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42</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4</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4</w:t>
            </w: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r>
      <w:tr>
        <w:tblPrEx>
          <w:tblLayout w:type="fixed"/>
          <w:tblCellMar>
            <w:top w:w="0" w:type="dxa"/>
            <w:left w:w="0" w:type="dxa"/>
            <w:bottom w:w="0" w:type="dxa"/>
            <w:right w:w="0" w:type="dxa"/>
          </w:tblCellMar>
        </w:tblPrEx>
        <w:trPr>
          <w:trHeight w:val="319" w:hRule="atLeast"/>
        </w:trPr>
        <w:tc>
          <w:tcPr>
            <w:tcW w:w="85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7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11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质量指标</w:t>
            </w:r>
          </w:p>
        </w:tc>
        <w:tc>
          <w:tcPr>
            <w:tcW w:w="199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服务质量达到要求</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100%</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100%</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8</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8</w:t>
            </w: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r>
      <w:tr>
        <w:tblPrEx>
          <w:tblLayout w:type="fixed"/>
          <w:tblCellMar>
            <w:top w:w="0" w:type="dxa"/>
            <w:left w:w="0" w:type="dxa"/>
            <w:bottom w:w="0" w:type="dxa"/>
            <w:right w:w="0" w:type="dxa"/>
          </w:tblCellMar>
        </w:tblPrEx>
        <w:trPr>
          <w:trHeight w:val="319" w:hRule="atLeast"/>
        </w:trPr>
        <w:tc>
          <w:tcPr>
            <w:tcW w:w="85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7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11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1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发放对象覆盖率</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100%</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100%</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8</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8</w:t>
            </w: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r>
      <w:tr>
        <w:tblPrEx>
          <w:tblLayout w:type="fixed"/>
          <w:tblCellMar>
            <w:top w:w="0" w:type="dxa"/>
            <w:left w:w="0" w:type="dxa"/>
            <w:bottom w:w="0" w:type="dxa"/>
            <w:right w:w="0" w:type="dxa"/>
          </w:tblCellMar>
        </w:tblPrEx>
        <w:trPr>
          <w:trHeight w:val="319" w:hRule="atLeast"/>
        </w:trPr>
        <w:tc>
          <w:tcPr>
            <w:tcW w:w="85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7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时效指标</w:t>
            </w:r>
          </w:p>
        </w:tc>
        <w:tc>
          <w:tcPr>
            <w:tcW w:w="199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成品油补贴及时发放率</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100%</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100%</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8</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8</w:t>
            </w: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r>
      <w:tr>
        <w:tblPrEx>
          <w:tblLayout w:type="fixed"/>
          <w:tblCellMar>
            <w:top w:w="0" w:type="dxa"/>
            <w:left w:w="0" w:type="dxa"/>
            <w:bottom w:w="0" w:type="dxa"/>
            <w:right w:w="0" w:type="dxa"/>
          </w:tblCellMar>
        </w:tblPrEx>
        <w:trPr>
          <w:trHeight w:val="582" w:hRule="atLeast"/>
        </w:trPr>
        <w:tc>
          <w:tcPr>
            <w:tcW w:w="85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7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11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成本指标</w:t>
            </w:r>
          </w:p>
        </w:tc>
        <w:tc>
          <w:tcPr>
            <w:tcW w:w="199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2018年度城市公交成品油价格补助资金</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≦646832.47</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646832.47</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8</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8</w:t>
            </w: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r>
      <w:tr>
        <w:tblPrEx>
          <w:tblLayout w:type="fixed"/>
          <w:tblCellMar>
            <w:top w:w="0" w:type="dxa"/>
            <w:left w:w="0" w:type="dxa"/>
            <w:bottom w:w="0" w:type="dxa"/>
            <w:right w:w="0" w:type="dxa"/>
          </w:tblCellMar>
        </w:tblPrEx>
        <w:trPr>
          <w:trHeight w:val="600" w:hRule="atLeast"/>
        </w:trPr>
        <w:tc>
          <w:tcPr>
            <w:tcW w:w="85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7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11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199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2019年度城市公交成品油价格补助资金</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≦240119.51</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240119.51</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10</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10</w:t>
            </w: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r>
      <w:tr>
        <w:tblPrEx>
          <w:tblLayout w:type="fixed"/>
          <w:tblCellMar>
            <w:top w:w="0" w:type="dxa"/>
            <w:left w:w="0" w:type="dxa"/>
            <w:bottom w:w="0" w:type="dxa"/>
            <w:right w:w="0" w:type="dxa"/>
          </w:tblCellMar>
        </w:tblPrEx>
        <w:trPr>
          <w:trHeight w:val="293" w:hRule="atLeast"/>
        </w:trPr>
        <w:tc>
          <w:tcPr>
            <w:tcW w:w="85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7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效益指标</w:t>
            </w:r>
          </w:p>
        </w:tc>
        <w:tc>
          <w:tcPr>
            <w:tcW w:w="11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经济效益指标</w:t>
            </w:r>
          </w:p>
        </w:tc>
        <w:tc>
          <w:tcPr>
            <w:tcW w:w="199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c>
          <w:tcPr>
            <w:tcW w:w="930"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r>
      <w:tr>
        <w:tblPrEx>
          <w:tblLayout w:type="fixed"/>
          <w:tblCellMar>
            <w:top w:w="0" w:type="dxa"/>
            <w:left w:w="0" w:type="dxa"/>
            <w:bottom w:w="0" w:type="dxa"/>
            <w:right w:w="0" w:type="dxa"/>
          </w:tblCellMar>
        </w:tblPrEx>
        <w:trPr>
          <w:trHeight w:val="517" w:hRule="atLeast"/>
        </w:trPr>
        <w:tc>
          <w:tcPr>
            <w:tcW w:w="85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1180" w:type="dxa"/>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社会效益指标</w:t>
            </w:r>
          </w:p>
        </w:tc>
        <w:tc>
          <w:tcPr>
            <w:tcW w:w="199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为带动我县经济发展</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有效带动经济发展</w:t>
            </w:r>
          </w:p>
        </w:tc>
        <w:tc>
          <w:tcPr>
            <w:tcW w:w="93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有效</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8</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8</w:t>
            </w: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r>
      <w:tr>
        <w:tblPrEx>
          <w:tblLayout w:type="fixed"/>
          <w:tblCellMar>
            <w:top w:w="0" w:type="dxa"/>
            <w:left w:w="0" w:type="dxa"/>
            <w:bottom w:w="0" w:type="dxa"/>
            <w:right w:w="0" w:type="dxa"/>
          </w:tblCellMar>
        </w:tblPrEx>
        <w:trPr>
          <w:trHeight w:val="727" w:hRule="atLeast"/>
        </w:trPr>
        <w:tc>
          <w:tcPr>
            <w:tcW w:w="85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118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生态效益指标</w:t>
            </w:r>
          </w:p>
        </w:tc>
        <w:tc>
          <w:tcPr>
            <w:tcW w:w="199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车辆符合环境保护相关要求</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Calibri" w:hAnsi="Calibri" w:eastAsia="宋体" w:cs="Calibri"/>
                <w:i w:val="0"/>
                <w:color w:val="000000"/>
                <w:sz w:val="18"/>
                <w:szCs w:val="18"/>
                <w:highlight w:val="none"/>
                <w:u w:val="none"/>
              </w:rPr>
            </w:pPr>
            <w:r>
              <w:rPr>
                <w:rStyle w:val="19"/>
                <w:rFonts w:eastAsia="宋体"/>
                <w:sz w:val="18"/>
                <w:szCs w:val="18"/>
                <w:highlight w:val="none"/>
                <w:lang w:val="en-US" w:eastAsia="zh-CN" w:bidi="ar"/>
              </w:rPr>
              <w:t>42</w:t>
            </w:r>
            <w:r>
              <w:rPr>
                <w:rFonts w:hint="eastAsia" w:ascii="宋体" w:hAnsi="宋体" w:eastAsia="宋体" w:cs="宋体"/>
                <w:i w:val="0"/>
                <w:color w:val="000000"/>
                <w:kern w:val="0"/>
                <w:sz w:val="18"/>
                <w:szCs w:val="18"/>
                <w:highlight w:val="none"/>
                <w:u w:val="none"/>
                <w:lang w:val="en-US" w:eastAsia="zh-CN" w:bidi="ar"/>
              </w:rPr>
              <w:t>辆公交车全部为天然气车辆</w:t>
            </w:r>
          </w:p>
        </w:tc>
        <w:tc>
          <w:tcPr>
            <w:tcW w:w="93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100%</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8</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8</w:t>
            </w: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r>
      <w:tr>
        <w:tblPrEx>
          <w:tblLayout w:type="fixed"/>
          <w:tblCellMar>
            <w:top w:w="0" w:type="dxa"/>
            <w:left w:w="0" w:type="dxa"/>
            <w:bottom w:w="0" w:type="dxa"/>
            <w:right w:w="0" w:type="dxa"/>
          </w:tblCellMar>
        </w:tblPrEx>
        <w:trPr>
          <w:trHeight w:val="564" w:hRule="atLeast"/>
        </w:trPr>
        <w:tc>
          <w:tcPr>
            <w:tcW w:w="85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11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可持续影响指标</w:t>
            </w:r>
          </w:p>
        </w:tc>
        <w:tc>
          <w:tcPr>
            <w:tcW w:w="199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成品油价格补助资金保障我县公交车正常运营</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有效</w:t>
            </w:r>
          </w:p>
        </w:tc>
        <w:tc>
          <w:tcPr>
            <w:tcW w:w="93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有效</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8</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8</w:t>
            </w: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r>
      <w:tr>
        <w:tblPrEx>
          <w:tblLayout w:type="fixed"/>
          <w:tblCellMar>
            <w:top w:w="0" w:type="dxa"/>
            <w:left w:w="0" w:type="dxa"/>
            <w:bottom w:w="0" w:type="dxa"/>
            <w:right w:w="0" w:type="dxa"/>
          </w:tblCellMar>
        </w:tblPrEx>
        <w:trPr>
          <w:trHeight w:val="422" w:hRule="atLeast"/>
        </w:trPr>
        <w:tc>
          <w:tcPr>
            <w:tcW w:w="85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11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199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车辆使用年限</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Calibri" w:hAnsi="Calibri" w:eastAsia="宋体" w:cs="Calibri"/>
                <w:i w:val="0"/>
                <w:color w:val="000000"/>
                <w:sz w:val="18"/>
                <w:szCs w:val="18"/>
                <w:highlight w:val="none"/>
                <w:u w:val="none"/>
              </w:rPr>
            </w:pPr>
            <w:r>
              <w:rPr>
                <w:rStyle w:val="19"/>
                <w:rFonts w:eastAsia="宋体"/>
                <w:sz w:val="18"/>
                <w:szCs w:val="18"/>
                <w:highlight w:val="none"/>
                <w:lang w:val="en-US" w:eastAsia="zh-CN" w:bidi="ar"/>
              </w:rPr>
              <w:t>8</w:t>
            </w:r>
            <w:r>
              <w:rPr>
                <w:rFonts w:hint="eastAsia" w:ascii="宋体" w:hAnsi="宋体" w:eastAsia="宋体" w:cs="宋体"/>
                <w:i w:val="0"/>
                <w:color w:val="000000"/>
                <w:kern w:val="0"/>
                <w:sz w:val="18"/>
                <w:szCs w:val="18"/>
                <w:highlight w:val="none"/>
                <w:u w:val="none"/>
                <w:lang w:val="en-US" w:eastAsia="zh-CN" w:bidi="ar"/>
              </w:rPr>
              <w:t>年</w:t>
            </w:r>
            <w:r>
              <w:rPr>
                <w:rStyle w:val="19"/>
                <w:rFonts w:eastAsia="宋体"/>
                <w:sz w:val="18"/>
                <w:szCs w:val="18"/>
                <w:highlight w:val="none"/>
                <w:lang w:val="en-US" w:eastAsia="zh-CN" w:bidi="ar"/>
              </w:rPr>
              <w:t>/</w:t>
            </w:r>
            <w:r>
              <w:rPr>
                <w:rFonts w:hint="eastAsia" w:ascii="宋体" w:hAnsi="宋体" w:eastAsia="宋体" w:cs="宋体"/>
                <w:i w:val="0"/>
                <w:color w:val="000000"/>
                <w:kern w:val="0"/>
                <w:sz w:val="18"/>
                <w:szCs w:val="18"/>
                <w:highlight w:val="none"/>
                <w:u w:val="none"/>
                <w:lang w:val="en-US" w:eastAsia="zh-CN" w:bidi="ar"/>
              </w:rPr>
              <w:t>辆</w:t>
            </w:r>
          </w:p>
        </w:tc>
        <w:tc>
          <w:tcPr>
            <w:tcW w:w="93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6</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6</w:t>
            </w: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r>
      <w:tr>
        <w:tblPrEx>
          <w:tblLayout w:type="fixed"/>
          <w:tblCellMar>
            <w:top w:w="0" w:type="dxa"/>
            <w:left w:w="0" w:type="dxa"/>
            <w:bottom w:w="0" w:type="dxa"/>
            <w:right w:w="0" w:type="dxa"/>
          </w:tblCellMar>
        </w:tblPrEx>
        <w:trPr>
          <w:trHeight w:val="644" w:hRule="atLeast"/>
        </w:trPr>
        <w:tc>
          <w:tcPr>
            <w:tcW w:w="85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87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满意度指标</w:t>
            </w:r>
          </w:p>
        </w:tc>
        <w:tc>
          <w:tcPr>
            <w:tcW w:w="11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服务对象满意度指标</w:t>
            </w:r>
          </w:p>
        </w:tc>
        <w:tc>
          <w:tcPr>
            <w:tcW w:w="199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 xml:space="preserve"> 受益群体满意度（%）</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Calibri" w:hAnsi="Calibri" w:eastAsia="宋体" w:cs="Calibri"/>
                <w:i w:val="0"/>
                <w:color w:val="000000"/>
                <w:sz w:val="18"/>
                <w:szCs w:val="18"/>
                <w:highlight w:val="none"/>
                <w:u w:val="none"/>
              </w:rPr>
            </w:pPr>
            <w:r>
              <w:rPr>
                <w:rFonts w:hint="default" w:ascii="Calibri" w:hAnsi="Calibri" w:eastAsia="宋体" w:cs="Calibri"/>
                <w:i w:val="0"/>
                <w:color w:val="000000"/>
                <w:kern w:val="0"/>
                <w:sz w:val="18"/>
                <w:szCs w:val="18"/>
                <w:highlight w:val="none"/>
                <w:u w:val="none"/>
                <w:lang w:val="en-US" w:eastAsia="zh-CN" w:bidi="ar"/>
              </w:rPr>
              <w:t>≥90%</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Calibri" w:hAnsi="Calibri" w:eastAsia="宋体" w:cs="Calibri"/>
                <w:i w:val="0"/>
                <w:color w:val="000000"/>
                <w:sz w:val="18"/>
                <w:szCs w:val="18"/>
                <w:highlight w:val="none"/>
                <w:u w:val="none"/>
              </w:rPr>
            </w:pPr>
            <w:r>
              <w:rPr>
                <w:rFonts w:hint="default" w:ascii="Calibri" w:hAnsi="Calibri" w:eastAsia="宋体" w:cs="Calibri"/>
                <w:i w:val="0"/>
                <w:color w:val="000000"/>
                <w:kern w:val="0"/>
                <w:sz w:val="18"/>
                <w:szCs w:val="18"/>
                <w:highlight w:val="none"/>
                <w:u w:val="none"/>
                <w:lang w:val="en-US" w:eastAsia="zh-CN" w:bidi="ar"/>
              </w:rPr>
              <w:t>90%</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10</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10</w:t>
            </w: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r>
      <w:tr>
        <w:tblPrEx>
          <w:tblLayout w:type="fixed"/>
          <w:tblCellMar>
            <w:top w:w="0" w:type="dxa"/>
            <w:left w:w="0" w:type="dxa"/>
            <w:bottom w:w="0" w:type="dxa"/>
            <w:right w:w="0" w:type="dxa"/>
          </w:tblCellMar>
        </w:tblPrEx>
        <w:trPr>
          <w:trHeight w:val="319" w:hRule="atLeast"/>
        </w:trPr>
        <w:tc>
          <w:tcPr>
            <w:tcW w:w="6758"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总分</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100</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100</w:t>
            </w: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r>
    </w:tbl>
    <w:p>
      <w:pPr>
        <w:numPr>
          <w:ilvl w:val="0"/>
          <w:numId w:val="0"/>
        </w:numPr>
        <w:spacing w:line="540" w:lineRule="exact"/>
        <w:ind w:leftChars="200"/>
        <w:jc w:val="left"/>
        <w:rPr>
          <w:rFonts w:hint="default" w:ascii="仿宋_GB2312" w:eastAsia="仿宋_GB2312"/>
          <w:sz w:val="32"/>
          <w:szCs w:val="32"/>
          <w:highlight w:val="none"/>
          <w:lang w:val="en-US" w:eastAsia="zh-CN"/>
        </w:rPr>
      </w:pPr>
    </w:p>
    <w:p>
      <w:pPr>
        <w:numPr>
          <w:numId w:val="0"/>
        </w:numPr>
        <w:spacing w:line="540" w:lineRule="exact"/>
        <w:ind w:leftChars="200"/>
        <w:jc w:val="left"/>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11.2018年城乡道路客运成品油价格补贴补助资金项目</w:t>
      </w:r>
    </w:p>
    <w:tbl>
      <w:tblPr>
        <w:tblStyle w:val="13"/>
        <w:tblW w:w="10707" w:type="dxa"/>
        <w:tblInd w:w="-1146" w:type="dxa"/>
        <w:shd w:val="clear" w:color="auto" w:fill="auto"/>
        <w:tblLayout w:type="fixed"/>
        <w:tblCellMar>
          <w:top w:w="0" w:type="dxa"/>
          <w:left w:w="0" w:type="dxa"/>
          <w:bottom w:w="0" w:type="dxa"/>
          <w:right w:w="0" w:type="dxa"/>
        </w:tblCellMar>
      </w:tblPr>
      <w:tblGrid>
        <w:gridCol w:w="680"/>
        <w:gridCol w:w="627"/>
        <w:gridCol w:w="507"/>
        <w:gridCol w:w="1193"/>
        <w:gridCol w:w="513"/>
        <w:gridCol w:w="1215"/>
        <w:gridCol w:w="283"/>
        <w:gridCol w:w="902"/>
        <w:gridCol w:w="877"/>
        <w:gridCol w:w="217"/>
        <w:gridCol w:w="430"/>
        <w:gridCol w:w="524"/>
        <w:gridCol w:w="123"/>
        <w:gridCol w:w="717"/>
        <w:gridCol w:w="1899"/>
      </w:tblGrid>
      <w:tr>
        <w:tblPrEx>
          <w:shd w:val="clear" w:color="auto" w:fill="auto"/>
          <w:tblLayout w:type="fixed"/>
          <w:tblCellMar>
            <w:top w:w="0" w:type="dxa"/>
            <w:left w:w="0" w:type="dxa"/>
            <w:bottom w:w="0" w:type="dxa"/>
            <w:right w:w="0" w:type="dxa"/>
          </w:tblCellMar>
        </w:tblPrEx>
        <w:trPr>
          <w:trHeight w:val="405" w:hRule="atLeast"/>
        </w:trPr>
        <w:tc>
          <w:tcPr>
            <w:tcW w:w="10707" w:type="dxa"/>
            <w:gridSpan w:val="15"/>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highlight w:val="none"/>
                <w:u w:val="none"/>
              </w:rPr>
            </w:pPr>
            <w:r>
              <w:rPr>
                <w:rFonts w:hint="eastAsia" w:ascii="宋体" w:hAnsi="宋体" w:eastAsia="宋体" w:cs="宋体"/>
                <w:b/>
                <w:i w:val="0"/>
                <w:color w:val="000000"/>
                <w:kern w:val="0"/>
                <w:sz w:val="32"/>
                <w:szCs w:val="32"/>
                <w:highlight w:val="none"/>
                <w:u w:val="none"/>
                <w:lang w:val="en-US" w:eastAsia="zh-CN" w:bidi="ar"/>
              </w:rPr>
              <w:t>项目支出绩效自评表</w:t>
            </w:r>
          </w:p>
        </w:tc>
      </w:tr>
      <w:tr>
        <w:tblPrEx>
          <w:tblLayout w:type="fixed"/>
          <w:tblCellMar>
            <w:top w:w="0" w:type="dxa"/>
            <w:left w:w="0" w:type="dxa"/>
            <w:bottom w:w="0" w:type="dxa"/>
            <w:right w:w="0" w:type="dxa"/>
          </w:tblCellMar>
        </w:tblPrEx>
        <w:trPr>
          <w:trHeight w:val="405" w:hRule="atLeast"/>
        </w:trPr>
        <w:tc>
          <w:tcPr>
            <w:tcW w:w="10707" w:type="dxa"/>
            <w:gridSpan w:val="15"/>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（2019年度）</w:t>
            </w:r>
          </w:p>
        </w:tc>
      </w:tr>
      <w:tr>
        <w:tblPrEx>
          <w:tblLayout w:type="fixed"/>
          <w:tblCellMar>
            <w:top w:w="0" w:type="dxa"/>
            <w:left w:w="0" w:type="dxa"/>
            <w:bottom w:w="0" w:type="dxa"/>
            <w:right w:w="0" w:type="dxa"/>
          </w:tblCellMar>
        </w:tblPrEx>
        <w:trPr>
          <w:trHeight w:val="319" w:hRule="atLeast"/>
        </w:trPr>
        <w:tc>
          <w:tcPr>
            <w:tcW w:w="130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项目名称</w:t>
            </w:r>
          </w:p>
        </w:tc>
        <w:tc>
          <w:tcPr>
            <w:tcW w:w="9400" w:type="dxa"/>
            <w:gridSpan w:val="1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2018年城乡道路客运成品油价格补贴补助资金</w:t>
            </w:r>
          </w:p>
        </w:tc>
      </w:tr>
      <w:tr>
        <w:tblPrEx>
          <w:tblLayout w:type="fixed"/>
          <w:tblCellMar>
            <w:top w:w="0" w:type="dxa"/>
            <w:left w:w="0" w:type="dxa"/>
            <w:bottom w:w="0" w:type="dxa"/>
            <w:right w:w="0" w:type="dxa"/>
          </w:tblCellMar>
        </w:tblPrEx>
        <w:trPr>
          <w:trHeight w:val="319" w:hRule="atLeast"/>
        </w:trPr>
        <w:tc>
          <w:tcPr>
            <w:tcW w:w="130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主管部门</w:t>
            </w:r>
          </w:p>
        </w:tc>
        <w:tc>
          <w:tcPr>
            <w:tcW w:w="461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吉木萨尔县道路运输管理局</w:t>
            </w:r>
          </w:p>
        </w:tc>
        <w:tc>
          <w:tcPr>
            <w:tcW w:w="109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实施单位</w:t>
            </w:r>
          </w:p>
        </w:tc>
        <w:tc>
          <w:tcPr>
            <w:tcW w:w="369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吉木萨尔县道路运输管理局</w:t>
            </w:r>
          </w:p>
        </w:tc>
      </w:tr>
      <w:tr>
        <w:tblPrEx>
          <w:tblLayout w:type="fixed"/>
          <w:tblCellMar>
            <w:top w:w="0" w:type="dxa"/>
            <w:left w:w="0" w:type="dxa"/>
            <w:bottom w:w="0" w:type="dxa"/>
            <w:right w:w="0" w:type="dxa"/>
          </w:tblCellMar>
        </w:tblPrEx>
        <w:trPr>
          <w:trHeight w:val="319" w:hRule="atLeast"/>
        </w:trPr>
        <w:tc>
          <w:tcPr>
            <w:tcW w:w="130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项目资金       （万元）</w:t>
            </w:r>
          </w:p>
        </w:tc>
        <w:tc>
          <w:tcPr>
            <w:tcW w:w="221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年初预算数</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全年预算数</w:t>
            </w:r>
          </w:p>
        </w:tc>
        <w:tc>
          <w:tcPr>
            <w:tcW w:w="109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全年执行数</w:t>
            </w:r>
          </w:p>
        </w:tc>
        <w:tc>
          <w:tcPr>
            <w:tcW w:w="9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执行率</w:t>
            </w:r>
          </w:p>
        </w:tc>
        <w:tc>
          <w:tcPr>
            <w:tcW w:w="18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r>
      <w:tr>
        <w:tblPrEx>
          <w:tblLayout w:type="fixed"/>
          <w:tblCellMar>
            <w:top w:w="0" w:type="dxa"/>
            <w:left w:w="0" w:type="dxa"/>
            <w:bottom w:w="0" w:type="dxa"/>
            <w:right w:w="0" w:type="dxa"/>
          </w:tblCellMar>
        </w:tblPrEx>
        <w:trPr>
          <w:trHeight w:val="319" w:hRule="atLeast"/>
        </w:trPr>
        <w:tc>
          <w:tcPr>
            <w:tcW w:w="130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21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年度资金总额</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451.53</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451.53</w:t>
            </w:r>
          </w:p>
        </w:tc>
        <w:tc>
          <w:tcPr>
            <w:tcW w:w="109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451.53</w:t>
            </w:r>
          </w:p>
        </w:tc>
        <w:tc>
          <w:tcPr>
            <w:tcW w:w="9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8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r>
      <w:tr>
        <w:tblPrEx>
          <w:tblLayout w:type="fixed"/>
          <w:tblCellMar>
            <w:top w:w="0" w:type="dxa"/>
            <w:left w:w="0" w:type="dxa"/>
            <w:bottom w:w="0" w:type="dxa"/>
            <w:right w:w="0" w:type="dxa"/>
          </w:tblCellMar>
        </w:tblPrEx>
        <w:trPr>
          <w:trHeight w:val="319" w:hRule="atLeast"/>
        </w:trPr>
        <w:tc>
          <w:tcPr>
            <w:tcW w:w="130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21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其中：当年财政拨款</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451.53</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451.53</w:t>
            </w:r>
          </w:p>
        </w:tc>
        <w:tc>
          <w:tcPr>
            <w:tcW w:w="109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451.53</w:t>
            </w:r>
          </w:p>
        </w:tc>
        <w:tc>
          <w:tcPr>
            <w:tcW w:w="9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8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r>
      <w:tr>
        <w:tblPrEx>
          <w:tblLayout w:type="fixed"/>
          <w:tblCellMar>
            <w:top w:w="0" w:type="dxa"/>
            <w:left w:w="0" w:type="dxa"/>
            <w:bottom w:w="0" w:type="dxa"/>
            <w:right w:w="0" w:type="dxa"/>
          </w:tblCellMar>
        </w:tblPrEx>
        <w:trPr>
          <w:trHeight w:val="319" w:hRule="atLeast"/>
        </w:trPr>
        <w:tc>
          <w:tcPr>
            <w:tcW w:w="130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21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上年结转资金</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09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9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8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130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21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其他资金</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09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9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c>
          <w:tcPr>
            <w:tcW w:w="18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6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年度总体目标</w:t>
            </w:r>
          </w:p>
        </w:tc>
        <w:tc>
          <w:tcPr>
            <w:tcW w:w="524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预期目标</w:t>
            </w:r>
          </w:p>
        </w:tc>
        <w:tc>
          <w:tcPr>
            <w:tcW w:w="478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实际完成情况</w:t>
            </w:r>
          </w:p>
        </w:tc>
      </w:tr>
      <w:tr>
        <w:tblPrEx>
          <w:tblLayout w:type="fixed"/>
          <w:tblCellMar>
            <w:top w:w="0" w:type="dxa"/>
            <w:left w:w="0" w:type="dxa"/>
            <w:bottom w:w="0" w:type="dxa"/>
            <w:right w:w="0" w:type="dxa"/>
          </w:tblCellMar>
        </w:tblPrEx>
        <w:trPr>
          <w:trHeight w:val="855" w:hRule="atLeast"/>
        </w:trPr>
        <w:tc>
          <w:tcPr>
            <w:tcW w:w="6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24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支持农村客运承担社会公益义务，切实解决客运经营者的经济负担，减轻地方财政压力，方便各族群众出行，做到全县各乡镇、行政村村村通。</w:t>
            </w:r>
          </w:p>
        </w:tc>
        <w:tc>
          <w:tcPr>
            <w:tcW w:w="478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已全部发放到位</w:t>
            </w:r>
          </w:p>
        </w:tc>
      </w:tr>
      <w:tr>
        <w:tblPrEx>
          <w:tblLayout w:type="fixed"/>
          <w:tblCellMar>
            <w:top w:w="0" w:type="dxa"/>
            <w:left w:w="0" w:type="dxa"/>
            <w:bottom w:w="0" w:type="dxa"/>
            <w:right w:w="0" w:type="dxa"/>
          </w:tblCellMar>
        </w:tblPrEx>
        <w:trPr>
          <w:trHeight w:val="319" w:hRule="atLeast"/>
        </w:trPr>
        <w:tc>
          <w:tcPr>
            <w:tcW w:w="68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绩              效    指    标</w:t>
            </w:r>
          </w:p>
        </w:tc>
        <w:tc>
          <w:tcPr>
            <w:tcW w:w="113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一级指标</w:t>
            </w:r>
          </w:p>
        </w:tc>
        <w:tc>
          <w:tcPr>
            <w:tcW w:w="119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二级指标</w:t>
            </w:r>
          </w:p>
        </w:tc>
        <w:tc>
          <w:tcPr>
            <w:tcW w:w="201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三级指标</w:t>
            </w: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w:t>
            </w:r>
          </w:p>
        </w:tc>
        <w:tc>
          <w:tcPr>
            <w:tcW w:w="8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w:t>
            </w:r>
          </w:p>
        </w:tc>
        <w:tc>
          <w:tcPr>
            <w:tcW w:w="64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w:t>
            </w:r>
          </w:p>
        </w:tc>
        <w:tc>
          <w:tcPr>
            <w:tcW w:w="64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c>
          <w:tcPr>
            <w:tcW w:w="261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偏差原因分析及改进措施</w:t>
            </w:r>
          </w:p>
        </w:tc>
      </w:tr>
      <w:tr>
        <w:tblPrEx>
          <w:tblLayout w:type="fixed"/>
          <w:tblCellMar>
            <w:top w:w="0" w:type="dxa"/>
            <w:left w:w="0" w:type="dxa"/>
            <w:bottom w:w="0" w:type="dxa"/>
            <w:right w:w="0" w:type="dxa"/>
          </w:tblCellMar>
        </w:tblPrEx>
        <w:trPr>
          <w:trHeight w:val="319"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01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指标值</w:t>
            </w:r>
          </w:p>
        </w:tc>
        <w:tc>
          <w:tcPr>
            <w:tcW w:w="8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完成值</w:t>
            </w:r>
          </w:p>
        </w:tc>
        <w:tc>
          <w:tcPr>
            <w:tcW w:w="64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4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6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3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产出指标</w:t>
            </w:r>
          </w:p>
        </w:tc>
        <w:tc>
          <w:tcPr>
            <w:tcW w:w="1193"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数量指标</w:t>
            </w:r>
          </w:p>
        </w:tc>
        <w:tc>
          <w:tcPr>
            <w:tcW w:w="201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无变更车辆数</w:t>
            </w: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194</w:t>
            </w:r>
          </w:p>
        </w:tc>
        <w:tc>
          <w:tcPr>
            <w:tcW w:w="8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194</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26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319"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9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01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报废、注销车辆数</w:t>
            </w: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18</w:t>
            </w:r>
          </w:p>
        </w:tc>
        <w:tc>
          <w:tcPr>
            <w:tcW w:w="8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18</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26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319"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9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01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更新车辆数</w:t>
            </w: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w:t>
            </w:r>
          </w:p>
        </w:tc>
        <w:tc>
          <w:tcPr>
            <w:tcW w:w="8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9</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26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319"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9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01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新增车辆数</w:t>
            </w: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8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26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319"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9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质量指标</w:t>
            </w:r>
          </w:p>
        </w:tc>
        <w:tc>
          <w:tcPr>
            <w:tcW w:w="201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营运天数达到要求</w:t>
            </w: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8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26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319"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011"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发放对象覆盖率</w:t>
            </w: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8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26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319"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9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时效指标</w:t>
            </w:r>
          </w:p>
        </w:tc>
        <w:tc>
          <w:tcPr>
            <w:tcW w:w="201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是否按照规定规定线路发车</w:t>
            </w: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是</w:t>
            </w:r>
          </w:p>
        </w:tc>
        <w:tc>
          <w:tcPr>
            <w:tcW w:w="8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是</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w:t>
            </w:r>
          </w:p>
        </w:tc>
        <w:tc>
          <w:tcPr>
            <w:tcW w:w="26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319"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201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是否达到规定天数</w:t>
            </w: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是</w:t>
            </w:r>
          </w:p>
        </w:tc>
        <w:tc>
          <w:tcPr>
            <w:tcW w:w="8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是</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w:t>
            </w:r>
          </w:p>
        </w:tc>
        <w:tc>
          <w:tcPr>
            <w:tcW w:w="26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960"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成本指标</w:t>
            </w:r>
          </w:p>
        </w:tc>
        <w:tc>
          <w:tcPr>
            <w:tcW w:w="201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2018年度农村水运客运 城乡道路客运成品油价格补贴补助资金预算</w:t>
            </w: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≦451.53万元</w:t>
            </w:r>
          </w:p>
        </w:tc>
        <w:tc>
          <w:tcPr>
            <w:tcW w:w="8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451.53万元</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w:t>
            </w:r>
          </w:p>
        </w:tc>
        <w:tc>
          <w:tcPr>
            <w:tcW w:w="26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600"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3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效益指标</w:t>
            </w:r>
          </w:p>
        </w:tc>
        <w:tc>
          <w:tcPr>
            <w:tcW w:w="119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经济效益指标</w:t>
            </w:r>
          </w:p>
        </w:tc>
        <w:tc>
          <w:tcPr>
            <w:tcW w:w="201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为经济社会发展起推动作用</w:t>
            </w:r>
          </w:p>
        </w:tc>
        <w:tc>
          <w:tcPr>
            <w:tcW w:w="902"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已起到推动作用</w:t>
            </w:r>
          </w:p>
        </w:tc>
        <w:tc>
          <w:tcPr>
            <w:tcW w:w="8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达到作用</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26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808"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9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社会效益指标</w:t>
            </w:r>
          </w:p>
        </w:tc>
        <w:tc>
          <w:tcPr>
            <w:tcW w:w="201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为带动我县经济发展</w:t>
            </w: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有效带动经济发展</w:t>
            </w:r>
          </w:p>
        </w:tc>
        <w:tc>
          <w:tcPr>
            <w:tcW w:w="877"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有效</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26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660"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可持续影响指标</w:t>
            </w:r>
          </w:p>
        </w:tc>
        <w:tc>
          <w:tcPr>
            <w:tcW w:w="201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车辆使用年限</w:t>
            </w: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Style w:val="20"/>
                <w:highlight w:val="none"/>
                <w:lang w:val="en-US" w:eastAsia="zh-CN" w:bidi="ar"/>
              </w:rPr>
              <w:t>10年</w:t>
            </w:r>
            <w:r>
              <w:rPr>
                <w:rFonts w:ascii="Calibri" w:hAnsi="Calibri" w:eastAsia="宋体" w:cs="Calibri"/>
                <w:i w:val="0"/>
                <w:color w:val="000000"/>
                <w:kern w:val="0"/>
                <w:sz w:val="20"/>
                <w:szCs w:val="20"/>
                <w:highlight w:val="none"/>
                <w:u w:val="none"/>
                <w:lang w:val="en-US" w:eastAsia="zh-CN" w:bidi="ar"/>
              </w:rPr>
              <w:t>/</w:t>
            </w:r>
            <w:r>
              <w:rPr>
                <w:rStyle w:val="20"/>
                <w:highlight w:val="none"/>
                <w:lang w:val="en-US" w:eastAsia="zh-CN" w:bidi="ar"/>
              </w:rPr>
              <w:t>辆</w:t>
            </w:r>
          </w:p>
        </w:tc>
        <w:tc>
          <w:tcPr>
            <w:tcW w:w="877"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26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lang w:val="en-US" w:eastAsia="zh-CN"/>
              </w:rPr>
            </w:pPr>
            <w:r>
              <w:rPr>
                <w:rFonts w:hint="eastAsia" w:ascii="宋体" w:hAnsi="宋体" w:eastAsia="宋体" w:cs="宋体"/>
                <w:i w:val="0"/>
                <w:color w:val="000000"/>
                <w:sz w:val="20"/>
                <w:szCs w:val="20"/>
                <w:highlight w:val="none"/>
                <w:u w:val="none"/>
                <w:lang w:val="en-US" w:eastAsia="zh-CN"/>
              </w:rPr>
              <w:t>-</w:t>
            </w:r>
          </w:p>
        </w:tc>
      </w:tr>
      <w:tr>
        <w:tblPrEx>
          <w:tblLayout w:type="fixed"/>
          <w:tblCellMar>
            <w:top w:w="0" w:type="dxa"/>
            <w:left w:w="0" w:type="dxa"/>
            <w:bottom w:w="0" w:type="dxa"/>
            <w:right w:w="0" w:type="dxa"/>
          </w:tblCellMar>
        </w:tblPrEx>
        <w:trPr>
          <w:trHeight w:val="1002" w:hRule="atLeast"/>
        </w:trPr>
        <w:tc>
          <w:tcPr>
            <w:tcW w:w="6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134"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满意度指标</w:t>
            </w:r>
          </w:p>
        </w:tc>
        <w:tc>
          <w:tcPr>
            <w:tcW w:w="11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服务对象满意度指标</w:t>
            </w:r>
          </w:p>
        </w:tc>
        <w:tc>
          <w:tcPr>
            <w:tcW w:w="201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 受益群体满意度（%）</w:t>
            </w: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Calibri" w:hAnsi="Calibri" w:eastAsia="宋体" w:cs="Calibri"/>
                <w:i w:val="0"/>
                <w:color w:val="000000"/>
                <w:sz w:val="20"/>
                <w:szCs w:val="20"/>
                <w:highlight w:val="none"/>
                <w:u w:val="none"/>
              </w:rPr>
            </w:pPr>
            <w:r>
              <w:rPr>
                <w:rFonts w:hint="default" w:ascii="Calibri" w:hAnsi="Calibri" w:eastAsia="宋体" w:cs="Calibri"/>
                <w:i w:val="0"/>
                <w:color w:val="000000"/>
                <w:kern w:val="0"/>
                <w:sz w:val="20"/>
                <w:szCs w:val="20"/>
                <w:highlight w:val="none"/>
                <w:u w:val="none"/>
                <w:lang w:val="en-US" w:eastAsia="zh-CN" w:bidi="ar"/>
              </w:rPr>
              <w:t>≥90%</w:t>
            </w:r>
          </w:p>
        </w:tc>
        <w:tc>
          <w:tcPr>
            <w:tcW w:w="8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Calibri" w:hAnsi="Calibri" w:eastAsia="宋体" w:cs="Calibri"/>
                <w:i w:val="0"/>
                <w:color w:val="000000"/>
                <w:sz w:val="20"/>
                <w:szCs w:val="20"/>
                <w:highlight w:val="none"/>
                <w:u w:val="none"/>
              </w:rPr>
            </w:pPr>
            <w:r>
              <w:rPr>
                <w:rFonts w:hint="default" w:ascii="Calibri" w:hAnsi="Calibri" w:eastAsia="宋体" w:cs="Calibri"/>
                <w:i w:val="0"/>
                <w:color w:val="000000"/>
                <w:kern w:val="0"/>
                <w:sz w:val="20"/>
                <w:szCs w:val="20"/>
                <w:highlight w:val="none"/>
                <w:u w:val="none"/>
                <w:lang w:val="en-US" w:eastAsia="zh-CN" w:bidi="ar"/>
              </w:rPr>
              <w:t>95%</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26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319" w:hRule="atLeast"/>
        </w:trPr>
        <w:tc>
          <w:tcPr>
            <w:tcW w:w="6797"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总分</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6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26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bl>
    <w:p>
      <w:pPr>
        <w:numPr>
          <w:numId w:val="0"/>
        </w:numPr>
        <w:spacing w:line="540" w:lineRule="exact"/>
        <w:jc w:val="left"/>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12.交通局 昌州财建【2019】154号 关于下达2019年自治区预算内投资预算（拨款）的通知（吉木萨尔县至吐鲁番市大河沿镇公路项目）项目</w:t>
      </w:r>
    </w:p>
    <w:tbl>
      <w:tblPr>
        <w:tblStyle w:val="13"/>
        <w:tblW w:w="10507" w:type="dxa"/>
        <w:tblInd w:w="-1079" w:type="dxa"/>
        <w:shd w:val="clear" w:color="auto" w:fill="auto"/>
        <w:tblLayout w:type="fixed"/>
        <w:tblCellMar>
          <w:top w:w="0" w:type="dxa"/>
          <w:left w:w="0" w:type="dxa"/>
          <w:bottom w:w="0" w:type="dxa"/>
          <w:right w:w="0" w:type="dxa"/>
        </w:tblCellMar>
      </w:tblPr>
      <w:tblGrid>
        <w:gridCol w:w="747"/>
        <w:gridCol w:w="453"/>
        <w:gridCol w:w="640"/>
        <w:gridCol w:w="1200"/>
        <w:gridCol w:w="1229"/>
        <w:gridCol w:w="1718"/>
        <w:gridCol w:w="1394"/>
        <w:gridCol w:w="579"/>
        <w:gridCol w:w="206"/>
        <w:gridCol w:w="367"/>
        <w:gridCol w:w="654"/>
        <w:gridCol w:w="493"/>
        <w:gridCol w:w="827"/>
      </w:tblGrid>
      <w:tr>
        <w:tblPrEx>
          <w:shd w:val="clear" w:color="auto" w:fill="auto"/>
          <w:tblLayout w:type="fixed"/>
          <w:tblCellMar>
            <w:top w:w="0" w:type="dxa"/>
            <w:left w:w="0" w:type="dxa"/>
            <w:bottom w:w="0" w:type="dxa"/>
            <w:right w:w="0" w:type="dxa"/>
          </w:tblCellMar>
        </w:tblPrEx>
        <w:trPr>
          <w:trHeight w:val="405" w:hRule="atLeast"/>
        </w:trPr>
        <w:tc>
          <w:tcPr>
            <w:tcW w:w="10507" w:type="dxa"/>
            <w:gridSpan w:val="1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highlight w:val="none"/>
                <w:u w:val="none"/>
              </w:rPr>
            </w:pPr>
            <w:r>
              <w:rPr>
                <w:rFonts w:hint="eastAsia" w:ascii="宋体" w:hAnsi="宋体" w:eastAsia="宋体" w:cs="宋体"/>
                <w:b/>
                <w:i w:val="0"/>
                <w:color w:val="000000"/>
                <w:kern w:val="0"/>
                <w:sz w:val="32"/>
                <w:szCs w:val="32"/>
                <w:highlight w:val="none"/>
                <w:u w:val="none"/>
                <w:lang w:val="en-US" w:eastAsia="zh-CN" w:bidi="ar"/>
              </w:rPr>
              <w:t>项目支出绩效自评表</w:t>
            </w:r>
          </w:p>
        </w:tc>
      </w:tr>
      <w:tr>
        <w:tblPrEx>
          <w:tblLayout w:type="fixed"/>
          <w:tblCellMar>
            <w:top w:w="0" w:type="dxa"/>
            <w:left w:w="0" w:type="dxa"/>
            <w:bottom w:w="0" w:type="dxa"/>
            <w:right w:w="0" w:type="dxa"/>
          </w:tblCellMar>
        </w:tblPrEx>
        <w:trPr>
          <w:trHeight w:val="405" w:hRule="atLeast"/>
        </w:trPr>
        <w:tc>
          <w:tcPr>
            <w:tcW w:w="10507" w:type="dxa"/>
            <w:gridSpan w:val="1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（2019年度）</w:t>
            </w:r>
          </w:p>
        </w:tc>
      </w:tr>
      <w:tr>
        <w:tblPrEx>
          <w:tblLayout w:type="fixed"/>
          <w:tblCellMar>
            <w:top w:w="0" w:type="dxa"/>
            <w:left w:w="0" w:type="dxa"/>
            <w:bottom w:w="0" w:type="dxa"/>
            <w:right w:w="0" w:type="dxa"/>
          </w:tblCellMar>
        </w:tblPrEx>
        <w:trPr>
          <w:trHeight w:val="597" w:hRule="atLeast"/>
        </w:trPr>
        <w:tc>
          <w:tcPr>
            <w:tcW w:w="12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项目名称</w:t>
            </w:r>
          </w:p>
        </w:tc>
        <w:tc>
          <w:tcPr>
            <w:tcW w:w="9307"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交通局 昌州财建【2019】154号 关于下达2019年自治区预算内投资预算（拨款）的通知（吉木萨尔县至吐鲁番市大河沿镇公路项目）</w:t>
            </w:r>
          </w:p>
        </w:tc>
      </w:tr>
      <w:tr>
        <w:tblPrEx>
          <w:tblLayout w:type="fixed"/>
          <w:tblCellMar>
            <w:top w:w="0" w:type="dxa"/>
            <w:left w:w="0" w:type="dxa"/>
            <w:bottom w:w="0" w:type="dxa"/>
            <w:right w:w="0" w:type="dxa"/>
          </w:tblCellMar>
        </w:tblPrEx>
        <w:trPr>
          <w:trHeight w:val="319" w:hRule="atLeast"/>
        </w:trPr>
        <w:tc>
          <w:tcPr>
            <w:tcW w:w="12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主管部门</w:t>
            </w:r>
          </w:p>
        </w:tc>
        <w:tc>
          <w:tcPr>
            <w:tcW w:w="478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昌吉州交通运输局</w:t>
            </w:r>
          </w:p>
        </w:tc>
        <w:tc>
          <w:tcPr>
            <w:tcW w:w="1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实施单位</w:t>
            </w:r>
          </w:p>
        </w:tc>
        <w:tc>
          <w:tcPr>
            <w:tcW w:w="312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吉木萨尔县交通运输局</w:t>
            </w:r>
          </w:p>
        </w:tc>
      </w:tr>
      <w:tr>
        <w:tblPrEx>
          <w:tblLayout w:type="fixed"/>
          <w:tblCellMar>
            <w:top w:w="0" w:type="dxa"/>
            <w:left w:w="0" w:type="dxa"/>
            <w:bottom w:w="0" w:type="dxa"/>
            <w:right w:w="0" w:type="dxa"/>
          </w:tblCellMar>
        </w:tblPrEx>
        <w:trPr>
          <w:trHeight w:val="319" w:hRule="atLeast"/>
        </w:trPr>
        <w:tc>
          <w:tcPr>
            <w:tcW w:w="12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项目资金       （万元）</w:t>
            </w: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年初预算数</w:t>
            </w:r>
          </w:p>
        </w:tc>
        <w:tc>
          <w:tcPr>
            <w:tcW w:w="17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全年预算数</w:t>
            </w:r>
          </w:p>
        </w:tc>
        <w:tc>
          <w:tcPr>
            <w:tcW w:w="1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全年执行数</w:t>
            </w:r>
          </w:p>
        </w:tc>
        <w:tc>
          <w:tcPr>
            <w:tcW w:w="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分值</w:t>
            </w:r>
          </w:p>
        </w:tc>
        <w:tc>
          <w:tcPr>
            <w:tcW w:w="151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执行率</w:t>
            </w:r>
          </w:p>
        </w:tc>
        <w:tc>
          <w:tcPr>
            <w:tcW w:w="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得分</w:t>
            </w:r>
          </w:p>
        </w:tc>
      </w:tr>
      <w:tr>
        <w:tblPrEx>
          <w:tblLayout w:type="fixed"/>
          <w:tblCellMar>
            <w:top w:w="0" w:type="dxa"/>
            <w:left w:w="0" w:type="dxa"/>
            <w:bottom w:w="0" w:type="dxa"/>
            <w:right w:w="0" w:type="dxa"/>
          </w:tblCellMar>
        </w:tblPrEx>
        <w:trPr>
          <w:trHeight w:val="319" w:hRule="atLeast"/>
        </w:trPr>
        <w:tc>
          <w:tcPr>
            <w:tcW w:w="12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年度资金总额</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200</w:t>
            </w:r>
          </w:p>
        </w:tc>
        <w:tc>
          <w:tcPr>
            <w:tcW w:w="17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200</w:t>
            </w:r>
          </w:p>
        </w:tc>
        <w:tc>
          <w:tcPr>
            <w:tcW w:w="1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200</w:t>
            </w:r>
          </w:p>
        </w:tc>
        <w:tc>
          <w:tcPr>
            <w:tcW w:w="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10</w:t>
            </w:r>
          </w:p>
        </w:tc>
        <w:tc>
          <w:tcPr>
            <w:tcW w:w="151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100%</w:t>
            </w:r>
          </w:p>
        </w:tc>
        <w:tc>
          <w:tcPr>
            <w:tcW w:w="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10</w:t>
            </w:r>
          </w:p>
        </w:tc>
      </w:tr>
      <w:tr>
        <w:tblPrEx>
          <w:tblLayout w:type="fixed"/>
          <w:tblCellMar>
            <w:top w:w="0" w:type="dxa"/>
            <w:left w:w="0" w:type="dxa"/>
            <w:bottom w:w="0" w:type="dxa"/>
            <w:right w:w="0" w:type="dxa"/>
          </w:tblCellMar>
        </w:tblPrEx>
        <w:trPr>
          <w:trHeight w:val="319" w:hRule="atLeast"/>
        </w:trPr>
        <w:tc>
          <w:tcPr>
            <w:tcW w:w="12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其中：当年财政拨款</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200</w:t>
            </w:r>
          </w:p>
        </w:tc>
        <w:tc>
          <w:tcPr>
            <w:tcW w:w="17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200</w:t>
            </w:r>
          </w:p>
        </w:tc>
        <w:tc>
          <w:tcPr>
            <w:tcW w:w="1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200</w:t>
            </w:r>
          </w:p>
        </w:tc>
        <w:tc>
          <w:tcPr>
            <w:tcW w:w="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w:t>
            </w:r>
          </w:p>
        </w:tc>
        <w:tc>
          <w:tcPr>
            <w:tcW w:w="151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100%</w:t>
            </w:r>
          </w:p>
        </w:tc>
        <w:tc>
          <w:tcPr>
            <w:tcW w:w="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12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 xml:space="preserve">      上年结转资金</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c>
          <w:tcPr>
            <w:tcW w:w="1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c>
          <w:tcPr>
            <w:tcW w:w="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w:t>
            </w:r>
          </w:p>
        </w:tc>
        <w:tc>
          <w:tcPr>
            <w:tcW w:w="151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c>
          <w:tcPr>
            <w:tcW w:w="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12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 xml:space="preserve">  其他资金</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c>
          <w:tcPr>
            <w:tcW w:w="1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c>
          <w:tcPr>
            <w:tcW w:w="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w:t>
            </w:r>
          </w:p>
        </w:tc>
        <w:tc>
          <w:tcPr>
            <w:tcW w:w="151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c>
          <w:tcPr>
            <w:tcW w:w="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w:t>
            </w:r>
          </w:p>
        </w:tc>
      </w:tr>
      <w:tr>
        <w:tblPrEx>
          <w:tblLayout w:type="fixed"/>
          <w:tblCellMar>
            <w:top w:w="0" w:type="dxa"/>
            <w:left w:w="0" w:type="dxa"/>
            <w:bottom w:w="0" w:type="dxa"/>
            <w:right w:w="0" w:type="dxa"/>
          </w:tblCellMar>
        </w:tblPrEx>
        <w:trPr>
          <w:trHeight w:val="319" w:hRule="atLeast"/>
        </w:trPr>
        <w:tc>
          <w:tcPr>
            <w:tcW w:w="7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年度总体目标</w:t>
            </w:r>
          </w:p>
        </w:tc>
        <w:tc>
          <w:tcPr>
            <w:tcW w:w="524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预期目标</w:t>
            </w:r>
          </w:p>
        </w:tc>
        <w:tc>
          <w:tcPr>
            <w:tcW w:w="452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实际完成情况</w:t>
            </w:r>
          </w:p>
        </w:tc>
      </w:tr>
      <w:tr>
        <w:tblPrEx>
          <w:tblLayout w:type="fixed"/>
          <w:tblCellMar>
            <w:top w:w="0" w:type="dxa"/>
            <w:left w:w="0" w:type="dxa"/>
            <w:bottom w:w="0" w:type="dxa"/>
            <w:right w:w="0" w:type="dxa"/>
          </w:tblCellMar>
        </w:tblPrEx>
        <w:trPr>
          <w:trHeight w:val="370" w:hRule="atLeast"/>
        </w:trPr>
        <w:tc>
          <w:tcPr>
            <w:tcW w:w="7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524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完成吉木萨尔县至大河沿镇公路建设项目前期手续</w:t>
            </w:r>
          </w:p>
        </w:tc>
        <w:tc>
          <w:tcPr>
            <w:tcW w:w="452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已完成吉木萨尔县至大河沿镇公路建设项目前期手续</w:t>
            </w:r>
          </w:p>
        </w:tc>
      </w:tr>
      <w:tr>
        <w:tblPrEx>
          <w:tblLayout w:type="fixed"/>
          <w:tblCellMar>
            <w:top w:w="0" w:type="dxa"/>
            <w:left w:w="0" w:type="dxa"/>
            <w:bottom w:w="0" w:type="dxa"/>
            <w:right w:w="0" w:type="dxa"/>
          </w:tblCellMar>
        </w:tblPrEx>
        <w:trPr>
          <w:trHeight w:val="319" w:hRule="atLeast"/>
        </w:trPr>
        <w:tc>
          <w:tcPr>
            <w:tcW w:w="7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绩              效    指    标</w:t>
            </w:r>
          </w:p>
        </w:tc>
        <w:tc>
          <w:tcPr>
            <w:tcW w:w="45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一级指标</w:t>
            </w:r>
          </w:p>
        </w:tc>
        <w:tc>
          <w:tcPr>
            <w:tcW w:w="64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二级指标</w:t>
            </w:r>
          </w:p>
        </w:tc>
        <w:tc>
          <w:tcPr>
            <w:tcW w:w="242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三级指标</w:t>
            </w:r>
          </w:p>
        </w:tc>
        <w:tc>
          <w:tcPr>
            <w:tcW w:w="17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年度</w:t>
            </w: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实际</w:t>
            </w:r>
          </w:p>
        </w:tc>
        <w:tc>
          <w:tcPr>
            <w:tcW w:w="57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分值</w:t>
            </w:r>
          </w:p>
        </w:tc>
        <w:tc>
          <w:tcPr>
            <w:tcW w:w="65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得分</w:t>
            </w:r>
          </w:p>
        </w:tc>
        <w:tc>
          <w:tcPr>
            <w:tcW w:w="1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偏差原因分析及改进措施</w:t>
            </w:r>
          </w:p>
        </w:tc>
      </w:tr>
      <w:tr>
        <w:tblPrEx>
          <w:tblLayout w:type="fixed"/>
          <w:tblCellMar>
            <w:top w:w="0" w:type="dxa"/>
            <w:left w:w="0" w:type="dxa"/>
            <w:bottom w:w="0" w:type="dxa"/>
            <w:right w:w="0" w:type="dxa"/>
          </w:tblCellMar>
        </w:tblPrEx>
        <w:trPr>
          <w:trHeight w:val="319" w:hRule="atLeast"/>
        </w:trPr>
        <w:tc>
          <w:tcPr>
            <w:tcW w:w="7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4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6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242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指标值</w:t>
            </w: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完成值</w:t>
            </w:r>
          </w:p>
        </w:tc>
        <w:tc>
          <w:tcPr>
            <w:tcW w:w="5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65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13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r>
      <w:tr>
        <w:tblPrEx>
          <w:tblLayout w:type="fixed"/>
          <w:tblCellMar>
            <w:top w:w="0" w:type="dxa"/>
            <w:left w:w="0" w:type="dxa"/>
            <w:bottom w:w="0" w:type="dxa"/>
            <w:right w:w="0" w:type="dxa"/>
          </w:tblCellMar>
        </w:tblPrEx>
        <w:trPr>
          <w:trHeight w:val="376" w:hRule="atLeast"/>
        </w:trPr>
        <w:tc>
          <w:tcPr>
            <w:tcW w:w="7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45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产出</w:t>
            </w:r>
          </w:p>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指标</w:t>
            </w:r>
          </w:p>
        </w:tc>
        <w:tc>
          <w:tcPr>
            <w:tcW w:w="6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数量指标</w:t>
            </w:r>
          </w:p>
        </w:tc>
        <w:tc>
          <w:tcPr>
            <w:tcW w:w="24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 xml:space="preserve"> 公路建设工程长度</w:t>
            </w:r>
          </w:p>
        </w:tc>
        <w:tc>
          <w:tcPr>
            <w:tcW w:w="17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138.203公里</w:t>
            </w: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138.203公里</w:t>
            </w:r>
          </w:p>
        </w:tc>
        <w:tc>
          <w:tcPr>
            <w:tcW w:w="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6</w:t>
            </w:r>
          </w:p>
        </w:tc>
        <w:tc>
          <w:tcPr>
            <w:tcW w:w="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6</w:t>
            </w:r>
          </w:p>
        </w:tc>
        <w:tc>
          <w:tcPr>
            <w:tcW w:w="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c>
          <w:tcPr>
            <w:tcW w:w="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r>
      <w:tr>
        <w:tblPrEx>
          <w:tblLayout w:type="fixed"/>
          <w:tblCellMar>
            <w:top w:w="0" w:type="dxa"/>
            <w:left w:w="0" w:type="dxa"/>
            <w:bottom w:w="0" w:type="dxa"/>
            <w:right w:w="0" w:type="dxa"/>
          </w:tblCellMar>
        </w:tblPrEx>
        <w:trPr>
          <w:trHeight w:val="319" w:hRule="atLeast"/>
        </w:trPr>
        <w:tc>
          <w:tcPr>
            <w:tcW w:w="7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4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64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质量指标</w:t>
            </w:r>
          </w:p>
        </w:tc>
        <w:tc>
          <w:tcPr>
            <w:tcW w:w="24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工程完工率</w:t>
            </w:r>
          </w:p>
        </w:tc>
        <w:tc>
          <w:tcPr>
            <w:tcW w:w="17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100%</w:t>
            </w: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100%</w:t>
            </w:r>
          </w:p>
        </w:tc>
        <w:tc>
          <w:tcPr>
            <w:tcW w:w="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6</w:t>
            </w:r>
          </w:p>
        </w:tc>
        <w:tc>
          <w:tcPr>
            <w:tcW w:w="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6</w:t>
            </w:r>
          </w:p>
        </w:tc>
        <w:tc>
          <w:tcPr>
            <w:tcW w:w="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c>
          <w:tcPr>
            <w:tcW w:w="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r>
      <w:tr>
        <w:tblPrEx>
          <w:tblLayout w:type="fixed"/>
          <w:tblCellMar>
            <w:top w:w="0" w:type="dxa"/>
            <w:left w:w="0" w:type="dxa"/>
            <w:bottom w:w="0" w:type="dxa"/>
            <w:right w:w="0" w:type="dxa"/>
          </w:tblCellMar>
        </w:tblPrEx>
        <w:trPr>
          <w:trHeight w:val="319" w:hRule="atLeast"/>
        </w:trPr>
        <w:tc>
          <w:tcPr>
            <w:tcW w:w="7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4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6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24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道路设计、建设管理达标率</w:t>
            </w:r>
          </w:p>
        </w:tc>
        <w:tc>
          <w:tcPr>
            <w:tcW w:w="17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100%</w:t>
            </w: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100%</w:t>
            </w:r>
          </w:p>
        </w:tc>
        <w:tc>
          <w:tcPr>
            <w:tcW w:w="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6</w:t>
            </w:r>
          </w:p>
        </w:tc>
        <w:tc>
          <w:tcPr>
            <w:tcW w:w="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6</w:t>
            </w:r>
          </w:p>
        </w:tc>
        <w:tc>
          <w:tcPr>
            <w:tcW w:w="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c>
          <w:tcPr>
            <w:tcW w:w="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r>
      <w:tr>
        <w:tblPrEx>
          <w:tblLayout w:type="fixed"/>
          <w:tblCellMar>
            <w:top w:w="0" w:type="dxa"/>
            <w:left w:w="0" w:type="dxa"/>
            <w:bottom w:w="0" w:type="dxa"/>
            <w:right w:w="0" w:type="dxa"/>
          </w:tblCellMar>
        </w:tblPrEx>
        <w:trPr>
          <w:trHeight w:val="319" w:hRule="atLeast"/>
        </w:trPr>
        <w:tc>
          <w:tcPr>
            <w:tcW w:w="7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4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6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24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工程验收合格率</w:t>
            </w:r>
          </w:p>
        </w:tc>
        <w:tc>
          <w:tcPr>
            <w:tcW w:w="17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100%</w:t>
            </w: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100%</w:t>
            </w:r>
          </w:p>
        </w:tc>
        <w:tc>
          <w:tcPr>
            <w:tcW w:w="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6</w:t>
            </w:r>
          </w:p>
        </w:tc>
        <w:tc>
          <w:tcPr>
            <w:tcW w:w="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6</w:t>
            </w:r>
          </w:p>
        </w:tc>
        <w:tc>
          <w:tcPr>
            <w:tcW w:w="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c>
          <w:tcPr>
            <w:tcW w:w="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r>
      <w:tr>
        <w:tblPrEx>
          <w:tblLayout w:type="fixed"/>
          <w:tblCellMar>
            <w:top w:w="0" w:type="dxa"/>
            <w:left w:w="0" w:type="dxa"/>
            <w:bottom w:w="0" w:type="dxa"/>
            <w:right w:w="0" w:type="dxa"/>
          </w:tblCellMar>
        </w:tblPrEx>
        <w:trPr>
          <w:trHeight w:val="319" w:hRule="atLeast"/>
        </w:trPr>
        <w:tc>
          <w:tcPr>
            <w:tcW w:w="7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4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64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时效指标</w:t>
            </w:r>
          </w:p>
        </w:tc>
        <w:tc>
          <w:tcPr>
            <w:tcW w:w="24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工程当年及时完工率</w:t>
            </w:r>
          </w:p>
        </w:tc>
        <w:tc>
          <w:tcPr>
            <w:tcW w:w="17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100%</w:t>
            </w: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100%</w:t>
            </w:r>
          </w:p>
        </w:tc>
        <w:tc>
          <w:tcPr>
            <w:tcW w:w="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6</w:t>
            </w:r>
          </w:p>
        </w:tc>
        <w:tc>
          <w:tcPr>
            <w:tcW w:w="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6</w:t>
            </w:r>
          </w:p>
        </w:tc>
        <w:tc>
          <w:tcPr>
            <w:tcW w:w="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c>
          <w:tcPr>
            <w:tcW w:w="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r>
      <w:tr>
        <w:tblPrEx>
          <w:tblLayout w:type="fixed"/>
          <w:tblCellMar>
            <w:top w:w="0" w:type="dxa"/>
            <w:left w:w="0" w:type="dxa"/>
            <w:bottom w:w="0" w:type="dxa"/>
            <w:right w:w="0" w:type="dxa"/>
          </w:tblCellMar>
        </w:tblPrEx>
        <w:trPr>
          <w:trHeight w:val="349" w:hRule="atLeast"/>
        </w:trPr>
        <w:tc>
          <w:tcPr>
            <w:tcW w:w="7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4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6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24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6"/>
                <w:szCs w:val="16"/>
                <w:highlight w:val="none"/>
                <w:u w:val="none"/>
                <w:lang w:val="en-US" w:eastAsia="zh-CN" w:bidi="ar"/>
              </w:rPr>
              <w:t>项目款项按合同及时支付率</w:t>
            </w:r>
          </w:p>
        </w:tc>
        <w:tc>
          <w:tcPr>
            <w:tcW w:w="17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100%</w:t>
            </w: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100%</w:t>
            </w:r>
          </w:p>
        </w:tc>
        <w:tc>
          <w:tcPr>
            <w:tcW w:w="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6</w:t>
            </w:r>
          </w:p>
        </w:tc>
        <w:tc>
          <w:tcPr>
            <w:tcW w:w="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6</w:t>
            </w:r>
          </w:p>
        </w:tc>
        <w:tc>
          <w:tcPr>
            <w:tcW w:w="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c>
          <w:tcPr>
            <w:tcW w:w="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r>
      <w:tr>
        <w:tblPrEx>
          <w:tblLayout w:type="fixed"/>
          <w:tblCellMar>
            <w:top w:w="0" w:type="dxa"/>
            <w:left w:w="0" w:type="dxa"/>
            <w:bottom w:w="0" w:type="dxa"/>
            <w:right w:w="0" w:type="dxa"/>
          </w:tblCellMar>
        </w:tblPrEx>
        <w:trPr>
          <w:trHeight w:val="319" w:hRule="atLeast"/>
        </w:trPr>
        <w:tc>
          <w:tcPr>
            <w:tcW w:w="7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4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6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24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工程开工时间</w:t>
            </w:r>
          </w:p>
        </w:tc>
        <w:tc>
          <w:tcPr>
            <w:tcW w:w="17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2019年10月开工建设</w:t>
            </w: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2019年10月开工建设</w:t>
            </w:r>
          </w:p>
        </w:tc>
        <w:tc>
          <w:tcPr>
            <w:tcW w:w="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6</w:t>
            </w:r>
          </w:p>
        </w:tc>
        <w:tc>
          <w:tcPr>
            <w:tcW w:w="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6</w:t>
            </w:r>
          </w:p>
        </w:tc>
        <w:tc>
          <w:tcPr>
            <w:tcW w:w="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c>
          <w:tcPr>
            <w:tcW w:w="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r>
      <w:tr>
        <w:tblPrEx>
          <w:tblLayout w:type="fixed"/>
          <w:tblCellMar>
            <w:top w:w="0" w:type="dxa"/>
            <w:left w:w="0" w:type="dxa"/>
            <w:bottom w:w="0" w:type="dxa"/>
            <w:right w:w="0" w:type="dxa"/>
          </w:tblCellMar>
        </w:tblPrEx>
        <w:trPr>
          <w:trHeight w:val="296" w:hRule="atLeast"/>
        </w:trPr>
        <w:tc>
          <w:tcPr>
            <w:tcW w:w="7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4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成本指标</w:t>
            </w:r>
          </w:p>
        </w:tc>
        <w:tc>
          <w:tcPr>
            <w:tcW w:w="24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公路建设工程平均建造</w:t>
            </w:r>
          </w:p>
        </w:tc>
        <w:tc>
          <w:tcPr>
            <w:tcW w:w="17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≦9199.19万元/公里</w:t>
            </w: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9199.19万元/公里</w:t>
            </w:r>
          </w:p>
        </w:tc>
        <w:tc>
          <w:tcPr>
            <w:tcW w:w="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8</w:t>
            </w:r>
          </w:p>
        </w:tc>
        <w:tc>
          <w:tcPr>
            <w:tcW w:w="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8</w:t>
            </w:r>
          </w:p>
        </w:tc>
        <w:tc>
          <w:tcPr>
            <w:tcW w:w="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c>
          <w:tcPr>
            <w:tcW w:w="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r>
      <w:tr>
        <w:tblPrEx>
          <w:tblLayout w:type="fixed"/>
          <w:tblCellMar>
            <w:top w:w="0" w:type="dxa"/>
            <w:left w:w="0" w:type="dxa"/>
            <w:bottom w:w="0" w:type="dxa"/>
            <w:right w:w="0" w:type="dxa"/>
          </w:tblCellMar>
        </w:tblPrEx>
        <w:trPr>
          <w:trHeight w:val="421" w:hRule="atLeast"/>
        </w:trPr>
        <w:tc>
          <w:tcPr>
            <w:tcW w:w="7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45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效益</w:t>
            </w:r>
          </w:p>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bookmarkStart w:id="42" w:name="_GoBack"/>
            <w:bookmarkEnd w:id="42"/>
            <w:r>
              <w:rPr>
                <w:rFonts w:hint="eastAsia" w:ascii="宋体" w:hAnsi="宋体" w:eastAsia="宋体" w:cs="宋体"/>
                <w:i w:val="0"/>
                <w:color w:val="000000"/>
                <w:kern w:val="0"/>
                <w:sz w:val="18"/>
                <w:szCs w:val="18"/>
                <w:highlight w:val="none"/>
                <w:u w:val="none"/>
                <w:lang w:val="en-US" w:eastAsia="zh-CN" w:bidi="ar"/>
              </w:rPr>
              <w:t>指标</w:t>
            </w:r>
          </w:p>
        </w:tc>
        <w:tc>
          <w:tcPr>
            <w:tcW w:w="6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经济效益指标</w:t>
            </w:r>
          </w:p>
        </w:tc>
        <w:tc>
          <w:tcPr>
            <w:tcW w:w="24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为公路沿线居民带来经济利益流入</w:t>
            </w:r>
          </w:p>
        </w:tc>
        <w:tc>
          <w:tcPr>
            <w:tcW w:w="17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16750元/人</w:t>
            </w: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16750元/人</w:t>
            </w:r>
          </w:p>
        </w:tc>
        <w:tc>
          <w:tcPr>
            <w:tcW w:w="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6</w:t>
            </w:r>
          </w:p>
        </w:tc>
        <w:tc>
          <w:tcPr>
            <w:tcW w:w="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6</w:t>
            </w:r>
          </w:p>
        </w:tc>
        <w:tc>
          <w:tcPr>
            <w:tcW w:w="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c>
          <w:tcPr>
            <w:tcW w:w="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r>
      <w:tr>
        <w:tblPrEx>
          <w:tblLayout w:type="fixed"/>
          <w:tblCellMar>
            <w:top w:w="0" w:type="dxa"/>
            <w:left w:w="0" w:type="dxa"/>
            <w:bottom w:w="0" w:type="dxa"/>
            <w:right w:w="0" w:type="dxa"/>
          </w:tblCellMar>
        </w:tblPrEx>
        <w:trPr>
          <w:trHeight w:val="501" w:hRule="atLeast"/>
        </w:trPr>
        <w:tc>
          <w:tcPr>
            <w:tcW w:w="7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4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社会效益指标</w:t>
            </w:r>
          </w:p>
        </w:tc>
        <w:tc>
          <w:tcPr>
            <w:tcW w:w="24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大河沿公路建设项目实施受益人口</w:t>
            </w:r>
          </w:p>
        </w:tc>
        <w:tc>
          <w:tcPr>
            <w:tcW w:w="17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40万人</w:t>
            </w: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40万人</w:t>
            </w:r>
          </w:p>
        </w:tc>
        <w:tc>
          <w:tcPr>
            <w:tcW w:w="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6</w:t>
            </w:r>
          </w:p>
        </w:tc>
        <w:tc>
          <w:tcPr>
            <w:tcW w:w="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6</w:t>
            </w:r>
          </w:p>
        </w:tc>
        <w:tc>
          <w:tcPr>
            <w:tcW w:w="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c>
          <w:tcPr>
            <w:tcW w:w="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r>
      <w:tr>
        <w:tblPrEx>
          <w:tblLayout w:type="fixed"/>
          <w:tblCellMar>
            <w:top w:w="0" w:type="dxa"/>
            <w:left w:w="0" w:type="dxa"/>
            <w:bottom w:w="0" w:type="dxa"/>
            <w:right w:w="0" w:type="dxa"/>
          </w:tblCellMar>
        </w:tblPrEx>
        <w:trPr>
          <w:trHeight w:val="690" w:hRule="atLeast"/>
        </w:trPr>
        <w:tc>
          <w:tcPr>
            <w:tcW w:w="7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4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64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生态效益指标</w:t>
            </w:r>
          </w:p>
        </w:tc>
        <w:tc>
          <w:tcPr>
            <w:tcW w:w="24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改善道路沿线居民生活环境</w:t>
            </w:r>
          </w:p>
        </w:tc>
        <w:tc>
          <w:tcPr>
            <w:tcW w:w="17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有效改善</w:t>
            </w: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有效改善</w:t>
            </w:r>
          </w:p>
        </w:tc>
        <w:tc>
          <w:tcPr>
            <w:tcW w:w="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6</w:t>
            </w:r>
          </w:p>
        </w:tc>
        <w:tc>
          <w:tcPr>
            <w:tcW w:w="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6</w:t>
            </w:r>
          </w:p>
        </w:tc>
        <w:tc>
          <w:tcPr>
            <w:tcW w:w="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c>
          <w:tcPr>
            <w:tcW w:w="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r>
      <w:tr>
        <w:tblPrEx>
          <w:tblLayout w:type="fixed"/>
          <w:tblCellMar>
            <w:top w:w="0" w:type="dxa"/>
            <w:left w:w="0" w:type="dxa"/>
            <w:bottom w:w="0" w:type="dxa"/>
            <w:right w:w="0" w:type="dxa"/>
          </w:tblCellMar>
        </w:tblPrEx>
        <w:trPr>
          <w:trHeight w:val="690" w:hRule="atLeast"/>
        </w:trPr>
        <w:tc>
          <w:tcPr>
            <w:tcW w:w="7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4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6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24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美化道路环境</w:t>
            </w:r>
          </w:p>
        </w:tc>
        <w:tc>
          <w:tcPr>
            <w:tcW w:w="17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有效</w:t>
            </w: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有效</w:t>
            </w:r>
          </w:p>
        </w:tc>
        <w:tc>
          <w:tcPr>
            <w:tcW w:w="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6</w:t>
            </w:r>
          </w:p>
        </w:tc>
        <w:tc>
          <w:tcPr>
            <w:tcW w:w="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6</w:t>
            </w:r>
          </w:p>
        </w:tc>
        <w:tc>
          <w:tcPr>
            <w:tcW w:w="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c>
          <w:tcPr>
            <w:tcW w:w="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r>
      <w:tr>
        <w:tblPrEx>
          <w:tblLayout w:type="fixed"/>
          <w:tblCellMar>
            <w:top w:w="0" w:type="dxa"/>
            <w:left w:w="0" w:type="dxa"/>
            <w:bottom w:w="0" w:type="dxa"/>
            <w:right w:w="0" w:type="dxa"/>
          </w:tblCellMar>
        </w:tblPrEx>
        <w:trPr>
          <w:trHeight w:val="986" w:hRule="atLeast"/>
        </w:trPr>
        <w:tc>
          <w:tcPr>
            <w:tcW w:w="7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4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可持续影响指标</w:t>
            </w:r>
          </w:p>
        </w:tc>
        <w:tc>
          <w:tcPr>
            <w:tcW w:w="24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大河沿公路可持续使用年限</w:t>
            </w:r>
          </w:p>
        </w:tc>
        <w:tc>
          <w:tcPr>
            <w:tcW w:w="17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30年</w:t>
            </w: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30年</w:t>
            </w:r>
          </w:p>
        </w:tc>
        <w:tc>
          <w:tcPr>
            <w:tcW w:w="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6</w:t>
            </w:r>
          </w:p>
        </w:tc>
        <w:tc>
          <w:tcPr>
            <w:tcW w:w="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6</w:t>
            </w:r>
          </w:p>
        </w:tc>
        <w:tc>
          <w:tcPr>
            <w:tcW w:w="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c>
          <w:tcPr>
            <w:tcW w:w="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r>
      <w:tr>
        <w:tblPrEx>
          <w:tblLayout w:type="fixed"/>
          <w:tblCellMar>
            <w:top w:w="0" w:type="dxa"/>
            <w:left w:w="0" w:type="dxa"/>
            <w:bottom w:w="0" w:type="dxa"/>
            <w:right w:w="0" w:type="dxa"/>
          </w:tblCellMar>
        </w:tblPrEx>
        <w:trPr>
          <w:trHeight w:val="661" w:hRule="atLeast"/>
        </w:trPr>
        <w:tc>
          <w:tcPr>
            <w:tcW w:w="7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4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满意度指标</w:t>
            </w:r>
          </w:p>
        </w:tc>
        <w:tc>
          <w:tcPr>
            <w:tcW w:w="6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满意度指标</w:t>
            </w:r>
          </w:p>
        </w:tc>
        <w:tc>
          <w:tcPr>
            <w:tcW w:w="24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受益群体满意度</w:t>
            </w:r>
          </w:p>
        </w:tc>
        <w:tc>
          <w:tcPr>
            <w:tcW w:w="17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≥90%</w:t>
            </w: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100%</w:t>
            </w:r>
          </w:p>
        </w:tc>
        <w:tc>
          <w:tcPr>
            <w:tcW w:w="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10</w:t>
            </w:r>
          </w:p>
        </w:tc>
        <w:tc>
          <w:tcPr>
            <w:tcW w:w="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10</w:t>
            </w:r>
          </w:p>
        </w:tc>
        <w:tc>
          <w:tcPr>
            <w:tcW w:w="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c>
          <w:tcPr>
            <w:tcW w:w="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r>
      <w:tr>
        <w:tblPrEx>
          <w:tblLayout w:type="fixed"/>
          <w:tblCellMar>
            <w:top w:w="0" w:type="dxa"/>
            <w:left w:w="0" w:type="dxa"/>
            <w:bottom w:w="0" w:type="dxa"/>
            <w:right w:w="0" w:type="dxa"/>
          </w:tblCellMar>
        </w:tblPrEx>
        <w:trPr>
          <w:trHeight w:val="270" w:hRule="atLeast"/>
        </w:trPr>
        <w:tc>
          <w:tcPr>
            <w:tcW w:w="7960"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总分</w:t>
            </w:r>
          </w:p>
        </w:tc>
        <w:tc>
          <w:tcPr>
            <w:tcW w:w="5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100</w:t>
            </w:r>
          </w:p>
        </w:tc>
        <w:tc>
          <w:tcPr>
            <w:tcW w:w="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100</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w:t>
            </w:r>
          </w:p>
        </w:tc>
      </w:tr>
    </w:tbl>
    <w:p>
      <w:pPr>
        <w:numPr>
          <w:ilvl w:val="0"/>
          <w:numId w:val="0"/>
        </w:numPr>
        <w:spacing w:line="540" w:lineRule="exact"/>
        <w:ind w:leftChars="200"/>
        <w:jc w:val="left"/>
        <w:rPr>
          <w:rFonts w:hint="default" w:ascii="仿宋_GB2312" w:eastAsia="仿宋_GB2312"/>
          <w:sz w:val="32"/>
          <w:szCs w:val="32"/>
          <w:highlight w:val="none"/>
          <w:lang w:val="en-US" w:eastAsia="zh-CN"/>
        </w:rPr>
      </w:pPr>
    </w:p>
    <w:p>
      <w:pPr>
        <w:spacing w:line="540" w:lineRule="exact"/>
        <w:jc w:val="center"/>
        <w:rPr>
          <w:rFonts w:ascii="黑体" w:hAnsi="黑体" w:eastAsia="黑体"/>
          <w:sz w:val="32"/>
          <w:szCs w:val="32"/>
          <w:highlight w:val="none"/>
        </w:rPr>
      </w:pPr>
    </w:p>
    <w:p>
      <w:pPr>
        <w:spacing w:line="540" w:lineRule="exact"/>
        <w:jc w:val="center"/>
        <w:rPr>
          <w:rFonts w:ascii="黑体" w:hAnsi="黑体" w:eastAsia="黑体"/>
          <w:sz w:val="32"/>
          <w:szCs w:val="32"/>
          <w:highlight w:val="none"/>
        </w:rPr>
      </w:pPr>
      <w:r>
        <w:rPr>
          <w:rFonts w:hint="eastAsia" w:ascii="黑体" w:hAnsi="黑体" w:eastAsia="黑体"/>
          <w:sz w:val="32"/>
          <w:szCs w:val="32"/>
          <w:highlight w:val="none"/>
        </w:rPr>
        <w:t>第三部分 专业名词解释</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24" w:name="_Toc28903"/>
      <w:bookmarkStart w:id="25" w:name="_Toc22784"/>
      <w:bookmarkStart w:id="26" w:name="_Toc6062"/>
      <w:bookmarkStart w:id="27" w:name="_Toc218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r>
        <w:rPr>
          <w:rFonts w:hint="eastAsia" w:ascii="黑体" w:hAnsi="黑体" w:eastAsia="黑体"/>
          <w:sz w:val="32"/>
          <w:szCs w:val="32"/>
          <w:highlight w:val="none"/>
        </w:rPr>
        <w:t>第四部分 部门决算报表（见附表）</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r>
        <w:rPr>
          <w:rFonts w:hint="eastAsia" w:ascii="黑体" w:hAnsi="黑体" w:eastAsia="黑体" w:cs="宋体"/>
          <w:bCs/>
          <w:kern w:val="0"/>
          <w:sz w:val="32"/>
          <w:szCs w:val="32"/>
          <w:highlight w:val="none"/>
        </w:rPr>
        <w:t>一、《收入支出决算总表》</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28" w:name="_Toc30364"/>
      <w:bookmarkStart w:id="29" w:name="_Toc24532"/>
      <w:r>
        <w:rPr>
          <w:rFonts w:hint="eastAsia" w:ascii="黑体" w:hAnsi="黑体" w:eastAsia="黑体" w:cs="宋体"/>
          <w:bCs/>
          <w:kern w:val="0"/>
          <w:sz w:val="32"/>
          <w:szCs w:val="32"/>
          <w:highlight w:val="none"/>
        </w:rPr>
        <w:t>二、《收入决算表》</w:t>
      </w:r>
      <w:bookmarkEnd w:id="28"/>
      <w:bookmarkEnd w:id="2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0" w:name="_Toc32434"/>
      <w:bookmarkStart w:id="31" w:name="_Toc21304"/>
      <w:r>
        <w:rPr>
          <w:rFonts w:hint="eastAsia" w:ascii="黑体" w:hAnsi="黑体" w:eastAsia="黑体" w:cs="宋体"/>
          <w:bCs/>
          <w:kern w:val="0"/>
          <w:sz w:val="32"/>
          <w:szCs w:val="32"/>
          <w:highlight w:val="none"/>
        </w:rPr>
        <w:t>三、《支出决算表》</w:t>
      </w:r>
      <w:bookmarkEnd w:id="30"/>
      <w:bookmarkEnd w:id="3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2" w:name="_Toc28786"/>
      <w:bookmarkStart w:id="33" w:name="_Toc14238"/>
      <w:r>
        <w:rPr>
          <w:rFonts w:hint="eastAsia" w:ascii="黑体" w:hAnsi="黑体" w:eastAsia="黑体" w:cs="宋体"/>
          <w:bCs/>
          <w:kern w:val="0"/>
          <w:sz w:val="32"/>
          <w:szCs w:val="32"/>
          <w:highlight w:val="none"/>
        </w:rPr>
        <w:t>四、《财政拨款收入支出决算总表》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4" w:name="_Toc10347"/>
      <w:bookmarkStart w:id="35" w:name="_Toc14869"/>
      <w:r>
        <w:rPr>
          <w:rFonts w:hint="eastAsia" w:ascii="黑体" w:hAnsi="黑体" w:eastAsia="黑体" w:cs="宋体"/>
          <w:bCs/>
          <w:kern w:val="0"/>
          <w:sz w:val="32"/>
          <w:szCs w:val="32"/>
          <w:highlight w:val="none"/>
        </w:rPr>
        <w:t>五、《一般公共预算财政拨款支出决算表》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8884"/>
      <w:bookmarkStart w:id="37" w:name="_Toc5626"/>
      <w:r>
        <w:rPr>
          <w:rFonts w:hint="eastAsia" w:ascii="黑体" w:hAnsi="黑体" w:eastAsia="黑体" w:cs="宋体"/>
          <w:bCs/>
          <w:kern w:val="0"/>
          <w:sz w:val="32"/>
          <w:szCs w:val="32"/>
          <w:highlight w:val="none"/>
        </w:rPr>
        <w:t>六、《一般公共预算财政拨款基本支出决算表》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9106"/>
      <w:bookmarkStart w:id="39" w:name="_Toc32663"/>
      <w:r>
        <w:rPr>
          <w:rFonts w:hint="eastAsia" w:ascii="黑体" w:hAnsi="黑体" w:eastAsia="黑体" w:cs="宋体"/>
          <w:bCs/>
          <w:kern w:val="0"/>
          <w:sz w:val="32"/>
          <w:szCs w:val="32"/>
          <w:highlight w:val="none"/>
        </w:rPr>
        <w:t>七、《一般公共预算财政拨款“三公”经费支出决算表》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40" w:name="_Toc7643"/>
      <w:bookmarkStart w:id="41" w:name="_Toc5453"/>
      <w:r>
        <w:rPr>
          <w:rFonts w:hint="eastAsia" w:ascii="黑体" w:hAnsi="黑体" w:eastAsia="黑体" w:cs="宋体"/>
          <w:bCs/>
          <w:kern w:val="0"/>
          <w:sz w:val="32"/>
          <w:szCs w:val="32"/>
          <w:highlight w:val="none"/>
        </w:rPr>
        <w:t>八、《政府性基金预算财政拨款收入支出决算表》</w:t>
      </w:r>
      <w:bookmarkEnd w:id="40"/>
      <w:bookmarkEnd w:id="41"/>
    </w:p>
    <w:p>
      <w:pPr>
        <w:rPr>
          <w:highlight w:val="none"/>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omic Sans MS">
    <w:panose1 w:val="030F0702030302020204"/>
    <w:charset w:val="00"/>
    <w:family w:val="auto"/>
    <w:pitch w:val="default"/>
    <w:sig w:usb0="00000287" w:usb1="00000000" w:usb2="00000000" w:usb3="00000000" w:csb0="2000009F" w:csb1="00000000"/>
  </w:font>
  <w:font w:name="Segoe Print">
    <w:panose1 w:val="02000600000000000000"/>
    <w:charset w:val="00"/>
    <w:family w:val="auto"/>
    <w:pitch w:val="default"/>
    <w:sig w:usb0="0000028F" w:usb1="00000000" w:usb2="00000000" w:usb3="00000000" w:csb0="2000009F" w:csb1="47010000"/>
  </w:font>
  <w:font w:name="DFKai-SB">
    <w:panose1 w:val="03000509000000000000"/>
    <w:charset w:val="88"/>
    <w:family w:val="auto"/>
    <w:pitch w:val="default"/>
    <w:sig w:usb0="00000003" w:usb1="082E0000" w:usb2="00000016" w:usb3="00000000" w:csb0="00100001" w:csb1="0000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E6B920"/>
    <w:multiLevelType w:val="singleLevel"/>
    <w:tmpl w:val="4BE6B920"/>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43C"/>
    <w:rsid w:val="001500E6"/>
    <w:rsid w:val="001A2B4A"/>
    <w:rsid w:val="00417058"/>
    <w:rsid w:val="004642B9"/>
    <w:rsid w:val="004763B2"/>
    <w:rsid w:val="004960E6"/>
    <w:rsid w:val="004A2F26"/>
    <w:rsid w:val="0058643C"/>
    <w:rsid w:val="006059F7"/>
    <w:rsid w:val="009A4996"/>
    <w:rsid w:val="00BE7FE7"/>
    <w:rsid w:val="00CE0C1D"/>
    <w:rsid w:val="00CF769E"/>
    <w:rsid w:val="00D923F6"/>
    <w:rsid w:val="00F21610"/>
    <w:rsid w:val="081047BF"/>
    <w:rsid w:val="08EE47C1"/>
    <w:rsid w:val="102523BC"/>
    <w:rsid w:val="1182509D"/>
    <w:rsid w:val="186021FC"/>
    <w:rsid w:val="25D3278E"/>
    <w:rsid w:val="37F04AE8"/>
    <w:rsid w:val="3A352C9E"/>
    <w:rsid w:val="3A6353EE"/>
    <w:rsid w:val="3BED1400"/>
    <w:rsid w:val="3DC755AC"/>
    <w:rsid w:val="43A37046"/>
    <w:rsid w:val="4572647A"/>
    <w:rsid w:val="57547BF3"/>
    <w:rsid w:val="5C321F4E"/>
    <w:rsid w:val="5E231DDF"/>
    <w:rsid w:val="6ADF0E06"/>
    <w:rsid w:val="6F121B9E"/>
    <w:rsid w:val="74DE548D"/>
    <w:rsid w:val="7A062F80"/>
    <w:rsid w:val="7B5A1F78"/>
    <w:rsid w:val="7DF55C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9"/>
    <w:pPr>
      <w:keepNext/>
      <w:widowControl/>
      <w:spacing w:before="240" w:after="60"/>
      <w:jc w:val="left"/>
      <w:outlineLvl w:val="1"/>
    </w:pPr>
    <w:rPr>
      <w:rFonts w:ascii="Cambria" w:hAnsi="Cambria" w:eastAsia="宋体"/>
      <w:b/>
      <w:bCs/>
      <w:i/>
      <w:iCs/>
      <w:kern w:val="0"/>
      <w:sz w:val="28"/>
      <w:szCs w:val="28"/>
    </w:rPr>
  </w:style>
  <w:style w:type="character" w:default="1" w:styleId="10">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text"/>
    <w:basedOn w:val="1"/>
    <w:link w:val="14"/>
    <w:qFormat/>
    <w:uiPriority w:val="0"/>
    <w:pPr>
      <w:jc w:val="left"/>
    </w:pPr>
    <w:rPr>
      <w:rFonts w:ascii="Times New Roman" w:hAnsi="Times New Roman" w:eastAsia="宋体" w:cs="Times New Roman"/>
      <w:szCs w:val="24"/>
    </w:rPr>
  </w:style>
  <w:style w:type="paragraph" w:styleId="4">
    <w:name w:val="toc 3"/>
    <w:basedOn w:val="1"/>
    <w:next w:val="1"/>
    <w:qFormat/>
    <w:uiPriority w:val="0"/>
    <w:pPr>
      <w:ind w:left="840" w:leftChars="400"/>
    </w:pPr>
  </w:style>
  <w:style w:type="paragraph" w:styleId="5">
    <w:name w:val="Balloon Text"/>
    <w:basedOn w:val="1"/>
    <w:link w:val="15"/>
    <w:semiHidden/>
    <w:unhideWhenUsed/>
    <w:qFormat/>
    <w:uiPriority w:val="99"/>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character" w:styleId="11">
    <w:name w:val="Strong"/>
    <w:basedOn w:val="10"/>
    <w:qFormat/>
    <w:uiPriority w:val="99"/>
    <w:rPr>
      <w:rFonts w:cs="Times New Roman"/>
      <w:b/>
      <w:bCs/>
    </w:rPr>
  </w:style>
  <w:style w:type="character" w:styleId="12">
    <w:name w:val="annotation reference"/>
    <w:basedOn w:val="10"/>
    <w:semiHidden/>
    <w:unhideWhenUsed/>
    <w:qFormat/>
    <w:uiPriority w:val="99"/>
    <w:rPr>
      <w:sz w:val="21"/>
      <w:szCs w:val="21"/>
    </w:rPr>
  </w:style>
  <w:style w:type="character" w:customStyle="1" w:styleId="14">
    <w:name w:val="批注文字 Char"/>
    <w:basedOn w:val="10"/>
    <w:link w:val="3"/>
    <w:qFormat/>
    <w:uiPriority w:val="0"/>
    <w:rPr>
      <w:rFonts w:ascii="Times New Roman" w:hAnsi="Times New Roman" w:eastAsia="宋体" w:cs="Times New Roman"/>
      <w:szCs w:val="24"/>
    </w:rPr>
  </w:style>
  <w:style w:type="character" w:customStyle="1" w:styleId="15">
    <w:name w:val="批注框文本 Char"/>
    <w:basedOn w:val="10"/>
    <w:link w:val="5"/>
    <w:semiHidden/>
    <w:qFormat/>
    <w:uiPriority w:val="99"/>
    <w:rPr>
      <w:sz w:val="18"/>
      <w:szCs w:val="18"/>
    </w:rPr>
  </w:style>
  <w:style w:type="character" w:customStyle="1" w:styleId="16">
    <w:name w:val="font21"/>
    <w:basedOn w:val="10"/>
    <w:qFormat/>
    <w:uiPriority w:val="0"/>
    <w:rPr>
      <w:rFonts w:ascii="宋体" w:hAnsi="宋体" w:eastAsia="宋体" w:cs="宋体"/>
      <w:color w:val="000000"/>
      <w:sz w:val="20"/>
      <w:szCs w:val="20"/>
      <w:u w:val="none"/>
    </w:rPr>
  </w:style>
  <w:style w:type="character" w:customStyle="1" w:styleId="17">
    <w:name w:val="font51"/>
    <w:basedOn w:val="10"/>
    <w:qFormat/>
    <w:uiPriority w:val="0"/>
    <w:rPr>
      <w:rFonts w:hint="eastAsia" w:ascii="宋体" w:hAnsi="宋体" w:eastAsia="宋体" w:cs="宋体"/>
      <w:color w:val="000000"/>
      <w:sz w:val="20"/>
      <w:szCs w:val="20"/>
      <w:u w:val="none"/>
    </w:rPr>
  </w:style>
  <w:style w:type="character" w:customStyle="1" w:styleId="18">
    <w:name w:val="font11"/>
    <w:basedOn w:val="10"/>
    <w:qFormat/>
    <w:uiPriority w:val="0"/>
    <w:rPr>
      <w:rFonts w:hint="eastAsia" w:ascii="宋体" w:hAnsi="宋体" w:eastAsia="宋体" w:cs="宋体"/>
      <w:color w:val="000000"/>
      <w:sz w:val="20"/>
      <w:szCs w:val="20"/>
      <w:u w:val="none"/>
    </w:rPr>
  </w:style>
  <w:style w:type="character" w:customStyle="1" w:styleId="19">
    <w:name w:val="font01"/>
    <w:basedOn w:val="10"/>
    <w:qFormat/>
    <w:uiPriority w:val="0"/>
    <w:rPr>
      <w:rFonts w:hint="default" w:ascii="Calibri" w:hAnsi="Calibri" w:cs="Calibri"/>
      <w:color w:val="000000"/>
      <w:sz w:val="20"/>
      <w:szCs w:val="20"/>
      <w:u w:val="none"/>
    </w:rPr>
  </w:style>
  <w:style w:type="character" w:customStyle="1" w:styleId="20">
    <w:name w:val="font31"/>
    <w:basedOn w:val="10"/>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784</Words>
  <Characters>4472</Characters>
  <Lines>37</Lines>
  <Paragraphs>10</Paragraphs>
  <TotalTime>5</TotalTime>
  <ScaleCrop>false</ScaleCrop>
  <LinksUpToDate>false</LinksUpToDate>
  <CharactersWithSpaces>5246</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2019-07-23T11:27:00Z</dcterms:created>
  <dc:creator>admin</dc:creator>
  <cp:lastModifiedBy>Administrator</cp:lastModifiedBy>
  <dcterms:modified xsi:type="dcterms:W3CDTF">2021-07-01T11:56:57Z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y fmtid="{D5CDD505-2E9C-101B-9397-08002B2CF9AE}" pid="3" name="ICV">
    <vt:lpwstr>C1210DAE530B40E1A11301B06F5D66EF</vt:lpwstr>
  </property>
</Properties>
</file>