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pStyle w:val="2"/>
      </w:pPr>
    </w:p>
    <w:p>
      <w:pPr>
        <w:pStyle w:val="2"/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eastAsia="zh-CN"/>
        </w:rPr>
        <w:t>吉木萨尔县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社会保险支出</w:t>
      </w: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绩效评价报告</w:t>
      </w: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（</w:t>
      </w:r>
      <w:r>
        <w:rPr>
          <w:rFonts w:ascii="黑体" w:hAnsi="黑体" w:eastAsia="黑体" w:cs="黑体"/>
          <w:b/>
          <w:bCs/>
          <w:kern w:val="0"/>
          <w:sz w:val="48"/>
          <w:szCs w:val="48"/>
        </w:rPr>
        <w:t>20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val="en-US" w:eastAsia="zh-CN"/>
        </w:rPr>
        <w:t>21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年度）</w:t>
      </w:r>
    </w:p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</w:rPr>
        <w:t>项目名称：社会保险基金支出</w:t>
      </w:r>
    </w:p>
    <w:p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kern w:val="0"/>
          <w:sz w:val="32"/>
          <w:szCs w:val="32"/>
        </w:rPr>
        <w:t>实施单位（公章）：</w:t>
      </w:r>
    </w:p>
    <w:p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负责人（签章）：</w:t>
      </w:r>
    </w:p>
    <w:p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20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 w:cs="黑体"/>
          <w:kern w:val="0"/>
          <w:sz w:val="32"/>
          <w:szCs w:val="32"/>
        </w:rPr>
        <w:t>年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kern w:val="0"/>
          <w:sz w:val="32"/>
          <w:szCs w:val="32"/>
        </w:rPr>
        <w:t>月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15</w:t>
      </w:r>
      <w:r>
        <w:rPr>
          <w:rFonts w:hint="eastAsia" w:ascii="黑体" w:hAnsi="黑体" w:eastAsia="黑体" w:cs="黑体"/>
          <w:kern w:val="0"/>
          <w:sz w:val="32"/>
          <w:szCs w:val="32"/>
        </w:rPr>
        <w:t>日</w:t>
      </w:r>
    </w:p>
    <w:p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eastAsia="zh-CN"/>
        </w:rPr>
        <w:t>吉木萨尔县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社会保险支出绩效评价报告</w:t>
      </w:r>
    </w:p>
    <w:p>
      <w:pPr>
        <w:pStyle w:val="2"/>
      </w:pP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年度，在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0"/>
          <w:szCs w:val="30"/>
        </w:rPr>
        <w:t>党委、政府的正确领导下，在人社局、财政局的大力支持下，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工作取得了显著成绩。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一、社会保险基金收支余总体情况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社会保险（包括城乡居民养老保险费和机关事业单位养老保险）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2.22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2.27亿减少0.05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减少2.2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完成年度预算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的100.4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。各项基金总支出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2.11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1.93亿</w:t>
      </w:r>
      <w:r>
        <w:rPr>
          <w:rFonts w:hint="eastAsia" w:ascii="仿宋_GB2312" w:hAnsi="仿宋_GB2312" w:eastAsia="仿宋_GB2312" w:cs="仿宋_GB2312"/>
          <w:sz w:val="30"/>
          <w:szCs w:val="30"/>
        </w:rPr>
        <w:t>增加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0.18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9.3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完成年度预算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103.4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基金当期结余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0.11亿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1.36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二、社会保险基金支出预算绩效目标设定情况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机关事业单位基本养老保险基金支出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1.76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亿元，养老保险待遇发放成功率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，基金支出预算执行率≥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，基金使用符合政策规定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，财政补助资金到位率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，待遇按时发放州直部门每月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日前，离退休人员上访率</w:t>
      </w:r>
      <w:r>
        <w:rPr>
          <w:rFonts w:ascii="仿宋_GB2312" w:hAnsi="仿宋_GB2312" w:eastAsia="仿宋_GB2312" w:cs="仿宋_GB2312"/>
          <w:sz w:val="30"/>
          <w:szCs w:val="30"/>
        </w:rPr>
        <w:t>&lt;0.1%</w:t>
      </w:r>
      <w:r>
        <w:rPr>
          <w:rFonts w:hint="eastAsia" w:ascii="仿宋_GB2312" w:hAnsi="仿宋_GB2312" w:eastAsia="仿宋_GB2312" w:cs="仿宋_GB2312"/>
          <w:sz w:val="30"/>
          <w:szCs w:val="30"/>
        </w:rPr>
        <w:t>，离休退人员满意度≥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。，充分发挥社会保险的职能作用，基本生活水平逐年提高，分享改革成果。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城乡居民基本养老保险基金支出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0.34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亿元，基本养老保险待遇发放成功率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，基金支出预算执行率≥</w:t>
      </w:r>
      <w:r>
        <w:rPr>
          <w:rFonts w:ascii="仿宋_GB2312" w:hAnsi="仿宋_GB2312" w:eastAsia="仿宋_GB2312" w:cs="仿宋_GB2312"/>
          <w:sz w:val="30"/>
          <w:szCs w:val="30"/>
        </w:rPr>
        <w:t>90%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，基金使用符合政策规定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，财政补助资金到位率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，待遇按时发放每月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日前，离退休人员上访率</w:t>
      </w:r>
      <w:r>
        <w:rPr>
          <w:rFonts w:ascii="仿宋_GB2312" w:hAnsi="仿宋_GB2312" w:eastAsia="仿宋_GB2312" w:cs="仿宋_GB2312"/>
          <w:sz w:val="30"/>
          <w:szCs w:val="30"/>
        </w:rPr>
        <w:t>&lt;0.1%</w:t>
      </w:r>
      <w:r>
        <w:rPr>
          <w:rFonts w:hint="eastAsia" w:ascii="仿宋_GB2312" w:hAnsi="仿宋_GB2312" w:eastAsia="仿宋_GB2312" w:cs="仿宋_GB2312"/>
          <w:sz w:val="30"/>
          <w:szCs w:val="30"/>
        </w:rPr>
        <w:t>，离休退人员满意度≥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，扩大社保的覆盖面，确保“老有所养”，提高人民群众的幸福感和获得感。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三、各项社会保险基金预算完成及运行情况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机关事业单位养老保险基金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年度机关事业单位养老保险基金总收入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亿元（保险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缴</w:t>
      </w:r>
      <w:r>
        <w:rPr>
          <w:rFonts w:hint="eastAsia" w:ascii="仿宋_GB2312" w:hAnsi="仿宋_GB2312" w:eastAsia="仿宋_GB2312" w:cs="仿宋_GB2312"/>
          <w:sz w:val="30"/>
          <w:szCs w:val="30"/>
        </w:rPr>
        <w:t>费收入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0.9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亿元、财政补助收入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0.78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亿元，利息收入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21.6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转移收入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120.4万、</w:t>
      </w:r>
      <w:r>
        <w:rPr>
          <w:rFonts w:hint="eastAsia" w:ascii="仿宋_GB2312" w:hAnsi="仿宋_GB2312" w:eastAsia="仿宋_GB2312" w:cs="仿宋_GB2312"/>
          <w:sz w:val="30"/>
          <w:szCs w:val="30"/>
        </w:rPr>
        <w:t>其他收入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146.7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万元），收入较上年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减少0.1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减少5.8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1.74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亿元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的98%</w:t>
      </w:r>
      <w:r>
        <w:rPr>
          <w:rFonts w:hint="eastAsia" w:ascii="仿宋_GB2312" w:hAnsi="仿宋_GB2312" w:eastAsia="仿宋_GB2312" w:cs="仿宋_GB2312"/>
          <w:sz w:val="30"/>
          <w:szCs w:val="30"/>
        </w:rPr>
        <w:t>。基金总支出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1.76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1.62亿元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增加</w:t>
      </w:r>
      <w:r>
        <w:rPr>
          <w:rFonts w:ascii="仿宋_GB2312" w:hAnsi="仿宋_GB2312" w:eastAsia="仿宋_GB2312" w:cs="仿宋_GB2312"/>
          <w:sz w:val="30"/>
          <w:szCs w:val="30"/>
        </w:rPr>
        <w:t>0.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8.6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1.72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亿元的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99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。当年收支结余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-0.05亿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元，滚存结余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0.13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亿</w:t>
      </w:r>
      <w:r>
        <w:rPr>
          <w:rFonts w:hint="eastAsia" w:ascii="仿宋_GB2312" w:hAnsi="仿宋_GB2312" w:eastAsia="仿宋_GB2312" w:cs="仿宋_GB2312"/>
          <w:sz w:val="30"/>
          <w:szCs w:val="30"/>
        </w:rPr>
        <w:t>元。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二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城乡居民基本养老保险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color w:val="auto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年度，城乡居民基本养老保险基金总收入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5065万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保险</w:t>
      </w:r>
      <w:r>
        <w:rPr>
          <w:rFonts w:hint="eastAsia" w:ascii="仿宋_GB2312" w:hAnsi="仿宋_GB2312" w:eastAsia="仿宋_GB2312" w:cs="仿宋_GB2312"/>
          <w:sz w:val="30"/>
          <w:szCs w:val="30"/>
        </w:rPr>
        <w:t>缴费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收入1483万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财</w:t>
      </w:r>
      <w:r>
        <w:rPr>
          <w:rFonts w:hint="eastAsia" w:ascii="仿宋_GB2312" w:hAnsi="仿宋_GB2312" w:eastAsia="仿宋_GB2312" w:cs="仿宋_GB2312"/>
          <w:sz w:val="30"/>
          <w:szCs w:val="30"/>
        </w:rPr>
        <w:t>政补助收入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3295万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元，利息收入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164.9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万元、转移收入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委托投资收益96.8万元），</w:t>
      </w:r>
      <w:r>
        <w:rPr>
          <w:rFonts w:hint="eastAsia" w:ascii="仿宋_GB2312" w:hAnsi="仿宋_GB2312" w:eastAsia="仿宋_GB2312" w:cs="仿宋_GB2312"/>
          <w:sz w:val="30"/>
          <w:szCs w:val="30"/>
        </w:rPr>
        <w:t>收入较上年增长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488万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10.66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4673万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108.4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。基金总支出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3424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元（养老金支出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3421万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元、转移支出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万元）较上年支出增长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284万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元，增幅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3217万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106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。当年收支结余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1641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万元，累计结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余12250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四、组织实施和绩效管理情况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社会保险管理情况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进一步完善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城乡居民养老保险和机关事业单位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养老保险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县级</w:t>
      </w:r>
      <w:r>
        <w:rPr>
          <w:rFonts w:hint="eastAsia" w:ascii="仿宋_GB2312" w:hAnsi="仿宋_GB2312" w:eastAsia="仿宋_GB2312" w:cs="仿宋_GB2312"/>
          <w:sz w:val="30"/>
          <w:szCs w:val="30"/>
        </w:rPr>
        <w:t>统筹制度，规范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城乡居民养老保险和机关事业单位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养老保险缴费政策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绩效目标完成情况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年以基金安全运行为根本，以提高管理服务水平为重点，严格执行社会保险各项政策，建立健全内部控制制度，确保待遇发放，基金运行总体平稳。通过连续几年为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农牧民增加缴费补贴，</w:t>
      </w:r>
      <w:r>
        <w:rPr>
          <w:rFonts w:hint="eastAsia" w:ascii="仿宋_GB2312" w:hAnsi="仿宋_GB2312" w:eastAsia="仿宋_GB2312" w:cs="仿宋_GB2312"/>
          <w:sz w:val="30"/>
          <w:szCs w:val="30"/>
        </w:rPr>
        <w:t>逐步提高保险待遇支付标准，使参保人员的获得感、幸福感不断增强。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社保经办机构按照“流程覆盖、环节把控、职责明确”的工作思路，实现了经办和管理工作规范、有效运行，保障了基金安全。一是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规范业务流程，</w:t>
      </w:r>
      <w:r>
        <w:rPr>
          <w:rFonts w:hint="eastAsia" w:ascii="仿宋_GB2312" w:hAnsi="仿宋_GB2312" w:eastAsia="仿宋_GB2312" w:cs="仿宋_GB2312"/>
          <w:sz w:val="30"/>
          <w:szCs w:val="30"/>
        </w:rPr>
        <w:t>健全内控制度。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0"/>
          <w:szCs w:val="30"/>
        </w:rPr>
        <w:t>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无违反业务规程、信息系统操作流程规定以及岗位职责、审批权限，办理社会保险业务、修改社会保险信息的现象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。三是</w:t>
      </w:r>
      <w:r>
        <w:rPr>
          <w:rFonts w:hint="eastAsia" w:ascii="仿宋_GB2312" w:hAnsi="仿宋_GB2312" w:eastAsia="仿宋_GB2312" w:cs="仿宋_GB2312"/>
          <w:sz w:val="30"/>
          <w:szCs w:val="30"/>
        </w:rPr>
        <w:t>按规定与银行、财政部门等核对基金的收付情况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严格执行基金支付政策，按月足额发放待遇，做到不拖欠、不挪用、不挤占社保基金。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年各项社会保险待遇也在规定时限内足额领取，社会满意度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以上，保障了退休人员的晚年生活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坚定维护了新疆社会稳定和长治久安。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年机关事业养老保险（改革）基金总支出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1.76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</w:t>
      </w:r>
      <w:r>
        <w:rPr>
          <w:rFonts w:ascii="仿宋_GB2312" w:hAnsi="仿宋_GB2312" w:eastAsia="仿宋_GB2312" w:cs="仿宋_GB2312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sz w:val="30"/>
          <w:szCs w:val="30"/>
        </w:rPr>
        <w:t>其中：基本养老金待遇支出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1.76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全年保障离退休人员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2475</w:t>
      </w:r>
      <w:r>
        <w:rPr>
          <w:rFonts w:hint="eastAsia" w:ascii="仿宋_GB2312" w:hAnsi="仿宋_GB2312" w:eastAsia="仿宋_GB2312" w:cs="仿宋_GB2312"/>
          <w:sz w:val="30"/>
          <w:szCs w:val="30"/>
        </w:rPr>
        <w:t>人的基本养老金待遇发放。全年预算支出执行目标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以上，按时足额发放养老金，首次待遇发放准确率</w:t>
      </w:r>
      <w:r>
        <w:rPr>
          <w:rFonts w:ascii="仿宋_GB2312" w:hAnsi="仿宋_GB2312" w:eastAsia="仿宋_GB2312" w:cs="仿宋_GB2312"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年城乡居民基本养老保险基金总支出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3424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元，全年享受养老保险待遇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15038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人。全年预算支出执行目标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99.5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以，按照承诺时限将及时足额将待遇资金拨付参保个人，首次发放准确率</w:t>
      </w:r>
      <w:r>
        <w:rPr>
          <w:rFonts w:ascii="仿宋_GB2312" w:hAnsi="仿宋_GB2312" w:eastAsia="仿宋_GB2312" w:cs="仿宋_GB2312"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五、下一年度计划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养老保险按国家统一安排、同步调整企业和机关事业单位退休人员基本养老金。继续推动机关事业单位养老保险改革，全面实现参保缴费、待遇发放和新办法计发。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五、存在问题和建议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一是绩效目标设定还不太合理有待进一步完善。建议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由上级部门制定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社会保险基金支出绩效目标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，而不是由经办机构自行制定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二是工作人员岗位变动频繁，业务经办水平有待提高，对业务经办人员的培训工作有待加强。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六、附表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社会保险支出绩效自评表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1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44A7091"/>
    <w:rsid w:val="19EA68B2"/>
    <w:rsid w:val="1C4D6DDE"/>
    <w:rsid w:val="28BB1F36"/>
    <w:rsid w:val="4B9E0B76"/>
    <w:rsid w:val="6FD02B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8"/>
    <w:qFormat/>
    <w:uiPriority w:val="0"/>
    <w:pPr>
      <w:keepNext/>
      <w:widowControl/>
      <w:spacing w:before="240" w:after="60"/>
      <w:jc w:val="left"/>
      <w:outlineLvl w:val="0"/>
    </w:pPr>
    <w:rPr>
      <w:rFonts w:ascii="Cambria" w:hAnsi="Cambria" w:eastAsia="宋体" w:cs="Cambr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9"/>
    <w:qFormat/>
    <w:uiPriority w:val="0"/>
    <w:pPr>
      <w:keepNext/>
      <w:widowControl/>
      <w:spacing w:before="240" w:after="60"/>
      <w:jc w:val="left"/>
      <w:outlineLvl w:val="1"/>
    </w:pPr>
    <w:rPr>
      <w:rFonts w:ascii="Cambria" w:hAnsi="Cambria" w:eastAsia="宋体" w:cs="Cambria"/>
      <w:b/>
      <w:bCs/>
      <w:i/>
      <w:iCs/>
      <w:sz w:val="28"/>
      <w:szCs w:val="28"/>
    </w:rPr>
  </w:style>
  <w:style w:type="paragraph" w:styleId="5">
    <w:name w:val="heading 3"/>
    <w:basedOn w:val="1"/>
    <w:next w:val="1"/>
    <w:link w:val="30"/>
    <w:qFormat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 w:cs="Cambria"/>
      <w:b/>
      <w:bCs/>
      <w:sz w:val="26"/>
      <w:szCs w:val="26"/>
    </w:rPr>
  </w:style>
  <w:style w:type="paragraph" w:styleId="6">
    <w:name w:val="heading 4"/>
    <w:basedOn w:val="1"/>
    <w:next w:val="1"/>
    <w:link w:val="31"/>
    <w:qFormat/>
    <w:uiPriority w:val="0"/>
    <w:pPr>
      <w:keepNext/>
      <w:widowControl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7">
    <w:name w:val="heading 5"/>
    <w:basedOn w:val="1"/>
    <w:next w:val="1"/>
    <w:link w:val="32"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8">
    <w:name w:val="heading 6"/>
    <w:basedOn w:val="1"/>
    <w:next w:val="1"/>
    <w:link w:val="33"/>
    <w:qFormat/>
    <w:uiPriority w:val="0"/>
    <w:pPr>
      <w:widowControl/>
      <w:spacing w:before="240" w:after="60"/>
      <w:jc w:val="left"/>
      <w:outlineLvl w:val="5"/>
    </w:pPr>
    <w:rPr>
      <w:b/>
      <w:bCs/>
    </w:rPr>
  </w:style>
  <w:style w:type="paragraph" w:styleId="9">
    <w:name w:val="heading 7"/>
    <w:basedOn w:val="1"/>
    <w:next w:val="1"/>
    <w:link w:val="34"/>
    <w:qFormat/>
    <w:uiPriority w:val="0"/>
    <w:pPr>
      <w:widowControl/>
      <w:spacing w:before="240" w:after="60"/>
      <w:jc w:val="left"/>
      <w:outlineLvl w:val="6"/>
    </w:pPr>
    <w:rPr>
      <w:sz w:val="24"/>
      <w:szCs w:val="24"/>
    </w:rPr>
  </w:style>
  <w:style w:type="paragraph" w:styleId="10">
    <w:name w:val="heading 8"/>
    <w:basedOn w:val="1"/>
    <w:next w:val="1"/>
    <w:link w:val="35"/>
    <w:qFormat/>
    <w:uiPriority w:val="0"/>
    <w:pPr>
      <w:widowControl/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link w:val="36"/>
    <w:qFormat/>
    <w:uiPriority w:val="0"/>
    <w:pPr>
      <w:widowControl/>
      <w:spacing w:before="240" w:after="60"/>
      <w:jc w:val="left"/>
      <w:outlineLvl w:val="8"/>
    </w:pPr>
    <w:rPr>
      <w:rFonts w:ascii="Cambria" w:hAnsi="Cambria" w:eastAsia="宋体" w:cs="Cambria"/>
    </w:rPr>
  </w:style>
  <w:style w:type="character" w:default="1" w:styleId="17">
    <w:name w:val="Default Paragraph Font"/>
    <w:link w:val="18"/>
    <w:semiHidden/>
    <w:qFormat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7"/>
    <w:qFormat/>
    <w:uiPriority w:val="0"/>
    <w:pPr>
      <w:jc w:val="center"/>
    </w:pPr>
    <w:rPr>
      <w:sz w:val="24"/>
      <w:szCs w:val="24"/>
    </w:rPr>
  </w:style>
  <w:style w:type="paragraph" w:styleId="12">
    <w:name w:val="footer"/>
    <w:basedOn w:val="1"/>
    <w:link w:val="3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kern w:val="2"/>
      <w:sz w:val="18"/>
      <w:szCs w:val="18"/>
    </w:rPr>
  </w:style>
  <w:style w:type="paragraph" w:styleId="13">
    <w:name w:val="header"/>
    <w:basedOn w:val="1"/>
    <w:link w:val="4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kern w:val="2"/>
      <w:sz w:val="18"/>
      <w:szCs w:val="18"/>
    </w:rPr>
  </w:style>
  <w:style w:type="paragraph" w:styleId="14">
    <w:name w:val="Subtitle"/>
    <w:basedOn w:val="1"/>
    <w:next w:val="1"/>
    <w:link w:val="41"/>
    <w:qFormat/>
    <w:uiPriority w:val="0"/>
    <w:pPr>
      <w:widowControl/>
      <w:spacing w:after="60"/>
      <w:jc w:val="center"/>
      <w:outlineLvl w:val="1"/>
    </w:pPr>
    <w:rPr>
      <w:rFonts w:ascii="Cambria" w:hAnsi="Cambria" w:eastAsia="宋体" w:cs="Cambria"/>
      <w:sz w:val="24"/>
      <w:szCs w:val="24"/>
    </w:rPr>
  </w:style>
  <w:style w:type="paragraph" w:styleId="15">
    <w:name w:val="Title"/>
    <w:basedOn w:val="1"/>
    <w:next w:val="1"/>
    <w:link w:val="42"/>
    <w:qFormat/>
    <w:uiPriority w:val="0"/>
    <w:pPr>
      <w:widowControl/>
      <w:spacing w:before="240" w:after="60"/>
      <w:jc w:val="center"/>
      <w:outlineLvl w:val="0"/>
    </w:pPr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18">
    <w:name w:val="Char Char Char Char Char Char1 Char Char Char Char"/>
    <w:basedOn w:val="1"/>
    <w:link w:val="17"/>
    <w:qFormat/>
    <w:uiPriority w:val="0"/>
  </w:style>
  <w:style w:type="character" w:styleId="19">
    <w:name w:val="Strong"/>
    <w:basedOn w:val="17"/>
    <w:qFormat/>
    <w:uiPriority w:val="0"/>
    <w:rPr>
      <w:b/>
      <w:bCs/>
    </w:rPr>
  </w:style>
  <w:style w:type="character" w:styleId="20">
    <w:name w:val="Emphasis"/>
    <w:basedOn w:val="17"/>
    <w:qFormat/>
    <w:uiPriority w:val="0"/>
    <w:rPr>
      <w:rFonts w:ascii="Calibri" w:hAnsi="Calibri" w:cs="Calibri"/>
      <w:b/>
      <w:bCs/>
      <w:i/>
      <w:iCs/>
    </w:rPr>
  </w:style>
  <w:style w:type="paragraph" w:customStyle="1" w:styleId="21">
    <w:name w:val="Block Text"/>
    <w:basedOn w:val="1"/>
    <w:next w:val="1"/>
    <w:link w:val="43"/>
    <w:qFormat/>
    <w:uiPriority w:val="0"/>
    <w:pPr>
      <w:widowControl/>
      <w:jc w:val="left"/>
    </w:pPr>
    <w:rPr>
      <w:i/>
      <w:iCs/>
      <w:sz w:val="24"/>
      <w:szCs w:val="24"/>
    </w:rPr>
  </w:style>
  <w:style w:type="paragraph" w:customStyle="1" w:styleId="22">
    <w:name w:val="批注框文本 Char Char"/>
    <w:basedOn w:val="1"/>
    <w:link w:val="3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4"/>
    </w:rPr>
  </w:style>
  <w:style w:type="paragraph" w:customStyle="1" w:styleId="24">
    <w:name w:val="No Spacing"/>
    <w:basedOn w:val="1"/>
    <w:qFormat/>
    <w:uiPriority w:val="0"/>
    <w:pPr>
      <w:widowControl/>
      <w:jc w:val="left"/>
    </w:pPr>
    <w:rPr>
      <w:rFonts w:ascii="Calibri" w:hAnsi="Calibri" w:eastAsia="宋体" w:cs="Calibri"/>
      <w:kern w:val="0"/>
      <w:sz w:val="24"/>
      <w:szCs w:val="24"/>
      <w:lang w:val="en-US" w:eastAsia="en-US" w:bidi="ar-SA"/>
    </w:rPr>
  </w:style>
  <w:style w:type="paragraph" w:customStyle="1" w:styleId="25">
    <w:name w:val="List Paragraph"/>
    <w:basedOn w:val="1"/>
    <w:qFormat/>
    <w:uiPriority w:val="0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26">
    <w:name w:val="Intense Quote"/>
    <w:basedOn w:val="1"/>
    <w:next w:val="1"/>
    <w:link w:val="44"/>
    <w:qFormat/>
    <w:uiPriority w:val="0"/>
    <w:pPr>
      <w:widowControl/>
      <w:ind w:left="720" w:right="720"/>
      <w:jc w:val="left"/>
    </w:pPr>
    <w:rPr>
      <w:b/>
      <w:bCs/>
      <w:i/>
      <w:iCs/>
      <w:sz w:val="24"/>
      <w:szCs w:val="24"/>
    </w:rPr>
  </w:style>
  <w:style w:type="paragraph" w:customStyle="1" w:styleId="27">
    <w:name w:val="TOC Heading1"/>
    <w:basedOn w:val="3"/>
    <w:next w:val="1"/>
    <w:qFormat/>
    <w:uiPriority w:val="0"/>
    <w:pPr>
      <w:outlineLvl w:val="9"/>
    </w:pPr>
    <w:rPr>
      <w:lang w:eastAsia="en-US"/>
    </w:rPr>
  </w:style>
  <w:style w:type="character" w:customStyle="1" w:styleId="28">
    <w:name w:val="Heading 1 Char"/>
    <w:basedOn w:val="17"/>
    <w:link w:val="3"/>
    <w:semiHidden/>
    <w:qFormat/>
    <w:uiPriority w:val="0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9">
    <w:name w:val="Heading 2 Char"/>
    <w:basedOn w:val="17"/>
    <w:link w:val="4"/>
    <w:semiHidden/>
    <w:qFormat/>
    <w:uiPriority w:val="0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30">
    <w:name w:val="Heading 3 Char"/>
    <w:basedOn w:val="17"/>
    <w:link w:val="5"/>
    <w:semiHidden/>
    <w:qFormat/>
    <w:uiPriority w:val="0"/>
    <w:rPr>
      <w:rFonts w:ascii="Cambria" w:hAnsi="Cambria" w:eastAsia="宋体" w:cs="Cambria"/>
      <w:b/>
      <w:bCs/>
      <w:sz w:val="26"/>
      <w:szCs w:val="26"/>
    </w:rPr>
  </w:style>
  <w:style w:type="character" w:customStyle="1" w:styleId="31">
    <w:name w:val="Heading 4 Char"/>
    <w:basedOn w:val="17"/>
    <w:link w:val="6"/>
    <w:semiHidden/>
    <w:qFormat/>
    <w:uiPriority w:val="0"/>
    <w:rPr>
      <w:b/>
      <w:bCs/>
      <w:sz w:val="28"/>
      <w:szCs w:val="28"/>
    </w:rPr>
  </w:style>
  <w:style w:type="character" w:customStyle="1" w:styleId="32">
    <w:name w:val="Heading 5 Char"/>
    <w:basedOn w:val="17"/>
    <w:link w:val="7"/>
    <w:semiHidden/>
    <w:qFormat/>
    <w:uiPriority w:val="0"/>
    <w:rPr>
      <w:b/>
      <w:bCs/>
      <w:i/>
      <w:iCs/>
      <w:sz w:val="26"/>
      <w:szCs w:val="26"/>
    </w:rPr>
  </w:style>
  <w:style w:type="character" w:customStyle="1" w:styleId="33">
    <w:name w:val="Heading 6 Char"/>
    <w:basedOn w:val="17"/>
    <w:link w:val="8"/>
    <w:semiHidden/>
    <w:qFormat/>
    <w:uiPriority w:val="0"/>
    <w:rPr>
      <w:b/>
      <w:bCs/>
    </w:rPr>
  </w:style>
  <w:style w:type="character" w:customStyle="1" w:styleId="34">
    <w:name w:val="Heading 7 Char"/>
    <w:basedOn w:val="17"/>
    <w:link w:val="9"/>
    <w:semiHidden/>
    <w:qFormat/>
    <w:uiPriority w:val="0"/>
    <w:rPr>
      <w:sz w:val="24"/>
      <w:szCs w:val="24"/>
    </w:rPr>
  </w:style>
  <w:style w:type="character" w:customStyle="1" w:styleId="35">
    <w:name w:val="Heading 8 Char"/>
    <w:basedOn w:val="17"/>
    <w:link w:val="10"/>
    <w:semiHidden/>
    <w:qFormat/>
    <w:uiPriority w:val="0"/>
    <w:rPr>
      <w:i/>
      <w:iCs/>
      <w:sz w:val="24"/>
      <w:szCs w:val="24"/>
    </w:rPr>
  </w:style>
  <w:style w:type="character" w:customStyle="1" w:styleId="36">
    <w:name w:val="Heading 9 Char"/>
    <w:basedOn w:val="17"/>
    <w:link w:val="11"/>
    <w:semiHidden/>
    <w:qFormat/>
    <w:uiPriority w:val="0"/>
    <w:rPr>
      <w:rFonts w:ascii="Cambria" w:hAnsi="Cambria" w:eastAsia="宋体" w:cs="Cambria"/>
    </w:rPr>
  </w:style>
  <w:style w:type="character" w:customStyle="1" w:styleId="37">
    <w:name w:val="Body Text Char"/>
    <w:basedOn w:val="17"/>
    <w:link w:val="2"/>
    <w:semiHidden/>
    <w:qFormat/>
    <w:uiPriority w:val="0"/>
    <w:rPr>
      <w:sz w:val="24"/>
      <w:szCs w:val="24"/>
    </w:rPr>
  </w:style>
  <w:style w:type="character" w:customStyle="1" w:styleId="38">
    <w:name w:val="Balloon Text Char"/>
    <w:basedOn w:val="17"/>
    <w:link w:val="22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9">
    <w:name w:val="Footer Char"/>
    <w:basedOn w:val="17"/>
    <w:link w:val="12"/>
    <w:semiHidden/>
    <w:qFormat/>
    <w:uiPriority w:val="0"/>
    <w:rPr>
      <w:rFonts w:ascii="Calibri" w:hAnsi="Calibri" w:eastAsia="宋体" w:cs="Calibri"/>
      <w:kern w:val="2"/>
      <w:sz w:val="18"/>
      <w:szCs w:val="18"/>
    </w:rPr>
  </w:style>
  <w:style w:type="character" w:customStyle="1" w:styleId="40">
    <w:name w:val="Header Char"/>
    <w:basedOn w:val="17"/>
    <w:link w:val="13"/>
    <w:semiHidden/>
    <w:qFormat/>
    <w:uiPriority w:val="0"/>
    <w:rPr>
      <w:rFonts w:ascii="Calibri" w:hAnsi="Calibri" w:eastAsia="宋体" w:cs="Calibri"/>
      <w:kern w:val="2"/>
      <w:sz w:val="18"/>
      <w:szCs w:val="18"/>
    </w:rPr>
  </w:style>
  <w:style w:type="character" w:customStyle="1" w:styleId="41">
    <w:name w:val="Subtitle Char"/>
    <w:basedOn w:val="17"/>
    <w:link w:val="14"/>
    <w:semiHidden/>
    <w:qFormat/>
    <w:uiPriority w:val="0"/>
    <w:rPr>
      <w:rFonts w:ascii="Cambria" w:hAnsi="Cambria" w:eastAsia="宋体" w:cs="Cambria"/>
      <w:sz w:val="24"/>
      <w:szCs w:val="24"/>
    </w:rPr>
  </w:style>
  <w:style w:type="character" w:customStyle="1" w:styleId="42">
    <w:name w:val="Title Char"/>
    <w:basedOn w:val="17"/>
    <w:link w:val="15"/>
    <w:semiHidden/>
    <w:uiPriority w:val="0"/>
    <w:rPr>
      <w:rFonts w:ascii="Cambria" w:hAnsi="Cambria" w:eastAsia="宋体" w:cs="Cambria"/>
      <w:b/>
      <w:bCs/>
      <w:kern w:val="28"/>
      <w:sz w:val="32"/>
      <w:szCs w:val="32"/>
    </w:rPr>
  </w:style>
  <w:style w:type="character" w:customStyle="1" w:styleId="43">
    <w:name w:val="Quote Char"/>
    <w:basedOn w:val="17"/>
    <w:link w:val="21"/>
    <w:semiHidden/>
    <w:uiPriority w:val="0"/>
    <w:rPr>
      <w:i/>
      <w:iCs/>
      <w:sz w:val="24"/>
      <w:szCs w:val="24"/>
    </w:rPr>
  </w:style>
  <w:style w:type="character" w:customStyle="1" w:styleId="44">
    <w:name w:val="Intense Quote Char Char"/>
    <w:basedOn w:val="17"/>
    <w:link w:val="26"/>
    <w:semiHidden/>
    <w:qFormat/>
    <w:uiPriority w:val="0"/>
    <w:rPr>
      <w:b/>
      <w:bCs/>
      <w:i/>
      <w:iCs/>
      <w:sz w:val="24"/>
      <w:szCs w:val="24"/>
    </w:rPr>
  </w:style>
  <w:style w:type="character" w:customStyle="1" w:styleId="45">
    <w:name w:val="Subtle Emphasis1"/>
    <w:qFormat/>
    <w:uiPriority w:val="0"/>
    <w:rPr>
      <w:i/>
      <w:iCs/>
      <w:color w:val="auto"/>
    </w:rPr>
  </w:style>
  <w:style w:type="character" w:customStyle="1" w:styleId="46">
    <w:name w:val="Intense Emphasis1"/>
    <w:basedOn w:val="17"/>
    <w:qFormat/>
    <w:uiPriority w:val="0"/>
    <w:rPr>
      <w:b/>
      <w:bCs/>
      <w:i/>
      <w:iCs/>
      <w:sz w:val="24"/>
      <w:szCs w:val="24"/>
      <w:u w:val="single"/>
    </w:rPr>
  </w:style>
  <w:style w:type="character" w:customStyle="1" w:styleId="47">
    <w:name w:val="Subtle Reference1"/>
    <w:basedOn w:val="17"/>
    <w:qFormat/>
    <w:uiPriority w:val="0"/>
    <w:rPr>
      <w:sz w:val="24"/>
      <w:szCs w:val="24"/>
      <w:u w:val="single"/>
    </w:rPr>
  </w:style>
  <w:style w:type="character" w:customStyle="1" w:styleId="48">
    <w:name w:val="Intense Reference1"/>
    <w:basedOn w:val="17"/>
    <w:qFormat/>
    <w:uiPriority w:val="0"/>
    <w:rPr>
      <w:b/>
      <w:bCs/>
      <w:sz w:val="24"/>
      <w:szCs w:val="24"/>
      <w:u w:val="single"/>
    </w:rPr>
  </w:style>
  <w:style w:type="character" w:customStyle="1" w:styleId="49">
    <w:name w:val="Book Title1"/>
    <w:basedOn w:val="17"/>
    <w:qFormat/>
    <w:uiPriority w:val="0"/>
    <w:rPr>
      <w:rFonts w:ascii="Cambria" w:hAnsi="Cambria" w:eastAsia="宋体" w:cs="Cambria"/>
      <w:b/>
      <w:bCs/>
      <w:i/>
      <w:i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12</Pages>
  <Words>1091</Words>
  <Characters>6222</Characters>
  <Lines>0</Lines>
  <Paragraphs>0</Paragraphs>
  <TotalTime>32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2019-03-03T10:44:00Z</dcterms:created>
  <dc:creator>赵 恺（预算处）</dc:creator>
  <cp:lastModifiedBy>Administrator</cp:lastModifiedBy>
  <cp:lastPrinted>2021-09-10T04:53:00Z</cp:lastPrinted>
  <dcterms:modified xsi:type="dcterms:W3CDTF">2022-10-14T10:05:40Z</dcterms:modified>
  <dc:title>自治区本级社会保险支出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