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240" w:after="240"/>
        <w:jc w:val="left"/>
        <w:textAlignment w:val="top"/>
        <w:outlineLvl w:val="0"/>
        <w:rPr>
          <w:rFonts w:ascii="Arial" w:hAnsi="Arial" w:cs="Arial"/>
          <w:b/>
          <w:bCs/>
          <w:kern w:val="36"/>
          <w:sz w:val="44"/>
          <w:szCs w:val="44"/>
        </w:rPr>
      </w:pPr>
      <w:r>
        <w:rPr>
          <w:rFonts w:hint="eastAsia" w:ascii="Arial" w:hAnsi="Arial" w:cs="Arial"/>
          <w:b/>
          <w:bCs/>
          <w:kern w:val="36"/>
          <w:sz w:val="44"/>
          <w:szCs w:val="44"/>
        </w:rPr>
        <w:t>机关工委</w:t>
      </w:r>
      <w:r>
        <w:rPr>
          <w:rFonts w:ascii="Arial" w:hAnsi="Arial" w:cs="Arial"/>
          <w:b/>
          <w:bCs/>
          <w:kern w:val="36"/>
          <w:sz w:val="44"/>
          <w:szCs w:val="44"/>
        </w:rPr>
        <w:t>2016</w:t>
      </w:r>
      <w:r>
        <w:rPr>
          <w:rFonts w:hint="eastAsia" w:ascii="Arial" w:hAnsi="Arial" w:cs="Arial"/>
          <w:b/>
          <w:bCs/>
          <w:kern w:val="36"/>
          <w:sz w:val="44"/>
          <w:szCs w:val="44"/>
        </w:rPr>
        <w:t>年部门决算信息公开报告</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r>
        <w:rPr>
          <w:rFonts w:hint="eastAsia" w:ascii="Arial" w:hAnsi="Arial" w:cs="Arial"/>
          <w:kern w:val="0"/>
          <w:sz w:val="28"/>
          <w:szCs w:val="28"/>
        </w:rPr>
        <w:t>根据吉木萨尔县财政局《关于做好</w:t>
      </w:r>
      <w:r>
        <w:rPr>
          <w:rFonts w:ascii="Arial" w:hAnsi="Arial" w:cs="Arial"/>
          <w:kern w:val="0"/>
          <w:sz w:val="28"/>
          <w:szCs w:val="28"/>
        </w:rPr>
        <w:t>2016</w:t>
      </w:r>
      <w:r>
        <w:rPr>
          <w:rFonts w:hint="eastAsia" w:ascii="Arial" w:hAnsi="Arial" w:cs="Arial"/>
          <w:kern w:val="0"/>
          <w:sz w:val="28"/>
          <w:szCs w:val="28"/>
        </w:rPr>
        <w:t>年度吉木萨尔县部门决算公开工作的通知》有关规定，现将</w:t>
      </w:r>
      <w:r>
        <w:rPr>
          <w:rFonts w:hint="eastAsia" w:ascii="Arial" w:hAnsi="Arial" w:cs="Arial"/>
          <w:b/>
          <w:bCs/>
          <w:kern w:val="36"/>
          <w:sz w:val="28"/>
          <w:szCs w:val="28"/>
        </w:rPr>
        <w:t>机关工委</w:t>
      </w:r>
      <w:r>
        <w:rPr>
          <w:rFonts w:ascii="Arial" w:hAnsi="Arial" w:cs="Arial"/>
          <w:kern w:val="0"/>
          <w:sz w:val="28"/>
          <w:szCs w:val="28"/>
        </w:rPr>
        <w:t>2016</w:t>
      </w:r>
      <w:r>
        <w:rPr>
          <w:rFonts w:hint="eastAsia" w:ascii="Arial" w:hAnsi="Arial" w:cs="Arial"/>
          <w:kern w:val="0"/>
          <w:sz w:val="28"/>
          <w:szCs w:val="28"/>
        </w:rPr>
        <w:t>年部门决算和</w:t>
      </w:r>
      <w:r>
        <w:rPr>
          <w:rFonts w:ascii="Arial" w:hAnsi="Arial" w:cs="Arial"/>
          <w:kern w:val="0"/>
          <w:sz w:val="28"/>
          <w:szCs w:val="28"/>
        </w:rPr>
        <w:t>“</w:t>
      </w:r>
      <w:r>
        <w:rPr>
          <w:rFonts w:hint="eastAsia" w:ascii="Arial" w:hAnsi="Arial" w:cs="Arial"/>
          <w:kern w:val="0"/>
          <w:sz w:val="28"/>
          <w:szCs w:val="28"/>
        </w:rPr>
        <w:t>三公</w:t>
      </w:r>
      <w:r>
        <w:rPr>
          <w:rFonts w:ascii="Arial" w:hAnsi="Arial" w:cs="Arial"/>
          <w:kern w:val="0"/>
          <w:sz w:val="28"/>
          <w:szCs w:val="28"/>
        </w:rPr>
        <w:t>”</w:t>
      </w:r>
      <w:r>
        <w:rPr>
          <w:rFonts w:hint="eastAsia" w:ascii="Arial" w:hAnsi="Arial" w:cs="Arial"/>
          <w:kern w:val="0"/>
          <w:sz w:val="28"/>
          <w:szCs w:val="28"/>
        </w:rPr>
        <w:t>经费决算信息公开如下。</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一、部门基本情况</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（一）主要职能：</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r>
        <w:rPr>
          <w:rFonts w:hint="eastAsia" w:ascii="宋体" w:hAnsi="宋体"/>
          <w:sz w:val="28"/>
          <w:szCs w:val="28"/>
        </w:rPr>
        <w:t>县直属机关工委是县委派出机构，代表县委行使领导管理县直机关党的工作的职能</w:t>
      </w:r>
    </w:p>
    <w:p>
      <w:pPr>
        <w:spacing w:line="360" w:lineRule="auto"/>
        <w:rPr>
          <w:rFonts w:ascii="宋体"/>
          <w:sz w:val="28"/>
          <w:szCs w:val="28"/>
        </w:rPr>
      </w:pPr>
      <w:r>
        <w:rPr>
          <w:rFonts w:ascii="宋体" w:hAnsi="宋体"/>
          <w:sz w:val="28"/>
          <w:szCs w:val="28"/>
        </w:rPr>
        <w:t>1</w:t>
      </w:r>
      <w:r>
        <w:rPr>
          <w:rFonts w:hint="eastAsia" w:ascii="宋体" w:hAnsi="宋体"/>
          <w:sz w:val="28"/>
          <w:szCs w:val="28"/>
        </w:rPr>
        <w:t>、提出机关党的建设的总体设想和宏观规划并组织实施，指导机关党组织抓好党的思想、组织、作风建设和党员管理教育，做好发展新党员工作，及时向县委县政府党组织报告党的建设情况。</w:t>
      </w:r>
    </w:p>
    <w:p>
      <w:pPr>
        <w:spacing w:line="360" w:lineRule="auto"/>
        <w:rPr>
          <w:rFonts w:ascii="宋体"/>
          <w:sz w:val="28"/>
          <w:szCs w:val="28"/>
        </w:rPr>
      </w:pPr>
      <w:r>
        <w:rPr>
          <w:rFonts w:ascii="宋体" w:hAnsi="宋体"/>
          <w:sz w:val="28"/>
          <w:szCs w:val="28"/>
        </w:rPr>
        <w:t>2.</w:t>
      </w:r>
      <w:r>
        <w:rPr>
          <w:rFonts w:hint="eastAsia" w:ascii="宋体" w:hAnsi="宋体"/>
          <w:sz w:val="28"/>
          <w:szCs w:val="28"/>
        </w:rPr>
        <w:t>指导县直机关党组织实话对党员特别是对党员领导监督，加强民主生活会的管理，抓好领导班子思想作风建设。</w:t>
      </w:r>
    </w:p>
    <w:p>
      <w:pPr>
        <w:spacing w:line="360" w:lineRule="auto"/>
        <w:rPr>
          <w:rFonts w:ascii="宋体"/>
          <w:sz w:val="28"/>
          <w:szCs w:val="28"/>
        </w:rPr>
      </w:pPr>
      <w:r>
        <w:rPr>
          <w:rFonts w:ascii="宋体" w:hAnsi="宋体"/>
          <w:sz w:val="28"/>
          <w:szCs w:val="28"/>
        </w:rPr>
        <w:t>3.</w:t>
      </w:r>
      <w:r>
        <w:rPr>
          <w:rFonts w:hint="eastAsia" w:ascii="宋体" w:hAnsi="宋体"/>
          <w:sz w:val="28"/>
          <w:szCs w:val="28"/>
        </w:rPr>
        <w:t>指导县直机关党组织配合行政领导抓好思想政治工作和机关思想作风建设。</w:t>
      </w:r>
    </w:p>
    <w:p>
      <w:pPr>
        <w:spacing w:line="360" w:lineRule="auto"/>
        <w:rPr>
          <w:rFonts w:ascii="宋体"/>
          <w:sz w:val="28"/>
          <w:szCs w:val="28"/>
        </w:rPr>
      </w:pPr>
      <w:r>
        <w:rPr>
          <w:rFonts w:ascii="宋体" w:hAnsi="宋体"/>
          <w:sz w:val="28"/>
          <w:szCs w:val="28"/>
        </w:rPr>
        <w:t>4.</w:t>
      </w:r>
      <w:r>
        <w:rPr>
          <w:rFonts w:hint="eastAsia" w:ascii="宋体" w:hAnsi="宋体"/>
          <w:sz w:val="28"/>
          <w:szCs w:val="28"/>
        </w:rPr>
        <w:t>指导县直机关党组织搞好换届改选工作，并对党总支（支部）书记、书记的人选做好考核工作。</w:t>
      </w:r>
    </w:p>
    <w:p>
      <w:pPr>
        <w:spacing w:line="360" w:lineRule="auto"/>
        <w:rPr>
          <w:rFonts w:ascii="宋体"/>
          <w:sz w:val="28"/>
          <w:szCs w:val="28"/>
        </w:rPr>
      </w:pPr>
      <w:r>
        <w:rPr>
          <w:rFonts w:ascii="宋体" w:hAnsi="宋体"/>
          <w:sz w:val="28"/>
          <w:szCs w:val="28"/>
        </w:rPr>
        <w:t>5.</w:t>
      </w:r>
      <w:r>
        <w:rPr>
          <w:rFonts w:hint="eastAsia" w:ascii="宋体" w:hAnsi="宋体"/>
          <w:sz w:val="28"/>
          <w:szCs w:val="28"/>
        </w:rPr>
        <w:t>健全党员和党员领导干部的民主评议和党风、党纪考核制度，指导各党总支（支部）抓好党风和廉政建设。</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（二）内设机构</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r>
        <w:rPr>
          <w:rFonts w:hint="eastAsia" w:ascii="Arial" w:hAnsi="Arial" w:cs="Arial"/>
          <w:kern w:val="0"/>
          <w:sz w:val="28"/>
          <w:szCs w:val="28"/>
        </w:rPr>
        <w:t>无内设构</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（三）人员编制</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r>
        <w:rPr>
          <w:rFonts w:hint="eastAsia" w:ascii="Arial" w:hAnsi="Arial" w:cs="Arial"/>
          <w:kern w:val="0"/>
          <w:sz w:val="28"/>
          <w:szCs w:val="28"/>
        </w:rPr>
        <w:t>机关工委编制人数</w:t>
      </w:r>
      <w:r>
        <w:rPr>
          <w:rFonts w:ascii="Arial" w:hAnsi="Arial" w:cs="Arial"/>
          <w:kern w:val="0"/>
          <w:sz w:val="28"/>
          <w:szCs w:val="28"/>
        </w:rPr>
        <w:t xml:space="preserve"> 5 </w:t>
      </w:r>
      <w:r>
        <w:rPr>
          <w:rFonts w:hint="eastAsia" w:ascii="Arial" w:hAnsi="Arial" w:cs="Arial"/>
          <w:kern w:val="0"/>
          <w:sz w:val="28"/>
          <w:szCs w:val="28"/>
        </w:rPr>
        <w:t>人，其中：行政人员编制</w:t>
      </w:r>
      <w:r>
        <w:rPr>
          <w:rFonts w:ascii="Arial" w:hAnsi="Arial" w:cs="Arial"/>
          <w:kern w:val="0"/>
          <w:sz w:val="28"/>
          <w:szCs w:val="28"/>
        </w:rPr>
        <w:t xml:space="preserve"> 5 </w:t>
      </w:r>
      <w:r>
        <w:rPr>
          <w:rFonts w:hint="eastAsia" w:ascii="Arial" w:hAnsi="Arial" w:cs="Arial"/>
          <w:kern w:val="0"/>
          <w:sz w:val="28"/>
          <w:szCs w:val="28"/>
        </w:rPr>
        <w:t>人，实有在职人数</w:t>
      </w:r>
      <w:r>
        <w:rPr>
          <w:rFonts w:ascii="Arial" w:hAnsi="Arial" w:cs="Arial"/>
          <w:kern w:val="0"/>
          <w:sz w:val="28"/>
          <w:szCs w:val="28"/>
        </w:rPr>
        <w:t xml:space="preserve"> 5 </w:t>
      </w:r>
      <w:r>
        <w:rPr>
          <w:rFonts w:hint="eastAsia" w:ascii="Arial" w:hAnsi="Arial" w:cs="Arial"/>
          <w:kern w:val="0"/>
          <w:sz w:val="28"/>
          <w:szCs w:val="28"/>
        </w:rPr>
        <w:t>人，其中：行政在职</w:t>
      </w:r>
      <w:r>
        <w:rPr>
          <w:rFonts w:ascii="Arial" w:hAnsi="Arial" w:cs="Arial"/>
          <w:kern w:val="0"/>
          <w:sz w:val="28"/>
          <w:szCs w:val="28"/>
        </w:rPr>
        <w:t xml:space="preserve"> 5 </w:t>
      </w:r>
      <w:r>
        <w:rPr>
          <w:rFonts w:hint="eastAsia" w:ascii="Arial" w:hAnsi="Arial" w:cs="Arial"/>
          <w:kern w:val="0"/>
          <w:sz w:val="28"/>
          <w:szCs w:val="28"/>
        </w:rPr>
        <w:t>人。离退休人员</w:t>
      </w:r>
      <w:r>
        <w:rPr>
          <w:rFonts w:ascii="Arial" w:hAnsi="Arial" w:cs="Arial"/>
          <w:kern w:val="0"/>
          <w:sz w:val="28"/>
          <w:szCs w:val="28"/>
        </w:rPr>
        <w:t xml:space="preserve"> 5</w:t>
      </w:r>
      <w:r>
        <w:rPr>
          <w:rFonts w:hint="eastAsia" w:ascii="Arial" w:hAnsi="Arial" w:cs="Arial"/>
          <w:kern w:val="0"/>
          <w:sz w:val="28"/>
          <w:szCs w:val="28"/>
        </w:rPr>
        <w:t>人，其中：退休人员</w:t>
      </w:r>
      <w:r>
        <w:rPr>
          <w:rFonts w:ascii="Arial" w:hAnsi="Arial" w:cs="Arial"/>
          <w:kern w:val="0"/>
          <w:sz w:val="28"/>
          <w:szCs w:val="28"/>
        </w:rPr>
        <w:t xml:space="preserve"> 5</w:t>
      </w:r>
      <w:r>
        <w:rPr>
          <w:rFonts w:hint="eastAsia" w:ascii="Arial" w:hAnsi="Arial" w:cs="Arial"/>
          <w:kern w:val="0"/>
          <w:sz w:val="28"/>
          <w:szCs w:val="28"/>
        </w:rPr>
        <w:t>人。</w:t>
      </w:r>
    </w:p>
    <w:p>
      <w:pPr>
        <w:spacing w:line="600" w:lineRule="exact"/>
        <w:ind w:firstLine="630" w:firstLineChars="196"/>
        <w:rPr>
          <w:rFonts w:ascii="黑体" w:eastAsia="黑体"/>
          <w:b/>
          <w:sz w:val="32"/>
          <w:szCs w:val="32"/>
        </w:rPr>
      </w:pPr>
      <w:r>
        <w:rPr>
          <w:rFonts w:hint="eastAsia" w:ascii="黑体" w:eastAsia="黑体"/>
          <w:b/>
          <w:sz w:val="32"/>
          <w:szCs w:val="32"/>
        </w:rPr>
        <w:t>第二部分</w:t>
      </w:r>
      <w:r>
        <w:rPr>
          <w:rFonts w:ascii="黑体" w:eastAsia="黑体"/>
          <w:b/>
          <w:sz w:val="32"/>
          <w:szCs w:val="32"/>
        </w:rPr>
        <w:t xml:space="preserve"> </w:t>
      </w:r>
      <w:r>
        <w:rPr>
          <w:rFonts w:ascii="仿宋_GB2312" w:eastAsia="仿宋_GB2312"/>
          <w:spacing w:val="-6"/>
          <w:sz w:val="32"/>
          <w:szCs w:val="32"/>
        </w:rPr>
        <w:t>2016</w:t>
      </w:r>
      <w:r>
        <w:rPr>
          <w:rFonts w:hint="eastAsia" w:ascii="黑体" w:eastAsia="黑体"/>
          <w:b/>
          <w:sz w:val="32"/>
          <w:szCs w:val="32"/>
        </w:rPr>
        <w:t>年度部门决算报表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二、财政拨款收入支出决算总表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四、收入决算表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五、支出决算表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六、支出决算明细表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七、基本支出决算明细表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八、项目支出决算明细表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九、项目收入支出决算表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十、行政事业类项目收入支出决算表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十一、基本建设类项目收入支出决算表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十二、一般公共预算财政拨款收入支出决算表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十三、一般公共预算财政拨款支出决算明细表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十四、一般公共预算财政拨款基本支出决算明细表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十五、一般公共预算财政拨款项目支出决算明细表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十六、政府性基金预算财政拨款收入支出决算表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十七、政府性基金预算财政拨款支出决算明细表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十八、政府性基金预算财政拨款基本支出决算明细表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十九、政府性基金预算财政拨款项目支出决算明细表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二十、财政专户管理资金收入支出决算表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二十一、资产负债简表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二十二、资产情况表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二十三、国有资产收益征缴情况表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二十四、</w:t>
      </w:r>
      <w:r>
        <w:rPr>
          <w:rFonts w:ascii="仿宋_GB2312" w:eastAsia="仿宋_GB2312"/>
          <w:spacing w:val="-6"/>
          <w:sz w:val="32"/>
          <w:szCs w:val="32"/>
        </w:rPr>
        <w:t>2016</w:t>
      </w:r>
      <w:r>
        <w:rPr>
          <w:rFonts w:hint="eastAsia" w:ascii="仿宋_GB2312" w:eastAsia="仿宋_GB2312"/>
          <w:sz w:val="32"/>
          <w:szCs w:val="32"/>
        </w:rPr>
        <w:t>年度财政拨款“三公”经费支出表及说明</w:t>
      </w:r>
    </w:p>
    <w:p>
      <w:pPr>
        <w:spacing w:line="600" w:lineRule="exact"/>
        <w:ind w:firstLine="630" w:firstLineChars="196"/>
        <w:rPr>
          <w:rFonts w:ascii="黑体" w:eastAsia="黑体"/>
          <w:b/>
          <w:sz w:val="32"/>
          <w:szCs w:val="32"/>
        </w:rPr>
      </w:pPr>
      <w:r>
        <w:rPr>
          <w:rFonts w:hint="eastAsia" w:ascii="黑体" w:eastAsia="黑体"/>
          <w:b/>
          <w:sz w:val="32"/>
          <w:szCs w:val="32"/>
        </w:rPr>
        <w:t>第三部分</w:t>
      </w:r>
      <w:r>
        <w:rPr>
          <w:rFonts w:ascii="黑体" w:eastAsia="黑体"/>
          <w:b/>
          <w:sz w:val="32"/>
          <w:szCs w:val="32"/>
        </w:rPr>
        <w:t xml:space="preserve"> </w:t>
      </w:r>
      <w:r>
        <w:rPr>
          <w:rFonts w:ascii="仿宋_GB2312" w:eastAsia="仿宋_GB2312"/>
          <w:spacing w:val="-6"/>
          <w:sz w:val="32"/>
          <w:szCs w:val="32"/>
        </w:rPr>
        <w:t>2016</w:t>
      </w:r>
      <w:r>
        <w:rPr>
          <w:rFonts w:hint="eastAsia" w:ascii="黑体" w:eastAsia="黑体"/>
          <w:b/>
          <w:sz w:val="32"/>
          <w:szCs w:val="32"/>
        </w:rPr>
        <w:t>年度部门决算情况说明</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（一）决算收入情况</w:t>
      </w:r>
    </w:p>
    <w:p>
      <w:pPr>
        <w:spacing w:line="560" w:lineRule="exact"/>
        <w:ind w:firstLine="280" w:firstLineChars="100"/>
        <w:rPr>
          <w:rStyle w:val="8"/>
          <w:rFonts w:hint="eastAsia" w:ascii="宋体" w:hAnsi="宋体" w:cs="宋体"/>
          <w:b w:val="0"/>
          <w:sz w:val="32"/>
          <w:szCs w:val="32"/>
          <w:lang w:val="en-US" w:eastAsia="zh-CN"/>
        </w:rPr>
      </w:pPr>
      <w:r>
        <w:rPr>
          <w:rFonts w:hint="eastAsia" w:ascii="Arial" w:hAnsi="Arial" w:cs="Arial"/>
          <w:kern w:val="0"/>
          <w:sz w:val="28"/>
          <w:szCs w:val="28"/>
        </w:rPr>
        <w:t>根据吉木萨尔县财政局部门决算批复，机关工委收入决算为</w:t>
      </w:r>
      <w:r>
        <w:rPr>
          <w:rFonts w:ascii="Arial" w:hAnsi="Arial" w:cs="Arial"/>
          <w:kern w:val="0"/>
          <w:sz w:val="28"/>
          <w:szCs w:val="28"/>
        </w:rPr>
        <w:t>1171873.37</w:t>
      </w:r>
      <w:r>
        <w:rPr>
          <w:rFonts w:hint="eastAsia" w:ascii="Arial" w:hAnsi="Arial" w:cs="Arial"/>
          <w:kern w:val="0"/>
          <w:sz w:val="28"/>
          <w:szCs w:val="28"/>
        </w:rPr>
        <w:t>元，其中：财政拨款</w:t>
      </w:r>
      <w:r>
        <w:rPr>
          <w:rFonts w:ascii="Arial" w:hAnsi="Arial" w:cs="Arial"/>
          <w:kern w:val="0"/>
          <w:sz w:val="28"/>
          <w:szCs w:val="28"/>
        </w:rPr>
        <w:t>1027691.43</w:t>
      </w:r>
      <w:r>
        <w:rPr>
          <w:rFonts w:hint="eastAsia" w:ascii="Arial" w:hAnsi="Arial" w:cs="Arial"/>
          <w:kern w:val="0"/>
          <w:sz w:val="28"/>
          <w:szCs w:val="28"/>
        </w:rPr>
        <w:t>元，预收外收入</w:t>
      </w:r>
      <w:r>
        <w:rPr>
          <w:rFonts w:ascii="Arial" w:hAnsi="Arial" w:cs="Arial"/>
          <w:kern w:val="0"/>
          <w:sz w:val="28"/>
          <w:szCs w:val="28"/>
        </w:rPr>
        <w:t>144181.94</w:t>
      </w:r>
      <w:r>
        <w:rPr>
          <w:rFonts w:hint="eastAsia" w:ascii="Arial" w:hAnsi="Arial" w:cs="Arial"/>
          <w:kern w:val="0"/>
          <w:sz w:val="28"/>
          <w:szCs w:val="28"/>
        </w:rPr>
        <w:t>元。</w:t>
      </w:r>
      <w:r>
        <w:rPr>
          <w:rStyle w:val="8"/>
          <w:rFonts w:hint="eastAsia" w:ascii="宋体" w:hAnsi="宋体" w:cs="宋体"/>
          <w:b w:val="0"/>
          <w:sz w:val="32"/>
          <w:szCs w:val="32"/>
          <w:lang w:eastAsia="zh-CN"/>
        </w:rPr>
        <w:t>收入较上年减少</w:t>
      </w:r>
      <w:r>
        <w:rPr>
          <w:rStyle w:val="8"/>
          <w:rFonts w:hint="eastAsia" w:ascii="宋体" w:hAnsi="宋体" w:cs="宋体"/>
          <w:b w:val="0"/>
          <w:sz w:val="32"/>
          <w:szCs w:val="32"/>
          <w:lang w:val="en-US" w:eastAsia="zh-CN"/>
        </w:rPr>
        <w:t>417.02元，减少0.03%，减少原因是压缩经费。</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（二）决算支出情况</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r>
        <w:rPr>
          <w:rFonts w:ascii="Arial" w:hAnsi="Arial" w:cs="Arial"/>
          <w:kern w:val="0"/>
          <w:sz w:val="28"/>
          <w:szCs w:val="28"/>
        </w:rPr>
        <w:t>2016</w:t>
      </w:r>
      <w:r>
        <w:rPr>
          <w:rFonts w:hint="eastAsia" w:ascii="Arial" w:hAnsi="Arial" w:cs="Arial"/>
          <w:kern w:val="0"/>
          <w:sz w:val="28"/>
          <w:szCs w:val="28"/>
        </w:rPr>
        <w:t>年机关工委支出决算总额为</w:t>
      </w:r>
      <w:r>
        <w:rPr>
          <w:rFonts w:ascii="Arial" w:hAnsi="Arial" w:cs="Arial"/>
          <w:kern w:val="0"/>
          <w:sz w:val="28"/>
          <w:szCs w:val="28"/>
        </w:rPr>
        <w:t>1171964.91</w:t>
      </w:r>
      <w:r>
        <w:rPr>
          <w:rFonts w:hint="eastAsia" w:ascii="Arial" w:hAnsi="Arial" w:cs="Arial"/>
          <w:kern w:val="0"/>
          <w:sz w:val="28"/>
          <w:szCs w:val="28"/>
        </w:rPr>
        <w:t>元，其中：基本支出决算</w:t>
      </w:r>
      <w:r>
        <w:rPr>
          <w:rFonts w:ascii="Arial" w:hAnsi="Arial" w:cs="Arial"/>
          <w:kern w:val="0"/>
          <w:sz w:val="28"/>
          <w:szCs w:val="28"/>
        </w:rPr>
        <w:t>1171964.91</w:t>
      </w:r>
      <w:r>
        <w:rPr>
          <w:rFonts w:hint="eastAsia" w:ascii="Arial" w:hAnsi="Arial" w:cs="Arial"/>
          <w:kern w:val="0"/>
          <w:sz w:val="28"/>
          <w:szCs w:val="28"/>
        </w:rPr>
        <w:t>元。</w:t>
      </w:r>
    </w:p>
    <w:p>
      <w:pPr>
        <w:widowControl/>
        <w:shd w:val="clear" w:color="auto" w:fill="FFFFFF"/>
        <w:spacing w:before="100" w:beforeAutospacing="1" w:after="240"/>
        <w:ind w:firstLine="560" w:firstLineChars="200"/>
        <w:jc w:val="left"/>
        <w:textAlignment w:val="top"/>
        <w:rPr>
          <w:rFonts w:hint="eastAsia" w:ascii="Arial" w:hAnsi="Arial" w:cs="Arial"/>
          <w:kern w:val="0"/>
          <w:sz w:val="28"/>
          <w:szCs w:val="28"/>
        </w:rPr>
      </w:pPr>
      <w:r>
        <w:rPr>
          <w:rFonts w:hint="eastAsia" w:ascii="Arial" w:hAnsi="Arial" w:cs="Arial"/>
          <w:kern w:val="0"/>
          <w:sz w:val="28"/>
          <w:szCs w:val="28"/>
        </w:rPr>
        <w:t>基本支出及项目支出中，工资福利支出</w:t>
      </w:r>
      <w:r>
        <w:rPr>
          <w:rFonts w:ascii="Arial" w:hAnsi="Arial" w:cs="Arial"/>
          <w:kern w:val="0"/>
          <w:sz w:val="28"/>
          <w:szCs w:val="28"/>
        </w:rPr>
        <w:t>542295.41</w:t>
      </w:r>
      <w:r>
        <w:rPr>
          <w:rFonts w:hint="eastAsia" w:ascii="Arial" w:hAnsi="Arial" w:cs="Arial"/>
          <w:kern w:val="0"/>
          <w:sz w:val="28"/>
          <w:szCs w:val="28"/>
        </w:rPr>
        <w:t>元，商品和服务支出</w:t>
      </w:r>
      <w:r>
        <w:rPr>
          <w:rFonts w:ascii="Arial" w:hAnsi="Arial" w:cs="Arial"/>
          <w:kern w:val="0"/>
          <w:sz w:val="28"/>
          <w:szCs w:val="28"/>
        </w:rPr>
        <w:t>459769.70</w:t>
      </w:r>
      <w:r>
        <w:rPr>
          <w:rFonts w:hint="eastAsia" w:ascii="Arial" w:hAnsi="Arial" w:cs="Arial"/>
          <w:kern w:val="0"/>
          <w:sz w:val="28"/>
          <w:szCs w:val="28"/>
        </w:rPr>
        <w:t>元，对个人和家庭的补助支出</w:t>
      </w:r>
      <w:r>
        <w:rPr>
          <w:rFonts w:ascii="Arial" w:hAnsi="Arial" w:cs="Arial"/>
          <w:kern w:val="0"/>
          <w:sz w:val="28"/>
          <w:szCs w:val="28"/>
        </w:rPr>
        <w:t>169899.80</w:t>
      </w:r>
      <w:r>
        <w:rPr>
          <w:rFonts w:hint="eastAsia" w:ascii="Arial" w:hAnsi="Arial" w:cs="Arial"/>
          <w:kern w:val="0"/>
          <w:sz w:val="28"/>
          <w:szCs w:val="28"/>
        </w:rPr>
        <w:t>元，其他资本性支出</w:t>
      </w:r>
      <w:r>
        <w:rPr>
          <w:rFonts w:ascii="Arial" w:hAnsi="Arial" w:cs="Arial"/>
          <w:kern w:val="0"/>
          <w:sz w:val="28"/>
          <w:szCs w:val="28"/>
        </w:rPr>
        <w:t xml:space="preserve">  0  </w:t>
      </w:r>
      <w:r>
        <w:rPr>
          <w:rFonts w:hint="eastAsia" w:ascii="Arial" w:hAnsi="Arial" w:cs="Arial"/>
          <w:kern w:val="0"/>
          <w:sz w:val="28"/>
          <w:szCs w:val="28"/>
        </w:rPr>
        <w:t>元。</w:t>
      </w:r>
    </w:p>
    <w:p>
      <w:pPr>
        <w:spacing w:line="560" w:lineRule="exact"/>
        <w:ind w:firstLine="320" w:firstLineChars="100"/>
        <w:rPr>
          <w:rStyle w:val="8"/>
          <w:rFonts w:hint="eastAsia" w:ascii="宋体" w:hAnsi="宋体" w:cs="宋体"/>
          <w:b w:val="0"/>
          <w:sz w:val="32"/>
          <w:szCs w:val="32"/>
          <w:lang w:val="en-US" w:eastAsia="zh-CN"/>
        </w:rPr>
      </w:pPr>
      <w:r>
        <w:rPr>
          <w:rStyle w:val="8"/>
          <w:rFonts w:hint="eastAsia" w:ascii="宋体" w:hAnsi="宋体" w:cs="宋体"/>
          <w:b w:val="0"/>
          <w:sz w:val="32"/>
          <w:szCs w:val="32"/>
          <w:lang w:eastAsia="zh-CN"/>
        </w:rPr>
        <w:t>支出较上年减少</w:t>
      </w:r>
      <w:r>
        <w:rPr>
          <w:rStyle w:val="8"/>
          <w:rFonts w:hint="eastAsia" w:ascii="宋体" w:hAnsi="宋体" w:cs="宋体"/>
          <w:b w:val="0"/>
          <w:sz w:val="32"/>
          <w:szCs w:val="32"/>
          <w:lang w:val="en-US" w:eastAsia="zh-CN"/>
        </w:rPr>
        <w:t>7429.83元，</w:t>
      </w:r>
      <w:bookmarkStart w:id="0" w:name="_GoBack"/>
      <w:bookmarkEnd w:id="0"/>
      <w:r>
        <w:rPr>
          <w:rStyle w:val="8"/>
          <w:rFonts w:hint="eastAsia" w:ascii="宋体" w:hAnsi="宋体" w:cs="宋体"/>
          <w:b w:val="0"/>
          <w:sz w:val="32"/>
          <w:szCs w:val="32"/>
          <w:lang w:val="en-US" w:eastAsia="zh-CN"/>
        </w:rPr>
        <w:t>减少0.6%，减少原因是压缩经费。</w:t>
      </w:r>
    </w:p>
    <w:p>
      <w:pPr>
        <w:widowControl/>
        <w:shd w:val="clear" w:color="auto" w:fill="FFFFFF"/>
        <w:spacing w:before="100" w:beforeAutospacing="1" w:after="240"/>
        <w:ind w:firstLine="560" w:firstLineChars="200"/>
        <w:jc w:val="left"/>
        <w:textAlignment w:val="top"/>
        <w:rPr>
          <w:rFonts w:hint="eastAsia" w:ascii="Arial" w:hAnsi="Arial" w:cs="Arial"/>
          <w:kern w:val="0"/>
          <w:sz w:val="28"/>
          <w:szCs w:val="28"/>
        </w:rPr>
      </w:pP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三、</w:t>
      </w:r>
      <w:r>
        <w:rPr>
          <w:rFonts w:ascii="Arial" w:hAnsi="Arial" w:cs="Arial"/>
          <w:kern w:val="0"/>
          <w:sz w:val="28"/>
          <w:szCs w:val="28"/>
        </w:rPr>
        <w:t>2016</w:t>
      </w:r>
      <w:r>
        <w:rPr>
          <w:rFonts w:hint="eastAsia" w:ascii="Arial" w:hAnsi="Arial" w:cs="Arial"/>
          <w:kern w:val="0"/>
          <w:sz w:val="28"/>
          <w:szCs w:val="28"/>
        </w:rPr>
        <w:t>年机关工委</w:t>
      </w:r>
      <w:r>
        <w:rPr>
          <w:rFonts w:ascii="Arial" w:hAnsi="Arial" w:cs="Arial"/>
          <w:kern w:val="0"/>
          <w:sz w:val="28"/>
          <w:szCs w:val="28"/>
        </w:rPr>
        <w:t>“</w:t>
      </w:r>
      <w:r>
        <w:rPr>
          <w:rFonts w:hint="eastAsia" w:ascii="Arial" w:hAnsi="Arial" w:cs="Arial"/>
          <w:kern w:val="0"/>
          <w:sz w:val="28"/>
          <w:szCs w:val="28"/>
        </w:rPr>
        <w:t>三公</w:t>
      </w:r>
      <w:r>
        <w:rPr>
          <w:rFonts w:ascii="Arial" w:hAnsi="Arial" w:cs="Arial"/>
          <w:kern w:val="0"/>
          <w:sz w:val="28"/>
          <w:szCs w:val="28"/>
        </w:rPr>
        <w:t>”</w:t>
      </w:r>
      <w:r>
        <w:rPr>
          <w:rFonts w:hint="eastAsia" w:ascii="Arial" w:hAnsi="Arial" w:cs="Arial"/>
          <w:kern w:val="0"/>
          <w:sz w:val="28"/>
          <w:szCs w:val="28"/>
        </w:rPr>
        <w:t>经费支出决算公开</w:t>
      </w:r>
    </w:p>
    <w:p>
      <w:pPr>
        <w:widowControl/>
        <w:shd w:val="clear" w:color="auto" w:fill="FFFFFF"/>
        <w:spacing w:before="100" w:beforeAutospacing="1" w:after="240"/>
        <w:jc w:val="left"/>
        <w:textAlignment w:val="top"/>
        <w:rPr>
          <w:rFonts w:ascii="Arial" w:hAnsi="Arial" w:cs="Arial"/>
          <w:kern w:val="0"/>
          <w:sz w:val="28"/>
          <w:szCs w:val="28"/>
        </w:rPr>
      </w:pPr>
      <w:r>
        <w:rPr>
          <w:rFonts w:ascii="Arial" w:hAnsi="Arial" w:cs="Arial"/>
          <w:kern w:val="0"/>
          <w:sz w:val="28"/>
          <w:szCs w:val="28"/>
        </w:rPr>
        <w:t>2016</w:t>
      </w:r>
      <w:r>
        <w:rPr>
          <w:rFonts w:hint="eastAsia" w:ascii="Arial" w:hAnsi="Arial" w:cs="Arial"/>
          <w:kern w:val="0"/>
          <w:sz w:val="28"/>
          <w:szCs w:val="28"/>
        </w:rPr>
        <w:t>年</w:t>
      </w:r>
      <w:r>
        <w:rPr>
          <w:rFonts w:ascii="Arial" w:hAnsi="Arial" w:cs="Arial"/>
          <w:kern w:val="0"/>
          <w:sz w:val="28"/>
          <w:szCs w:val="28"/>
        </w:rPr>
        <w:t xml:space="preserve"> </w:t>
      </w:r>
      <w:r>
        <w:rPr>
          <w:rFonts w:hint="eastAsia" w:ascii="Arial" w:hAnsi="Arial" w:cs="Arial"/>
          <w:kern w:val="0"/>
          <w:sz w:val="28"/>
          <w:szCs w:val="28"/>
        </w:rPr>
        <w:t>机关工委</w:t>
      </w:r>
      <w:r>
        <w:rPr>
          <w:rFonts w:ascii="Arial" w:hAnsi="Arial" w:cs="Arial"/>
          <w:kern w:val="0"/>
          <w:sz w:val="28"/>
          <w:szCs w:val="28"/>
        </w:rPr>
        <w:t>“</w:t>
      </w:r>
      <w:r>
        <w:rPr>
          <w:rFonts w:hint="eastAsia" w:ascii="Arial" w:hAnsi="Arial" w:cs="Arial"/>
          <w:kern w:val="0"/>
          <w:sz w:val="28"/>
          <w:szCs w:val="28"/>
        </w:rPr>
        <w:t>三公</w:t>
      </w:r>
      <w:r>
        <w:rPr>
          <w:rFonts w:ascii="Arial" w:hAnsi="Arial" w:cs="Arial"/>
          <w:kern w:val="0"/>
          <w:sz w:val="28"/>
          <w:szCs w:val="28"/>
        </w:rPr>
        <w:t>”</w:t>
      </w:r>
      <w:r>
        <w:rPr>
          <w:rFonts w:hint="eastAsia" w:ascii="Arial" w:hAnsi="Arial" w:cs="Arial"/>
          <w:kern w:val="0"/>
          <w:sz w:val="28"/>
          <w:szCs w:val="28"/>
        </w:rPr>
        <w:t>经费决算支出总额为</w:t>
      </w:r>
      <w:r>
        <w:rPr>
          <w:rFonts w:ascii="Arial" w:hAnsi="Arial" w:cs="Arial"/>
          <w:kern w:val="0"/>
          <w:sz w:val="28"/>
          <w:szCs w:val="28"/>
        </w:rPr>
        <w:t>27563.14</w:t>
      </w:r>
      <w:r>
        <w:rPr>
          <w:rFonts w:hint="eastAsia" w:ascii="Arial" w:hAnsi="Arial" w:cs="Arial"/>
          <w:kern w:val="0"/>
          <w:sz w:val="28"/>
          <w:szCs w:val="28"/>
        </w:rPr>
        <w:t>元。</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（一）因公出国（境）经费决算公开</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因公出国（境）费用决算支出</w:t>
      </w:r>
      <w:r>
        <w:rPr>
          <w:rFonts w:ascii="Arial" w:hAnsi="Arial" w:cs="Arial"/>
          <w:kern w:val="0"/>
          <w:sz w:val="28"/>
          <w:szCs w:val="28"/>
        </w:rPr>
        <w:t xml:space="preserve">  0</w:t>
      </w:r>
      <w:r>
        <w:rPr>
          <w:rFonts w:hint="eastAsia" w:ascii="Arial" w:hAnsi="Arial" w:cs="Arial"/>
          <w:kern w:val="0"/>
          <w:sz w:val="28"/>
          <w:szCs w:val="28"/>
        </w:rPr>
        <w:t>元。</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（二）公务接待经费决算公开</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公务接待费用决算支出</w:t>
      </w:r>
      <w:r>
        <w:rPr>
          <w:rFonts w:ascii="Arial" w:hAnsi="Arial" w:cs="Arial"/>
          <w:kern w:val="0"/>
          <w:sz w:val="28"/>
          <w:szCs w:val="28"/>
        </w:rPr>
        <w:t>3681</w:t>
      </w:r>
      <w:r>
        <w:rPr>
          <w:rFonts w:hint="eastAsia" w:ascii="Arial" w:hAnsi="Arial" w:cs="Arial"/>
          <w:kern w:val="0"/>
          <w:sz w:val="28"/>
          <w:szCs w:val="28"/>
        </w:rPr>
        <w:t>元，比上年减少</w:t>
      </w:r>
      <w:r>
        <w:rPr>
          <w:rFonts w:ascii="Arial" w:hAnsi="Arial" w:cs="Arial"/>
          <w:kern w:val="0"/>
          <w:sz w:val="28"/>
          <w:szCs w:val="28"/>
        </w:rPr>
        <w:t xml:space="preserve"> 30%</w:t>
      </w:r>
      <w:r>
        <w:rPr>
          <w:rFonts w:hint="eastAsia" w:ascii="Arial" w:hAnsi="Arial" w:cs="Arial"/>
          <w:kern w:val="0"/>
          <w:sz w:val="28"/>
          <w:szCs w:val="28"/>
        </w:rPr>
        <w:t>。公务接待费用降低主要是严格执行中央八项规定和自治区十条规定，从严控制接待经费支出。</w:t>
      </w:r>
      <w:r>
        <w:rPr>
          <w:rFonts w:ascii="Arial" w:hAnsi="Arial" w:cs="Arial"/>
          <w:kern w:val="0"/>
          <w:sz w:val="28"/>
          <w:szCs w:val="28"/>
        </w:rPr>
        <w:t>2016</w:t>
      </w:r>
      <w:r>
        <w:rPr>
          <w:rFonts w:hint="eastAsia" w:ascii="Arial" w:hAnsi="Arial" w:cs="Arial"/>
          <w:kern w:val="0"/>
          <w:sz w:val="28"/>
          <w:szCs w:val="28"/>
        </w:rPr>
        <w:t>年机关工委共接待</w:t>
      </w:r>
      <w:r>
        <w:rPr>
          <w:rFonts w:ascii="Arial" w:hAnsi="Arial" w:cs="Arial"/>
          <w:kern w:val="0"/>
          <w:sz w:val="28"/>
          <w:szCs w:val="28"/>
        </w:rPr>
        <w:t xml:space="preserve"> 10</w:t>
      </w:r>
      <w:r>
        <w:rPr>
          <w:rFonts w:hint="eastAsia" w:ascii="Arial" w:hAnsi="Arial" w:cs="Arial"/>
          <w:kern w:val="0"/>
          <w:sz w:val="28"/>
          <w:szCs w:val="28"/>
        </w:rPr>
        <w:t>批次</w:t>
      </w:r>
      <w:r>
        <w:rPr>
          <w:rFonts w:ascii="Arial" w:hAnsi="Arial" w:cs="Arial"/>
          <w:kern w:val="0"/>
          <w:sz w:val="28"/>
          <w:szCs w:val="28"/>
        </w:rPr>
        <w:t xml:space="preserve">  100</w:t>
      </w:r>
      <w:r>
        <w:rPr>
          <w:rFonts w:hint="eastAsia" w:ascii="Arial" w:hAnsi="Arial" w:cs="Arial"/>
          <w:kern w:val="0"/>
          <w:sz w:val="28"/>
          <w:szCs w:val="28"/>
        </w:rPr>
        <w:t>人，主要用于上级考察及部门之间学习等各类公务接待支出。</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（三）公务用车购置及运行维护费决算公开</w:t>
      </w:r>
    </w:p>
    <w:p>
      <w:pPr>
        <w:widowControl/>
        <w:shd w:val="clear" w:color="auto" w:fill="FFFFFF"/>
        <w:spacing w:before="100" w:beforeAutospacing="1" w:after="240"/>
        <w:jc w:val="left"/>
        <w:textAlignment w:val="top"/>
        <w:rPr>
          <w:rFonts w:ascii="Arial" w:hAnsi="Arial" w:cs="Arial"/>
          <w:kern w:val="0"/>
          <w:sz w:val="28"/>
          <w:szCs w:val="28"/>
        </w:rPr>
      </w:pPr>
      <w:r>
        <w:rPr>
          <w:rFonts w:hint="eastAsia" w:ascii="Arial" w:hAnsi="Arial" w:cs="Arial"/>
          <w:kern w:val="0"/>
          <w:sz w:val="28"/>
          <w:szCs w:val="28"/>
        </w:rPr>
        <w:t>公务用车购置及运行维护费决算</w:t>
      </w:r>
      <w:r>
        <w:rPr>
          <w:rFonts w:ascii="Arial" w:hAnsi="Arial" w:cs="Arial"/>
          <w:kern w:val="0"/>
          <w:sz w:val="28"/>
          <w:szCs w:val="28"/>
        </w:rPr>
        <w:t xml:space="preserve"> 23882.14</w:t>
      </w:r>
      <w:r>
        <w:rPr>
          <w:rFonts w:hint="eastAsia" w:ascii="Arial" w:hAnsi="Arial" w:cs="Arial"/>
          <w:kern w:val="0"/>
          <w:sz w:val="28"/>
          <w:szCs w:val="28"/>
        </w:rPr>
        <w:t>元，比上年减少</w:t>
      </w:r>
      <w:r>
        <w:rPr>
          <w:rFonts w:ascii="Arial" w:hAnsi="Arial" w:cs="Arial"/>
          <w:kern w:val="0"/>
          <w:sz w:val="28"/>
          <w:szCs w:val="28"/>
        </w:rPr>
        <w:t xml:space="preserve"> 30  %, 2016</w:t>
      </w:r>
      <w:r>
        <w:rPr>
          <w:rFonts w:hint="eastAsia" w:ascii="Arial" w:hAnsi="Arial" w:cs="Arial"/>
          <w:kern w:val="0"/>
          <w:sz w:val="28"/>
          <w:szCs w:val="28"/>
        </w:rPr>
        <w:t>年机关工委公务用车运行维护费，主要用于日常公务等公务用车的燃料费、修理费、保险费、过桥过路费等支出。</w:t>
      </w:r>
    </w:p>
    <w:p>
      <w:pPr>
        <w:pStyle w:val="6"/>
        <w:numPr>
          <w:ilvl w:val="0"/>
          <w:numId w:val="0"/>
        </w:numPr>
        <w:shd w:val="clear" w:color="auto" w:fill="FFFFFF"/>
        <w:spacing w:before="0" w:beforeAutospacing="0" w:after="533" w:afterAutospacing="0" w:line="400" w:lineRule="exact"/>
        <w:rPr>
          <w:rFonts w:hint="eastAsia"/>
          <w:color w:val="2B2B2B"/>
          <w:sz w:val="32"/>
          <w:szCs w:val="32"/>
          <w:lang w:eastAsia="zh-CN"/>
        </w:rPr>
      </w:pPr>
      <w:r>
        <w:rPr>
          <w:rFonts w:hint="eastAsia"/>
          <w:color w:val="2B2B2B"/>
          <w:sz w:val="32"/>
          <w:szCs w:val="32"/>
          <w:lang w:eastAsia="zh-CN"/>
        </w:rPr>
        <w:t>五、政府采购执行情况</w:t>
      </w:r>
    </w:p>
    <w:p>
      <w:pPr>
        <w:pStyle w:val="6"/>
        <w:numPr>
          <w:ilvl w:val="0"/>
          <w:numId w:val="0"/>
        </w:numPr>
        <w:shd w:val="clear" w:color="auto" w:fill="FFFFFF"/>
        <w:spacing w:before="0" w:beforeAutospacing="0" w:after="533" w:afterAutospacing="0" w:line="400" w:lineRule="exact"/>
        <w:ind w:firstLine="320" w:firstLineChars="100"/>
        <w:rPr>
          <w:rFonts w:hint="eastAsia"/>
          <w:color w:val="2B2B2B"/>
          <w:sz w:val="32"/>
          <w:szCs w:val="32"/>
          <w:lang w:val="en-US" w:eastAsia="zh-CN"/>
        </w:rPr>
      </w:pPr>
      <w:r>
        <w:rPr>
          <w:rFonts w:hint="eastAsia"/>
          <w:color w:val="2B2B2B"/>
          <w:sz w:val="32"/>
          <w:szCs w:val="32"/>
          <w:lang w:val="en-US" w:eastAsia="zh-CN"/>
        </w:rPr>
        <w:t>2016年本单位严格按照《政府采购法》执行政府采购，本年无政府采购。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六、部门预算执行情况分析说明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（一）综合收支与上年度决算对比情况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（二）财政拨款支出与年初预算对比情况及增减原因分析说明（预决算差异分析）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（三）机关运行经费支出情况说明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（四）部门国有资产占用和国有资产收益征缴情况说明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（五）部门预算绩效管理工作开展情况说明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七、项目资金使用情况说明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八、其他重要事项的情况说明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九、专业名词解释</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(一)财政拨款收入：指本级财政当年拨付的资金。</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(二)事业收入：指事业单位开展专业业务活动及其辅助活动取得的收入。</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(三)经营收入：指事业单位在专业业务活动及其辅助活动之外开展非独立核算经营活动取得的收入。</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四)其他收入：指除“财政拨款收入”、“事业收入”、“经营收入”等以外的收入，包括银行存款利息收入、租金收入、捐赠收入，现金盘盈收入、存货盘盈收入、收回已核销应收及预付款项、无法偿付的应付及预收款项等。</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(五)用事业基金弥补收支差额：指事业单位在当年的“财政拨款收入”、“事业收入”、“经营收入”、“其他收入”不足以安排当年支出的情况下，使用以前年度积累的事业基金弥补本年度收支缺口的资金。</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(六)年初结转和结余：指以前年度尚未完成、结转到本年按规定继续使用的资金。</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(七)各支出功能分类科目(到项级)</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一般公共服务(类)财政事务(款)行政运行(项)</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 xml:space="preserve"> (八)结余分配：指事业单位按规定提取的职工福利基金、事业基金和缴纳的所得税，以及建设单位按规定应交回的基本建设竣工项目结余资金。</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(九)年末结转和结余：指本年度或以前年度预算安排、因客观条件发生变化无法按原计划实施，需要延迟到以后年度按有关规定继续使用的资金。</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(十)基本支出：指为保障机构正常运转、完成日常工作任务而发生的各项支出。</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(十一)项目支出：指为完成特定的行政工作任务或事业发展目标，在基本支出之外发生的各项支出。</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(十二)经营支出：指事业单位在专业活动及辅助活动之外开展非独立核算经营活动发生的支出。</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十三)“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租用费、燃料费、维修费、过桥过路费、保险费、安全奖励费用等支出；公务接待费反映单位按规定开支的各类公务接待(含外宾接待)费用。</w:t>
      </w:r>
    </w:p>
    <w:p>
      <w:pPr>
        <w:widowControl/>
        <w:shd w:val="clear" w:color="auto" w:fill="FFFFFF"/>
        <w:spacing w:before="100" w:beforeAutospacing="1" w:after="240"/>
        <w:jc w:val="left"/>
        <w:textAlignment w:val="top"/>
        <w:rPr>
          <w:rFonts w:hint="eastAsia" w:ascii="Arial" w:hAnsi="Arial" w:cs="Arial"/>
          <w:kern w:val="0"/>
          <w:sz w:val="28"/>
          <w:szCs w:val="28"/>
        </w:rPr>
      </w:pPr>
      <w:r>
        <w:rPr>
          <w:rFonts w:hint="eastAsia" w:ascii="Arial" w:hAnsi="Arial" w:cs="Arial"/>
          <w:kern w:val="0"/>
          <w:sz w:val="28"/>
          <w:szCs w:val="28"/>
        </w:rPr>
        <w:t>(十四)机关运行经费：行政单位和参照公务员法管理的事业单位为保障单位运行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spacing w:before="100" w:beforeAutospacing="1" w:after="240"/>
        <w:jc w:val="left"/>
        <w:textAlignment w:val="top"/>
        <w:rPr>
          <w:rFonts w:ascii="Arial" w:hAnsi="Arial" w:cs="Arial"/>
          <w:kern w:val="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07D1"/>
    <w:rsid w:val="00001F93"/>
    <w:rsid w:val="000022E2"/>
    <w:rsid w:val="000050BC"/>
    <w:rsid w:val="00005321"/>
    <w:rsid w:val="00007CE0"/>
    <w:rsid w:val="00012EF0"/>
    <w:rsid w:val="000215FA"/>
    <w:rsid w:val="000343CC"/>
    <w:rsid w:val="0003515A"/>
    <w:rsid w:val="00035DBE"/>
    <w:rsid w:val="000369FD"/>
    <w:rsid w:val="00037F41"/>
    <w:rsid w:val="00040DC6"/>
    <w:rsid w:val="000440B4"/>
    <w:rsid w:val="00056181"/>
    <w:rsid w:val="0006050B"/>
    <w:rsid w:val="00063320"/>
    <w:rsid w:val="00063FE0"/>
    <w:rsid w:val="000669A4"/>
    <w:rsid w:val="00070E1E"/>
    <w:rsid w:val="00071823"/>
    <w:rsid w:val="000751DC"/>
    <w:rsid w:val="00075AB4"/>
    <w:rsid w:val="00080863"/>
    <w:rsid w:val="00082EA4"/>
    <w:rsid w:val="00083EA7"/>
    <w:rsid w:val="00092697"/>
    <w:rsid w:val="00097059"/>
    <w:rsid w:val="000A3EF7"/>
    <w:rsid w:val="000A607E"/>
    <w:rsid w:val="000B135A"/>
    <w:rsid w:val="000C39C7"/>
    <w:rsid w:val="000C4E2D"/>
    <w:rsid w:val="000C50A4"/>
    <w:rsid w:val="000D0298"/>
    <w:rsid w:val="000D19EA"/>
    <w:rsid w:val="000D32F9"/>
    <w:rsid w:val="000D477F"/>
    <w:rsid w:val="000E43F0"/>
    <w:rsid w:val="000E4ABB"/>
    <w:rsid w:val="000F28C3"/>
    <w:rsid w:val="001040EF"/>
    <w:rsid w:val="00107D1D"/>
    <w:rsid w:val="00107D53"/>
    <w:rsid w:val="00107E94"/>
    <w:rsid w:val="00110677"/>
    <w:rsid w:val="00110730"/>
    <w:rsid w:val="001107D1"/>
    <w:rsid w:val="00112060"/>
    <w:rsid w:val="00120640"/>
    <w:rsid w:val="00125042"/>
    <w:rsid w:val="00126B5B"/>
    <w:rsid w:val="0013010A"/>
    <w:rsid w:val="00134222"/>
    <w:rsid w:val="00140E3F"/>
    <w:rsid w:val="00145BBB"/>
    <w:rsid w:val="0015327E"/>
    <w:rsid w:val="00154126"/>
    <w:rsid w:val="0016353D"/>
    <w:rsid w:val="001659F0"/>
    <w:rsid w:val="00171EFD"/>
    <w:rsid w:val="0017697D"/>
    <w:rsid w:val="0017748B"/>
    <w:rsid w:val="00185F65"/>
    <w:rsid w:val="00190E0D"/>
    <w:rsid w:val="00192EDC"/>
    <w:rsid w:val="001932A9"/>
    <w:rsid w:val="00194363"/>
    <w:rsid w:val="00196F3A"/>
    <w:rsid w:val="001A59E5"/>
    <w:rsid w:val="001B0701"/>
    <w:rsid w:val="001C45D5"/>
    <w:rsid w:val="001C723A"/>
    <w:rsid w:val="001D142F"/>
    <w:rsid w:val="001D3728"/>
    <w:rsid w:val="001E67F2"/>
    <w:rsid w:val="001F3A3E"/>
    <w:rsid w:val="001F3B10"/>
    <w:rsid w:val="001F70ED"/>
    <w:rsid w:val="00207307"/>
    <w:rsid w:val="0021317D"/>
    <w:rsid w:val="00213E57"/>
    <w:rsid w:val="00221015"/>
    <w:rsid w:val="002233C2"/>
    <w:rsid w:val="00223ED7"/>
    <w:rsid w:val="00225B46"/>
    <w:rsid w:val="00232942"/>
    <w:rsid w:val="00233738"/>
    <w:rsid w:val="00234C5F"/>
    <w:rsid w:val="0023790F"/>
    <w:rsid w:val="002428EE"/>
    <w:rsid w:val="00243038"/>
    <w:rsid w:val="002544A9"/>
    <w:rsid w:val="00255A8F"/>
    <w:rsid w:val="002562C1"/>
    <w:rsid w:val="00263849"/>
    <w:rsid w:val="00264D7B"/>
    <w:rsid w:val="00265C25"/>
    <w:rsid w:val="00270024"/>
    <w:rsid w:val="0028221A"/>
    <w:rsid w:val="002859CD"/>
    <w:rsid w:val="00296556"/>
    <w:rsid w:val="002A3684"/>
    <w:rsid w:val="002A68C7"/>
    <w:rsid w:val="002B384E"/>
    <w:rsid w:val="002B3B74"/>
    <w:rsid w:val="002B6A53"/>
    <w:rsid w:val="002B7253"/>
    <w:rsid w:val="002C0F1C"/>
    <w:rsid w:val="002C136F"/>
    <w:rsid w:val="002C5C0C"/>
    <w:rsid w:val="002C6CAD"/>
    <w:rsid w:val="002C7B81"/>
    <w:rsid w:val="002D081C"/>
    <w:rsid w:val="002D306F"/>
    <w:rsid w:val="002D69E7"/>
    <w:rsid w:val="002E2F93"/>
    <w:rsid w:val="002F0314"/>
    <w:rsid w:val="002F3C58"/>
    <w:rsid w:val="002F47C3"/>
    <w:rsid w:val="00307F0E"/>
    <w:rsid w:val="00327374"/>
    <w:rsid w:val="00332EEA"/>
    <w:rsid w:val="00341391"/>
    <w:rsid w:val="00350357"/>
    <w:rsid w:val="00357D01"/>
    <w:rsid w:val="00362AD3"/>
    <w:rsid w:val="003647E8"/>
    <w:rsid w:val="00370A6F"/>
    <w:rsid w:val="00371484"/>
    <w:rsid w:val="003746F2"/>
    <w:rsid w:val="003861D5"/>
    <w:rsid w:val="00393C4F"/>
    <w:rsid w:val="00394754"/>
    <w:rsid w:val="003B2268"/>
    <w:rsid w:val="003E49AD"/>
    <w:rsid w:val="003E5E0E"/>
    <w:rsid w:val="003F0736"/>
    <w:rsid w:val="003F0972"/>
    <w:rsid w:val="003F327F"/>
    <w:rsid w:val="003F5DC3"/>
    <w:rsid w:val="003F7CF4"/>
    <w:rsid w:val="004060A9"/>
    <w:rsid w:val="0040692F"/>
    <w:rsid w:val="004072AB"/>
    <w:rsid w:val="00410533"/>
    <w:rsid w:val="00410A63"/>
    <w:rsid w:val="00410DF6"/>
    <w:rsid w:val="004114AB"/>
    <w:rsid w:val="00412DA3"/>
    <w:rsid w:val="004155E2"/>
    <w:rsid w:val="0041581D"/>
    <w:rsid w:val="00415F58"/>
    <w:rsid w:val="00424ABA"/>
    <w:rsid w:val="004403EA"/>
    <w:rsid w:val="004436FF"/>
    <w:rsid w:val="00443F3E"/>
    <w:rsid w:val="00467109"/>
    <w:rsid w:val="00471769"/>
    <w:rsid w:val="004755CF"/>
    <w:rsid w:val="004764A9"/>
    <w:rsid w:val="00487DAE"/>
    <w:rsid w:val="004908D9"/>
    <w:rsid w:val="00494CA7"/>
    <w:rsid w:val="00496E98"/>
    <w:rsid w:val="004A1227"/>
    <w:rsid w:val="004A307C"/>
    <w:rsid w:val="004A43E5"/>
    <w:rsid w:val="004C0F5F"/>
    <w:rsid w:val="004C22C8"/>
    <w:rsid w:val="004D48FE"/>
    <w:rsid w:val="004E3625"/>
    <w:rsid w:val="004E5888"/>
    <w:rsid w:val="004E762B"/>
    <w:rsid w:val="004E7BE7"/>
    <w:rsid w:val="004F0701"/>
    <w:rsid w:val="004F1488"/>
    <w:rsid w:val="0050208F"/>
    <w:rsid w:val="00507599"/>
    <w:rsid w:val="005134EA"/>
    <w:rsid w:val="00513552"/>
    <w:rsid w:val="00520245"/>
    <w:rsid w:val="00520F9C"/>
    <w:rsid w:val="0052259D"/>
    <w:rsid w:val="00523A13"/>
    <w:rsid w:val="00524205"/>
    <w:rsid w:val="00535723"/>
    <w:rsid w:val="005358B9"/>
    <w:rsid w:val="005362BD"/>
    <w:rsid w:val="00541995"/>
    <w:rsid w:val="00541ECB"/>
    <w:rsid w:val="005458F1"/>
    <w:rsid w:val="00551E3D"/>
    <w:rsid w:val="00571CFD"/>
    <w:rsid w:val="00572BAF"/>
    <w:rsid w:val="00584AE7"/>
    <w:rsid w:val="00585C66"/>
    <w:rsid w:val="00593C69"/>
    <w:rsid w:val="005A7661"/>
    <w:rsid w:val="005B0365"/>
    <w:rsid w:val="005B23AC"/>
    <w:rsid w:val="005B696E"/>
    <w:rsid w:val="005C1BEA"/>
    <w:rsid w:val="005C53D7"/>
    <w:rsid w:val="005C5838"/>
    <w:rsid w:val="005D3ED4"/>
    <w:rsid w:val="005E1875"/>
    <w:rsid w:val="005E1C80"/>
    <w:rsid w:val="005E61D5"/>
    <w:rsid w:val="005F0B0B"/>
    <w:rsid w:val="005F2F6B"/>
    <w:rsid w:val="0060237B"/>
    <w:rsid w:val="00613D11"/>
    <w:rsid w:val="0061773F"/>
    <w:rsid w:val="006208E5"/>
    <w:rsid w:val="00624663"/>
    <w:rsid w:val="00641F85"/>
    <w:rsid w:val="00647757"/>
    <w:rsid w:val="00662932"/>
    <w:rsid w:val="00666222"/>
    <w:rsid w:val="0067025E"/>
    <w:rsid w:val="006734CF"/>
    <w:rsid w:val="006809DF"/>
    <w:rsid w:val="00682369"/>
    <w:rsid w:val="00683221"/>
    <w:rsid w:val="00691F59"/>
    <w:rsid w:val="0069689B"/>
    <w:rsid w:val="006A360F"/>
    <w:rsid w:val="006A480B"/>
    <w:rsid w:val="006A61D1"/>
    <w:rsid w:val="006A62ED"/>
    <w:rsid w:val="006B339A"/>
    <w:rsid w:val="006B3D63"/>
    <w:rsid w:val="006B621D"/>
    <w:rsid w:val="006C237D"/>
    <w:rsid w:val="006C65EF"/>
    <w:rsid w:val="006C68D1"/>
    <w:rsid w:val="006D18D5"/>
    <w:rsid w:val="006D5318"/>
    <w:rsid w:val="006E7316"/>
    <w:rsid w:val="006F176A"/>
    <w:rsid w:val="006F3A99"/>
    <w:rsid w:val="006F5DA9"/>
    <w:rsid w:val="007019E4"/>
    <w:rsid w:val="00711D39"/>
    <w:rsid w:val="00715760"/>
    <w:rsid w:val="00716ABE"/>
    <w:rsid w:val="00716D9D"/>
    <w:rsid w:val="00717638"/>
    <w:rsid w:val="0072449E"/>
    <w:rsid w:val="007275D0"/>
    <w:rsid w:val="007325EF"/>
    <w:rsid w:val="00732E59"/>
    <w:rsid w:val="00737132"/>
    <w:rsid w:val="00740E03"/>
    <w:rsid w:val="00745D2D"/>
    <w:rsid w:val="00746E38"/>
    <w:rsid w:val="00747D6D"/>
    <w:rsid w:val="00752055"/>
    <w:rsid w:val="00753AB4"/>
    <w:rsid w:val="00763017"/>
    <w:rsid w:val="007776CB"/>
    <w:rsid w:val="00783A1B"/>
    <w:rsid w:val="0079351D"/>
    <w:rsid w:val="007A0743"/>
    <w:rsid w:val="007A0955"/>
    <w:rsid w:val="007A17A3"/>
    <w:rsid w:val="007B082C"/>
    <w:rsid w:val="007B12CC"/>
    <w:rsid w:val="007B70B5"/>
    <w:rsid w:val="007C05B1"/>
    <w:rsid w:val="007C14BD"/>
    <w:rsid w:val="007C24F3"/>
    <w:rsid w:val="007C3D21"/>
    <w:rsid w:val="007F2CFC"/>
    <w:rsid w:val="007F39F1"/>
    <w:rsid w:val="00814651"/>
    <w:rsid w:val="0081467C"/>
    <w:rsid w:val="00825672"/>
    <w:rsid w:val="00826F50"/>
    <w:rsid w:val="00845D39"/>
    <w:rsid w:val="008469F6"/>
    <w:rsid w:val="00850E72"/>
    <w:rsid w:val="0085658B"/>
    <w:rsid w:val="00867C42"/>
    <w:rsid w:val="008700E2"/>
    <w:rsid w:val="0087569A"/>
    <w:rsid w:val="008765AE"/>
    <w:rsid w:val="0087706A"/>
    <w:rsid w:val="00887C68"/>
    <w:rsid w:val="0089537D"/>
    <w:rsid w:val="00895A21"/>
    <w:rsid w:val="00895EE8"/>
    <w:rsid w:val="008A623B"/>
    <w:rsid w:val="008B0B55"/>
    <w:rsid w:val="008B6258"/>
    <w:rsid w:val="008B7E11"/>
    <w:rsid w:val="008C4FDB"/>
    <w:rsid w:val="008C552C"/>
    <w:rsid w:val="008D324B"/>
    <w:rsid w:val="008E0C6B"/>
    <w:rsid w:val="008F62FD"/>
    <w:rsid w:val="009015BD"/>
    <w:rsid w:val="009051E2"/>
    <w:rsid w:val="009102D6"/>
    <w:rsid w:val="009114F0"/>
    <w:rsid w:val="009170B6"/>
    <w:rsid w:val="00921BFD"/>
    <w:rsid w:val="0092226E"/>
    <w:rsid w:val="0092371F"/>
    <w:rsid w:val="00930258"/>
    <w:rsid w:val="00935297"/>
    <w:rsid w:val="009444F6"/>
    <w:rsid w:val="009509A7"/>
    <w:rsid w:val="009562C6"/>
    <w:rsid w:val="0095684C"/>
    <w:rsid w:val="00961F72"/>
    <w:rsid w:val="009706B2"/>
    <w:rsid w:val="009715EF"/>
    <w:rsid w:val="009817C7"/>
    <w:rsid w:val="00982716"/>
    <w:rsid w:val="00987248"/>
    <w:rsid w:val="00992026"/>
    <w:rsid w:val="00995273"/>
    <w:rsid w:val="009A6021"/>
    <w:rsid w:val="009B3783"/>
    <w:rsid w:val="009B4369"/>
    <w:rsid w:val="009B51DE"/>
    <w:rsid w:val="009D5666"/>
    <w:rsid w:val="009E58F6"/>
    <w:rsid w:val="009E5C29"/>
    <w:rsid w:val="009E6187"/>
    <w:rsid w:val="009F3787"/>
    <w:rsid w:val="009F55E5"/>
    <w:rsid w:val="00A11FBB"/>
    <w:rsid w:val="00A12576"/>
    <w:rsid w:val="00A154B6"/>
    <w:rsid w:val="00A177C6"/>
    <w:rsid w:val="00A221F5"/>
    <w:rsid w:val="00A30BF8"/>
    <w:rsid w:val="00A32204"/>
    <w:rsid w:val="00A332FF"/>
    <w:rsid w:val="00A33F6D"/>
    <w:rsid w:val="00A35438"/>
    <w:rsid w:val="00A3774B"/>
    <w:rsid w:val="00A37760"/>
    <w:rsid w:val="00A4058F"/>
    <w:rsid w:val="00A40B2E"/>
    <w:rsid w:val="00A453B3"/>
    <w:rsid w:val="00A52602"/>
    <w:rsid w:val="00A571C2"/>
    <w:rsid w:val="00A66D20"/>
    <w:rsid w:val="00A72FC3"/>
    <w:rsid w:val="00A73B1D"/>
    <w:rsid w:val="00A76C1F"/>
    <w:rsid w:val="00A80EE1"/>
    <w:rsid w:val="00A853CD"/>
    <w:rsid w:val="00A85420"/>
    <w:rsid w:val="00A87640"/>
    <w:rsid w:val="00A92BC1"/>
    <w:rsid w:val="00A9346D"/>
    <w:rsid w:val="00A95DF3"/>
    <w:rsid w:val="00A97D41"/>
    <w:rsid w:val="00AA2FA7"/>
    <w:rsid w:val="00AB5F9A"/>
    <w:rsid w:val="00AB6402"/>
    <w:rsid w:val="00AC2D74"/>
    <w:rsid w:val="00AC514C"/>
    <w:rsid w:val="00AC64EF"/>
    <w:rsid w:val="00AD478D"/>
    <w:rsid w:val="00AE0685"/>
    <w:rsid w:val="00AE1B77"/>
    <w:rsid w:val="00AE4375"/>
    <w:rsid w:val="00AE6134"/>
    <w:rsid w:val="00AE7B82"/>
    <w:rsid w:val="00AF4CB4"/>
    <w:rsid w:val="00B14A8A"/>
    <w:rsid w:val="00B21A13"/>
    <w:rsid w:val="00B303D6"/>
    <w:rsid w:val="00B31249"/>
    <w:rsid w:val="00B3504A"/>
    <w:rsid w:val="00B353AC"/>
    <w:rsid w:val="00B3658F"/>
    <w:rsid w:val="00B411DE"/>
    <w:rsid w:val="00B4405F"/>
    <w:rsid w:val="00B45FD5"/>
    <w:rsid w:val="00B5572B"/>
    <w:rsid w:val="00B56335"/>
    <w:rsid w:val="00B62CA9"/>
    <w:rsid w:val="00B63D41"/>
    <w:rsid w:val="00B644C7"/>
    <w:rsid w:val="00B66C3C"/>
    <w:rsid w:val="00B71BE8"/>
    <w:rsid w:val="00B74448"/>
    <w:rsid w:val="00B818E5"/>
    <w:rsid w:val="00B8279E"/>
    <w:rsid w:val="00B91884"/>
    <w:rsid w:val="00B94B0F"/>
    <w:rsid w:val="00BA0A91"/>
    <w:rsid w:val="00BA41C9"/>
    <w:rsid w:val="00BB125A"/>
    <w:rsid w:val="00BB402F"/>
    <w:rsid w:val="00BC2D3A"/>
    <w:rsid w:val="00BC3D61"/>
    <w:rsid w:val="00BC4AC0"/>
    <w:rsid w:val="00BD71B9"/>
    <w:rsid w:val="00BE3EC0"/>
    <w:rsid w:val="00BE5BAF"/>
    <w:rsid w:val="00BE753B"/>
    <w:rsid w:val="00BF6601"/>
    <w:rsid w:val="00BF684D"/>
    <w:rsid w:val="00C10C0D"/>
    <w:rsid w:val="00C11720"/>
    <w:rsid w:val="00C12E72"/>
    <w:rsid w:val="00C247EF"/>
    <w:rsid w:val="00C26DFB"/>
    <w:rsid w:val="00C34734"/>
    <w:rsid w:val="00C35C83"/>
    <w:rsid w:val="00C3755B"/>
    <w:rsid w:val="00C43E3F"/>
    <w:rsid w:val="00C5126F"/>
    <w:rsid w:val="00C56B4D"/>
    <w:rsid w:val="00C72EC1"/>
    <w:rsid w:val="00C87ABE"/>
    <w:rsid w:val="00C97DE1"/>
    <w:rsid w:val="00CA087D"/>
    <w:rsid w:val="00CA3CEC"/>
    <w:rsid w:val="00CB3D98"/>
    <w:rsid w:val="00CC1FD0"/>
    <w:rsid w:val="00CD15A8"/>
    <w:rsid w:val="00CD1D0D"/>
    <w:rsid w:val="00CD4A85"/>
    <w:rsid w:val="00CD5658"/>
    <w:rsid w:val="00D1717C"/>
    <w:rsid w:val="00D23B53"/>
    <w:rsid w:val="00D30333"/>
    <w:rsid w:val="00D335D2"/>
    <w:rsid w:val="00D443CC"/>
    <w:rsid w:val="00D44881"/>
    <w:rsid w:val="00D44944"/>
    <w:rsid w:val="00D521CA"/>
    <w:rsid w:val="00D56893"/>
    <w:rsid w:val="00D620B3"/>
    <w:rsid w:val="00D62715"/>
    <w:rsid w:val="00D65AE3"/>
    <w:rsid w:val="00D672C4"/>
    <w:rsid w:val="00D749A4"/>
    <w:rsid w:val="00D765F8"/>
    <w:rsid w:val="00D77B65"/>
    <w:rsid w:val="00D81521"/>
    <w:rsid w:val="00D852FC"/>
    <w:rsid w:val="00D85F3F"/>
    <w:rsid w:val="00D87994"/>
    <w:rsid w:val="00DB1B36"/>
    <w:rsid w:val="00DB3B0E"/>
    <w:rsid w:val="00DC5583"/>
    <w:rsid w:val="00DD4D42"/>
    <w:rsid w:val="00DD6B4F"/>
    <w:rsid w:val="00DD6E61"/>
    <w:rsid w:val="00DE7E27"/>
    <w:rsid w:val="00DF4146"/>
    <w:rsid w:val="00DF4F83"/>
    <w:rsid w:val="00DF5B2B"/>
    <w:rsid w:val="00E00C4F"/>
    <w:rsid w:val="00E06FF1"/>
    <w:rsid w:val="00E14712"/>
    <w:rsid w:val="00E2096F"/>
    <w:rsid w:val="00E32AAC"/>
    <w:rsid w:val="00E41AB7"/>
    <w:rsid w:val="00E456FD"/>
    <w:rsid w:val="00E4652B"/>
    <w:rsid w:val="00E511A1"/>
    <w:rsid w:val="00E638F4"/>
    <w:rsid w:val="00E744DE"/>
    <w:rsid w:val="00E80512"/>
    <w:rsid w:val="00E81AF4"/>
    <w:rsid w:val="00E87584"/>
    <w:rsid w:val="00E91772"/>
    <w:rsid w:val="00E93889"/>
    <w:rsid w:val="00EA47CB"/>
    <w:rsid w:val="00EA4B75"/>
    <w:rsid w:val="00EA5628"/>
    <w:rsid w:val="00EA6192"/>
    <w:rsid w:val="00EA7031"/>
    <w:rsid w:val="00EA7977"/>
    <w:rsid w:val="00EB1C78"/>
    <w:rsid w:val="00EB37EF"/>
    <w:rsid w:val="00EC1AA0"/>
    <w:rsid w:val="00EC1B6C"/>
    <w:rsid w:val="00EC607D"/>
    <w:rsid w:val="00EC69CA"/>
    <w:rsid w:val="00ED1C76"/>
    <w:rsid w:val="00EE37B0"/>
    <w:rsid w:val="00EE5377"/>
    <w:rsid w:val="00EE550C"/>
    <w:rsid w:val="00F0371D"/>
    <w:rsid w:val="00F10BB9"/>
    <w:rsid w:val="00F2611E"/>
    <w:rsid w:val="00F3155B"/>
    <w:rsid w:val="00F31776"/>
    <w:rsid w:val="00F37473"/>
    <w:rsid w:val="00F446D9"/>
    <w:rsid w:val="00F5105D"/>
    <w:rsid w:val="00F60934"/>
    <w:rsid w:val="00F62A4A"/>
    <w:rsid w:val="00F651BE"/>
    <w:rsid w:val="00F65498"/>
    <w:rsid w:val="00F707D4"/>
    <w:rsid w:val="00F73530"/>
    <w:rsid w:val="00F82DBF"/>
    <w:rsid w:val="00F867C2"/>
    <w:rsid w:val="00F90D52"/>
    <w:rsid w:val="00F92BFA"/>
    <w:rsid w:val="00F930E7"/>
    <w:rsid w:val="00FA3ABF"/>
    <w:rsid w:val="00FA3E79"/>
    <w:rsid w:val="00FA42DE"/>
    <w:rsid w:val="00FA6FEF"/>
    <w:rsid w:val="00FB08F5"/>
    <w:rsid w:val="00FB3441"/>
    <w:rsid w:val="00FD005C"/>
    <w:rsid w:val="00FD5F03"/>
    <w:rsid w:val="00FD6FB1"/>
    <w:rsid w:val="00FE230F"/>
    <w:rsid w:val="00FE28C3"/>
    <w:rsid w:val="00FE5ADD"/>
    <w:rsid w:val="00FE5CC4"/>
    <w:rsid w:val="00FF5D6D"/>
    <w:rsid w:val="00FF6633"/>
    <w:rsid w:val="00FF7C7D"/>
    <w:rsid w:val="08DC340E"/>
    <w:rsid w:val="237E0384"/>
    <w:rsid w:val="297D0692"/>
    <w:rsid w:val="30853609"/>
    <w:rsid w:val="59011A76"/>
    <w:rsid w:val="704F580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9"/>
    <w:pPr>
      <w:widowControl/>
      <w:spacing w:before="240" w:after="240"/>
      <w:jc w:val="left"/>
      <w:outlineLvl w:val="0"/>
    </w:pPr>
    <w:rPr>
      <w:rFonts w:ascii="宋体" w:hAnsi="宋体" w:cs="宋体"/>
      <w:b/>
      <w:bCs/>
      <w:kern w:val="36"/>
      <w:sz w:val="43"/>
      <w:szCs w:val="43"/>
    </w:rPr>
  </w:style>
  <w:style w:type="character" w:default="1" w:styleId="7">
    <w:name w:val="Default Paragraph Font"/>
    <w:semiHidden/>
    <w:uiPriority w:val="99"/>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3"/>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240"/>
      <w:jc w:val="left"/>
    </w:pPr>
    <w:rPr>
      <w:rFonts w:ascii="宋体" w:hAnsi="宋体" w:cs="宋体"/>
      <w:kern w:val="0"/>
      <w:sz w:val="24"/>
      <w:szCs w:val="24"/>
    </w:rPr>
  </w:style>
  <w:style w:type="character" w:styleId="8">
    <w:name w:val="Strong"/>
    <w:basedOn w:val="7"/>
    <w:qFormat/>
    <w:locked/>
    <w:uiPriority w:val="0"/>
    <w:rPr>
      <w:b/>
      <w:bCs/>
    </w:rPr>
  </w:style>
  <w:style w:type="character" w:styleId="9">
    <w:name w:val="Emphasis"/>
    <w:basedOn w:val="7"/>
    <w:qFormat/>
    <w:uiPriority w:val="99"/>
    <w:rPr>
      <w:rFonts w:cs="Times New Roman"/>
      <w:i/>
      <w:iCs/>
    </w:rPr>
  </w:style>
  <w:style w:type="character" w:styleId="10">
    <w:name w:val="Hyperlink"/>
    <w:basedOn w:val="7"/>
    <w:qFormat/>
    <w:uiPriority w:val="99"/>
    <w:rPr>
      <w:rFonts w:cs="Times New Roman"/>
      <w:color w:val="5B677D"/>
      <w:u w:val="none"/>
    </w:rPr>
  </w:style>
  <w:style w:type="character" w:customStyle="1" w:styleId="12">
    <w:name w:val="Heading 1 Char"/>
    <w:basedOn w:val="7"/>
    <w:link w:val="2"/>
    <w:qFormat/>
    <w:locked/>
    <w:uiPriority w:val="99"/>
    <w:rPr>
      <w:rFonts w:ascii="宋体" w:hAnsi="宋体" w:eastAsia="宋体" w:cs="宋体"/>
      <w:b/>
      <w:bCs/>
      <w:kern w:val="36"/>
      <w:sz w:val="43"/>
      <w:szCs w:val="43"/>
    </w:rPr>
  </w:style>
  <w:style w:type="character" w:customStyle="1" w:styleId="13">
    <w:name w:val="Balloon Text Char"/>
    <w:basedOn w:val="7"/>
    <w:link w:val="3"/>
    <w:semiHidden/>
    <w:qFormat/>
    <w:locked/>
    <w:uiPriority w:val="99"/>
    <w:rPr>
      <w:rFonts w:cs="Times New Roman"/>
      <w:sz w:val="18"/>
      <w:szCs w:val="18"/>
    </w:rPr>
  </w:style>
  <w:style w:type="character" w:customStyle="1" w:styleId="14">
    <w:name w:val="Footer Char"/>
    <w:basedOn w:val="7"/>
    <w:link w:val="4"/>
    <w:semiHidden/>
    <w:qFormat/>
    <w:locked/>
    <w:uiPriority w:val="99"/>
    <w:rPr>
      <w:rFonts w:cs="Times New Roman"/>
      <w:sz w:val="18"/>
      <w:szCs w:val="18"/>
    </w:rPr>
  </w:style>
  <w:style w:type="character" w:customStyle="1" w:styleId="15">
    <w:name w:val="Header Char"/>
    <w:basedOn w:val="7"/>
    <w:link w:val="5"/>
    <w:semiHidden/>
    <w:qFormat/>
    <w:locked/>
    <w:uiPriority w:val="99"/>
    <w:rPr>
      <w:rFonts w:cs="Times New Roman"/>
      <w:sz w:val="18"/>
      <w:szCs w:val="18"/>
    </w:rPr>
  </w:style>
  <w:style w:type="character" w:customStyle="1" w:styleId="16">
    <w:name w:val="article-prototype"/>
    <w:basedOn w:val="7"/>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5</Pages>
  <Words>250</Words>
  <Characters>1428</Characters>
  <Lines>0</Lines>
  <Paragraphs>0</Paragraphs>
  <TotalTime>1</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2016-05-18T03:01:00Z</dcterms:created>
  <dc:creator>微软用户</dc:creator>
  <cp:lastModifiedBy>Lenovo</cp:lastModifiedBy>
  <dcterms:modified xsi:type="dcterms:W3CDTF">2018-10-31T04:22:21Z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