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center"/>
        <w:outlineLvl w:val="1"/>
        <w:rPr>
          <w:rFonts w:ascii="方正小标宋_GBK" w:hAnsi="宋体" w:eastAsia="方正小标宋_GBK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吉木萨尔县统计局2017年部门预算公开</w:t>
      </w: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  <w:r>
        <w:rPr>
          <w:rFonts w:hint="eastAsia" w:ascii="方正小标宋_GBK" w:hAnsi="宋体" w:eastAsia="方正小标宋_GBK"/>
          <w:kern w:val="0"/>
          <w:sz w:val="44"/>
          <w:szCs w:val="44"/>
        </w:rPr>
        <w:t>报告</w:t>
      </w: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</w:p>
    <w:p>
      <w:pPr>
        <w:widowControl/>
        <w:spacing w:line="500" w:lineRule="exact"/>
        <w:jc w:val="center"/>
        <w:outlineLvl w:val="1"/>
        <w:rPr>
          <w:rFonts w:ascii="黑体" w:hAnsi="黑体" w:eastAsia="黑体"/>
          <w:kern w:val="0"/>
          <w:sz w:val="44"/>
          <w:szCs w:val="44"/>
        </w:rPr>
      </w:pPr>
      <w:r>
        <w:rPr>
          <w:rFonts w:hint="eastAsia" w:ascii="黑体" w:hAnsi="黑体" w:eastAsia="黑体"/>
          <w:kern w:val="0"/>
          <w:sz w:val="44"/>
          <w:szCs w:val="44"/>
        </w:rPr>
        <w:t>目录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 xml:space="preserve">第一部分 </w:t>
      </w:r>
      <w:bookmarkStart w:id="0" w:name="OLE_LINK1"/>
      <w:r>
        <w:rPr>
          <w:rFonts w:hint="eastAsia" w:ascii="仿宋_GB2312" w:hAnsi="宋体" w:eastAsia="仿宋_GB2312"/>
          <w:b/>
          <w:kern w:val="0"/>
          <w:sz w:val="32"/>
          <w:szCs w:val="32"/>
        </w:rPr>
        <w:t>吉木萨尔县统计局</w:t>
      </w:r>
      <w:bookmarkEnd w:id="0"/>
      <w:r>
        <w:rPr>
          <w:rFonts w:hint="eastAsia" w:ascii="仿宋_GB2312" w:hAnsi="宋体" w:eastAsia="仿宋_GB2312"/>
          <w:b/>
          <w:kern w:val="0"/>
          <w:sz w:val="32"/>
          <w:szCs w:val="32"/>
        </w:rPr>
        <w:t>概况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一、主要职能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二、机构设置及人员情况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第二部分  2017年预算公开表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一、部门收支总体情况表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二、部门收入总体情况表</w:t>
      </w:r>
      <w:bookmarkStart w:id="1" w:name="_GoBack"/>
      <w:bookmarkEnd w:id="1"/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三、部门支出总体情况表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四、财政拨款收支总体情况表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五、一般公共预算支出情况表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六、一般公共预算基本支出情况表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项目支出情况表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八、一般公共预算“三公”经费支出情况表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九、政府性基金预算支出情况表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第三部分</w:t>
      </w:r>
      <w:r>
        <w:rPr>
          <w:rFonts w:hint="eastAsia" w:ascii="宋体" w:hAnsi="宋体" w:eastAsia="仿宋_GB2312"/>
          <w:b/>
          <w:kern w:val="0"/>
          <w:sz w:val="32"/>
          <w:szCs w:val="32"/>
        </w:rPr>
        <w:t>2017</w:t>
      </w:r>
      <w:r>
        <w:rPr>
          <w:rFonts w:hint="eastAsia" w:ascii="仿宋_GB2312" w:hAnsi="宋体" w:eastAsia="仿宋_GB2312"/>
          <w:b/>
          <w:kern w:val="0"/>
          <w:sz w:val="32"/>
          <w:szCs w:val="32"/>
        </w:rPr>
        <w:t>年部门预算情况说明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一、关于吉木萨尔县统计局2017年收支预算情况的总体说明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二、关于吉木萨尔县统计局2017年收入预算情况说明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三、关于吉木萨尔县统计局2017年支出预算情况说明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Cs/>
          <w:kern w:val="0"/>
          <w:sz w:val="32"/>
          <w:szCs w:val="32"/>
        </w:rPr>
      </w:pPr>
      <w:r>
        <w:rPr>
          <w:rFonts w:hint="eastAsia" w:ascii="仿宋_GB2312" w:hAnsi="宋体" w:eastAsia="仿宋_GB2312"/>
          <w:bCs/>
          <w:kern w:val="0"/>
          <w:sz w:val="32"/>
          <w:szCs w:val="32"/>
        </w:rPr>
        <w:t>四、关于</w:t>
      </w:r>
      <w:r>
        <w:rPr>
          <w:rFonts w:hint="eastAsia" w:ascii="仿宋_GB2312" w:hAnsi="宋体" w:eastAsia="仿宋_GB2312"/>
          <w:kern w:val="0"/>
          <w:sz w:val="32"/>
          <w:szCs w:val="32"/>
        </w:rPr>
        <w:t>吉木萨尔县统计局2017年</w:t>
      </w:r>
      <w:r>
        <w:rPr>
          <w:rFonts w:hint="eastAsia" w:ascii="仿宋_GB2312" w:hAnsi="宋体" w:eastAsia="仿宋_GB2312"/>
          <w:bCs/>
          <w:kern w:val="0"/>
          <w:sz w:val="32"/>
          <w:szCs w:val="32"/>
        </w:rPr>
        <w:t>财政拨款收支预算情况的总体说明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五、关于吉木萨尔县统计局2017年一般公共预算当年拨款情况说明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六、关于吉木萨尔县统计局2017年一般公共预算基本支出情况说明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七、关于吉木萨尔县统计局2017年项目支出情况说明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八、关于吉木萨尔县统计局2017年一般公共预算“三公”经费预算情况说明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九、关于吉木萨尔县统计局2017年政府性基金预算拨款情况说明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十、其他重要事项的情况说明</w:t>
      </w:r>
    </w:p>
    <w:p>
      <w:pPr>
        <w:widowControl/>
        <w:spacing w:line="460" w:lineRule="exac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第四部分  名词解释</w:t>
      </w:r>
    </w:p>
    <w:p>
      <w:pPr>
        <w:widowControl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第一部分  吉木萨尔县统计局单位概况</w:t>
      </w: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　 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一、主要职能</w:t>
      </w:r>
    </w:p>
    <w:p>
      <w:pPr>
        <w:widowControl/>
        <w:snapToGrid w:val="0"/>
        <w:spacing w:before="100" w:beforeAutospacing="1" w:after="100" w:afterAutospacing="1" w:line="520" w:lineRule="exact"/>
        <w:ind w:firstLine="360"/>
        <w:jc w:val="left"/>
        <w:rPr>
          <w:rFonts w:ascii="仿宋_GB2312" w:hAnsi="宋体" w:eastAsia="仿宋_GB2312" w:cs="宋体"/>
          <w:color w:val="000000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caps/>
          <w:color w:val="000000"/>
          <w:kern w:val="0"/>
          <w:sz w:val="30"/>
          <w:szCs w:val="30"/>
        </w:rPr>
        <w:t>1、完成国家统计调查任务，执行国家统一的基本统计报表制度；</w:t>
      </w:r>
    </w:p>
    <w:p>
      <w:pPr>
        <w:widowControl/>
        <w:snapToGrid w:val="0"/>
        <w:spacing w:before="100" w:beforeAutospacing="1" w:after="100" w:afterAutospacing="1" w:line="520" w:lineRule="exact"/>
        <w:ind w:firstLine="360"/>
        <w:jc w:val="left"/>
        <w:rPr>
          <w:rFonts w:ascii="仿宋_GB2312" w:hAnsi="宋体" w:eastAsia="仿宋_GB2312" w:cs="宋体"/>
          <w:color w:val="000000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caps/>
          <w:color w:val="000000"/>
          <w:kern w:val="0"/>
          <w:sz w:val="30"/>
          <w:szCs w:val="30"/>
        </w:rPr>
        <w:t>2、制定本行政区域内统计工作规划计划、统计调查计划和方案，统一领导和协调本行政区域内包括中央和地方单位的统计工作，监督检查统计法规和统计制度的实施；</w:t>
      </w:r>
    </w:p>
    <w:p>
      <w:pPr>
        <w:widowControl/>
        <w:snapToGrid w:val="0"/>
        <w:spacing w:before="100" w:beforeAutospacing="1" w:after="100" w:afterAutospacing="1" w:line="520" w:lineRule="exact"/>
        <w:ind w:firstLine="360"/>
        <w:jc w:val="left"/>
        <w:rPr>
          <w:rFonts w:ascii="仿宋_GB2312" w:hAnsi="宋体" w:eastAsia="仿宋_GB2312" w:cs="宋体"/>
          <w:color w:val="000000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caps/>
          <w:color w:val="000000"/>
          <w:kern w:val="0"/>
          <w:sz w:val="30"/>
          <w:szCs w:val="30"/>
        </w:rPr>
        <w:t>3、根据本行政区域内规划和管理的需要，搜集整理，提供基本统计资料，对本行政区域内国民经济和社会发展情况进行统计分析、统计预测和统计监督；</w:t>
      </w:r>
    </w:p>
    <w:p>
      <w:pPr>
        <w:widowControl/>
        <w:snapToGrid w:val="0"/>
        <w:spacing w:before="100" w:beforeAutospacing="1" w:after="100" w:afterAutospacing="1" w:line="520" w:lineRule="exact"/>
        <w:ind w:firstLine="360"/>
        <w:jc w:val="left"/>
        <w:rPr>
          <w:rFonts w:ascii="仿宋_GB2312" w:hAnsi="宋体" w:eastAsia="仿宋_GB2312" w:cs="宋体"/>
          <w:color w:val="000000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caps/>
          <w:color w:val="000000"/>
          <w:kern w:val="0"/>
          <w:sz w:val="30"/>
          <w:szCs w:val="30"/>
        </w:rPr>
        <w:t>4、审查本行政区域内各部门的统计调查计划和统计调查方案，管理本行政区域内各部门制发的统计调查表；</w:t>
      </w:r>
    </w:p>
    <w:p>
      <w:pPr>
        <w:widowControl/>
        <w:snapToGrid w:val="0"/>
        <w:spacing w:before="100" w:beforeAutospacing="1" w:after="100" w:afterAutospacing="1" w:line="520" w:lineRule="exact"/>
        <w:ind w:firstLine="360"/>
        <w:jc w:val="left"/>
        <w:rPr>
          <w:rFonts w:ascii="仿宋_GB2312" w:hAnsi="宋体" w:eastAsia="仿宋_GB2312" w:cs="宋体"/>
          <w:color w:val="000000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caps/>
          <w:color w:val="000000"/>
          <w:kern w:val="0"/>
          <w:sz w:val="30"/>
          <w:szCs w:val="30"/>
        </w:rPr>
        <w:t>5、检查、审定、管理、公布、出版本行政区域内的基本统计资料，发布本行政区域内国民经济和社会215发展情况的统计公报；</w:t>
      </w:r>
    </w:p>
    <w:p>
      <w:pPr>
        <w:widowControl/>
        <w:snapToGrid w:val="0"/>
        <w:spacing w:before="100" w:beforeAutospacing="1" w:after="100" w:afterAutospacing="1" w:line="520" w:lineRule="exact"/>
        <w:ind w:firstLine="360"/>
        <w:jc w:val="left"/>
        <w:rPr>
          <w:rFonts w:ascii="仿宋_GB2312" w:hAnsi="宋体" w:eastAsia="仿宋_GB2312" w:cs="宋体"/>
          <w:color w:val="000000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caps/>
          <w:color w:val="000000"/>
          <w:kern w:val="0"/>
          <w:sz w:val="30"/>
          <w:szCs w:val="30"/>
        </w:rPr>
        <w:t>6、统一管理本行政区域内城市和农村社会经济抽样调查队；</w:t>
      </w:r>
    </w:p>
    <w:p>
      <w:pPr>
        <w:widowControl/>
        <w:snapToGrid w:val="0"/>
        <w:spacing w:before="100" w:beforeAutospacing="1" w:after="100" w:afterAutospacing="1" w:line="520" w:lineRule="exact"/>
        <w:ind w:firstLine="360"/>
        <w:jc w:val="left"/>
        <w:rPr>
          <w:rFonts w:ascii="仿宋_GB2312" w:hAnsi="宋体" w:eastAsia="仿宋_GB2312" w:cs="宋体"/>
          <w:color w:val="000000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caps/>
          <w:color w:val="000000"/>
          <w:kern w:val="0"/>
          <w:sz w:val="30"/>
          <w:szCs w:val="30"/>
        </w:rPr>
        <w:t>7、对本行政区域内人民政府统计机构干部和乡镇统计员进行协助管理，业务上受上级人民政府统计机构领导为主。</w:t>
      </w:r>
    </w:p>
    <w:p>
      <w:pPr>
        <w:widowControl/>
        <w:snapToGrid w:val="0"/>
        <w:spacing w:before="100" w:beforeAutospacing="1" w:after="100" w:afterAutospacing="1" w:line="520" w:lineRule="exact"/>
        <w:ind w:firstLine="360"/>
        <w:jc w:val="left"/>
        <w:rPr>
          <w:rFonts w:ascii="仿宋_GB2312" w:hAnsi="宋体" w:eastAsia="仿宋_GB2312" w:cs="宋体"/>
          <w:caps/>
          <w:color w:val="000000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caps/>
          <w:color w:val="000000"/>
          <w:kern w:val="0"/>
          <w:sz w:val="30"/>
          <w:szCs w:val="30"/>
        </w:rPr>
        <w:t>8、承办县党委、政府交办的事项。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bCs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　  </w:t>
      </w: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二、机构设置及人员情况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吉木萨尔县统计局无下属预算单位，下设3个处室，分别是办公室、综合业务股、普查办公室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pacing w:line="56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黑体" w:eastAsia="仿宋_GB2312" w:cs="宋体"/>
          <w:bCs/>
          <w:kern w:val="0"/>
          <w:sz w:val="32"/>
          <w:szCs w:val="32"/>
        </w:rPr>
        <w:t>吉木萨尔县统计局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编制数12人，实有人数10人，其中：在职10人，增加1人； 退休4人，增加2人；离休0人，增加或减少0人。</w:t>
      </w:r>
    </w:p>
    <w:p>
      <w:pPr>
        <w:widowControl/>
        <w:spacing w:beforeLines="50"/>
        <w:jc w:val="center"/>
        <w:outlineLvl w:val="1"/>
        <w:rPr>
          <w:rFonts w:ascii="黑体" w:hAnsi="黑体" w:eastAsia="黑体"/>
          <w:kern w:val="0"/>
          <w:sz w:val="32"/>
          <w:szCs w:val="32"/>
        </w:rPr>
      </w:pPr>
      <w:r>
        <w:rPr>
          <w:rFonts w:hint="eastAsia" w:ascii="黑体" w:hAnsi="黑体" w:eastAsia="黑体"/>
          <w:kern w:val="0"/>
          <w:sz w:val="32"/>
          <w:szCs w:val="32"/>
        </w:rPr>
        <w:t>第二部分 2017年部门预算公开表</w:t>
      </w:r>
    </w:p>
    <w:p>
      <w:pPr>
        <w:widowControl/>
        <w:spacing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表一：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部门收支总体情况表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编制部门：吉木萨尔县统计局                             单位： 元</w:t>
      </w:r>
    </w:p>
    <w:tbl>
      <w:tblPr>
        <w:tblStyle w:val="3"/>
        <w:tblW w:w="8662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0"/>
        <w:gridCol w:w="1988"/>
        <w:gridCol w:w="2693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收     入</w:t>
            </w:r>
          </w:p>
        </w:tc>
        <w:tc>
          <w:tcPr>
            <w:tcW w:w="4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支     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项     目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功能分类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0"/>
                <w:szCs w:val="20"/>
              </w:rPr>
              <w:t>预算数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财政拨款（补助）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ascii="黑体" w:hAnsi="宋体" w:eastAsia="黑体" w:cs="宋体"/>
                <w:kern w:val="0"/>
                <w:szCs w:val="21"/>
              </w:rPr>
              <w:t>1796158.36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201 一般公共服务支出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434325.28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 xml:space="preserve">    一般公共预算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ascii="黑体" w:hAnsi="宋体" w:eastAsia="黑体" w:cs="宋体"/>
                <w:kern w:val="0"/>
                <w:szCs w:val="21"/>
              </w:rPr>
              <w:t>1796158.36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202 外交支出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 xml:space="preserve">    政府性基金预算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203 国防支出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教育收费（财政专户）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204 公共安全支出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事业收入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205 教育支出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事业单位经营收入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206 科学技术支出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其他收入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207 文化体育与传媒支出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用事业基金弥补收支差额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208 社会保障和就业支出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219946.84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209 社会保险基金支出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141886.24　</w:t>
            </w:r>
          </w:p>
        </w:tc>
      </w:tr>
      <w:tr>
        <w:tblPrEx>
          <w:tblLayout w:type="fixed"/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210 医疗卫生支出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211 节能环保支出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212 城乡社区支出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213 农林水支出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214 交通运输支出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215 资源勘探信息等支出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216 商业服务业等支出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217 金融支出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219 援助其他地区支出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220 国土资源气象等支出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221 住房保障支出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222 粮油物资管理支出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223 国有资本经营预算支出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227 预备费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229 其他支出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231 债务还本支出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232 债务付息支出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9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233 债务发行费支出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</w:tblPrEx>
        <w:trPr>
          <w:trHeight w:val="312" w:hRule="exac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小         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  <w:r>
              <w:rPr>
                <w:rFonts w:ascii="黑体" w:hAnsi="宋体" w:eastAsia="黑体" w:cs="宋体"/>
                <w:kern w:val="0"/>
                <w:szCs w:val="21"/>
              </w:rPr>
              <w:t>1796158.36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小           计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1796158.36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单位上年结余（不包括国库集中支付额度结余）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230 转移性支出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28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收  入  总  计</w:t>
            </w:r>
          </w:p>
        </w:tc>
        <w:tc>
          <w:tcPr>
            <w:tcW w:w="1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ascii="黑体" w:hAnsi="宋体" w:eastAsia="黑体" w:cs="宋体"/>
                <w:kern w:val="0"/>
                <w:szCs w:val="21"/>
              </w:rPr>
              <w:t>1796158.36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　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支  出  合  计</w:t>
            </w:r>
          </w:p>
        </w:tc>
        <w:tc>
          <w:tcPr>
            <w:tcW w:w="17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right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黑体" w:hAnsi="宋体" w:eastAsia="黑体" w:cs="宋体"/>
                <w:kern w:val="0"/>
                <w:szCs w:val="21"/>
              </w:rPr>
              <w:t>1796158.36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　</w:t>
            </w:r>
          </w:p>
        </w:tc>
      </w:tr>
    </w:tbl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表二：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部门收入总体情况表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填报部门：吉木萨尔县统计局                          单位： 元</w:t>
      </w:r>
    </w:p>
    <w:tbl>
      <w:tblPr>
        <w:tblStyle w:val="3"/>
        <w:tblW w:w="951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426"/>
        <w:gridCol w:w="425"/>
        <w:gridCol w:w="1843"/>
        <w:gridCol w:w="1275"/>
        <w:gridCol w:w="1276"/>
        <w:gridCol w:w="425"/>
        <w:gridCol w:w="426"/>
        <w:gridCol w:w="425"/>
        <w:gridCol w:w="567"/>
        <w:gridCol w:w="425"/>
        <w:gridCol w:w="709"/>
        <w:gridCol w:w="70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功能分类科目编码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功能分类科目名称</w:t>
            </w:r>
          </w:p>
        </w:tc>
        <w:tc>
          <w:tcPr>
            <w:tcW w:w="12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总  计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一般公共预算拨款</w:t>
            </w:r>
          </w:p>
        </w:tc>
        <w:tc>
          <w:tcPr>
            <w:tcW w:w="4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政府性基金预算拨款</w:t>
            </w:r>
          </w:p>
        </w:tc>
        <w:tc>
          <w:tcPr>
            <w:tcW w:w="4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财政专户管理资金</w:t>
            </w:r>
          </w:p>
        </w:tc>
        <w:tc>
          <w:tcPr>
            <w:tcW w:w="4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事业收入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事业单位经营收入</w:t>
            </w:r>
          </w:p>
        </w:tc>
        <w:tc>
          <w:tcPr>
            <w:tcW w:w="4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其他收入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用事业基金弥补收支差额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黑体" w:eastAsia="黑体"/>
                <w:b/>
                <w:color w:val="000000"/>
                <w:sz w:val="18"/>
                <w:szCs w:val="18"/>
              </w:rPr>
              <w:t>单位上年结余（不包括国库集中支付额度结余）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类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款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b/>
                <w:color w:val="000000"/>
                <w:sz w:val="20"/>
                <w:szCs w:val="20"/>
              </w:rPr>
              <w:t>项</w:t>
            </w: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201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黑体" w:eastAsia="黑体"/>
                <w:color w:val="000000"/>
                <w:sz w:val="20"/>
                <w:szCs w:val="20"/>
              </w:rPr>
            </w:pPr>
          </w:p>
          <w:p>
            <w:pPr>
              <w:jc w:val="center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行政运行（统计信息事务）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434325.28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434325.28</w:t>
            </w: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208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行政单位离退休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3240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3240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行政单位医疗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61280.37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61280.37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事业单位医疗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18530.64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18530.64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03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公务员医疗补助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62075.23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62075.23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208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机关事业单位基本养老保险缴费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154790.6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154790.6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208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06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机关事业单位职业年金缴费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61916.24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61916.24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合计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黑体" w:hAnsi="宋体" w:eastAsia="黑体" w:cs="宋体"/>
                <w:kern w:val="0"/>
                <w:szCs w:val="21"/>
              </w:rPr>
              <w:t>1796158.36</w:t>
            </w: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ascii="黑体" w:hAnsi="宋体" w:eastAsia="黑体" w:cs="宋体"/>
                <w:kern w:val="0"/>
                <w:szCs w:val="21"/>
              </w:rPr>
              <w:t>1796158.36</w:t>
            </w: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28"/>
          <w:szCs w:val="28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28"/>
          <w:szCs w:val="28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28"/>
          <w:szCs w:val="28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28"/>
          <w:szCs w:val="28"/>
        </w:rPr>
      </w:pPr>
      <w:r>
        <w:rPr>
          <w:rFonts w:hint="eastAsia" w:ascii="仿宋_GB2312" w:hAnsi="宋体" w:eastAsia="仿宋_GB2312"/>
          <w:b/>
          <w:kern w:val="0"/>
          <w:sz w:val="28"/>
          <w:szCs w:val="28"/>
        </w:rPr>
        <w:t>表三：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部门支出总体情况表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编制部门：吉木萨尔县统计局                         单位： 元</w:t>
      </w:r>
    </w:p>
    <w:tbl>
      <w:tblPr>
        <w:tblStyle w:val="3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443"/>
        <w:gridCol w:w="425"/>
        <w:gridCol w:w="2693"/>
        <w:gridCol w:w="1534"/>
        <w:gridCol w:w="1856"/>
        <w:gridCol w:w="171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41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项目</w:t>
            </w:r>
          </w:p>
        </w:tc>
        <w:tc>
          <w:tcPr>
            <w:tcW w:w="51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支出预算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69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53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85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1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  <w:t>类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  <w:t>款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16"/>
                <w:szCs w:val="16"/>
              </w:rPr>
              <w:t>项</w:t>
            </w:r>
          </w:p>
        </w:tc>
        <w:tc>
          <w:tcPr>
            <w:tcW w:w="269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4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5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1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201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color w:val="000000"/>
                <w:sz w:val="20"/>
                <w:szCs w:val="20"/>
              </w:rPr>
            </w:pPr>
          </w:p>
          <w:p>
            <w:pPr>
              <w:jc w:val="center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行政运行（统计信息事务）　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434325.28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434325.28</w:t>
            </w: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208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行政单位离退休　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3240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3240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行政单位医疗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61280.37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61280.37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事业单位医疗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18530.64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18530.64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03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公务员医疗补助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62075.23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62075.23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208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154790.6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154790.6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208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06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机关事业单位职业年金缴费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61916.24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61916.24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</w:tblPrEx>
        <w:trPr>
          <w:trHeight w:val="40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5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ascii="黑体" w:hAnsi="宋体" w:eastAsia="黑体" w:cs="宋体"/>
                <w:kern w:val="0"/>
                <w:szCs w:val="21"/>
              </w:rPr>
              <w:t>1796158.36</w:t>
            </w: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ascii="黑体" w:hAnsi="宋体" w:eastAsia="黑体" w:cs="宋体"/>
                <w:kern w:val="0"/>
                <w:szCs w:val="21"/>
              </w:rPr>
              <w:t>1796158.36</w:t>
            </w:r>
          </w:p>
        </w:tc>
        <w:tc>
          <w:tcPr>
            <w:tcW w:w="1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spacing w:beforeLines="50"/>
        <w:outlineLvl w:val="1"/>
        <w:rPr>
          <w:rFonts w:hint="eastAsia"/>
        </w:rPr>
      </w:pPr>
    </w:p>
    <w:p>
      <w:pPr>
        <w:widowControl/>
        <w:spacing w:beforeLines="50"/>
        <w:outlineLvl w:val="1"/>
        <w:rPr>
          <w:rFonts w:hint="eastAsia"/>
        </w:rPr>
      </w:pPr>
    </w:p>
    <w:p>
      <w:pPr>
        <w:widowControl/>
        <w:spacing w:beforeLines="50"/>
        <w:outlineLvl w:val="1"/>
        <w:rPr>
          <w:rFonts w:hint="eastAsia"/>
        </w:rPr>
      </w:pPr>
    </w:p>
    <w:p>
      <w:pPr>
        <w:widowControl/>
        <w:spacing w:beforeLines="50"/>
        <w:outlineLvl w:val="1"/>
        <w:rPr>
          <w:rFonts w:hint="eastAsia"/>
        </w:rPr>
      </w:pPr>
    </w:p>
    <w:p>
      <w:pPr>
        <w:widowControl/>
        <w:spacing w:beforeLines="50"/>
        <w:outlineLvl w:val="1"/>
        <w:rPr>
          <w:rFonts w:hint="eastAsia"/>
        </w:rPr>
      </w:pPr>
    </w:p>
    <w:p>
      <w:pPr>
        <w:widowControl/>
        <w:spacing w:beforeLines="50"/>
        <w:outlineLvl w:val="1"/>
        <w:rPr>
          <w:rFonts w:hint="eastAsia"/>
        </w:rPr>
      </w:pPr>
    </w:p>
    <w:p>
      <w:pPr>
        <w:widowControl/>
        <w:spacing w:beforeLines="50"/>
        <w:outlineLvl w:val="1"/>
        <w:rPr>
          <w:rFonts w:hint="eastAsia"/>
        </w:rPr>
      </w:pPr>
    </w:p>
    <w:p>
      <w:pPr>
        <w:widowControl/>
        <w:spacing w:beforeLines="50"/>
        <w:outlineLvl w:val="1"/>
        <w:rPr>
          <w:rFonts w:hint="eastAsia"/>
        </w:rPr>
      </w:pPr>
    </w:p>
    <w:p>
      <w:pPr>
        <w:widowControl/>
        <w:spacing w:beforeLines="50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表四：</w:t>
      </w:r>
    </w:p>
    <w:p>
      <w:pPr>
        <w:widowControl/>
        <w:spacing w:beforeLines="50"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财政拨款收支预算总体情况表</w:t>
      </w:r>
    </w:p>
    <w:p>
      <w:pPr>
        <w:widowControl/>
        <w:spacing w:beforeLines="50"/>
        <w:outlineLvl w:val="1"/>
        <w:rPr>
          <w:rFonts w:ascii="仿宋_GB2312" w:hAnsi="宋体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/>
          <w:kern w:val="0"/>
          <w:sz w:val="28"/>
          <w:szCs w:val="28"/>
        </w:rPr>
        <w:t>编制部门：</w:t>
      </w:r>
      <w:r>
        <w:rPr>
          <w:rFonts w:hint="eastAsia" w:ascii="仿宋_GB2312" w:hAnsi="宋体" w:eastAsia="仿宋_GB2312"/>
          <w:kern w:val="0"/>
          <w:sz w:val="24"/>
        </w:rPr>
        <w:t>吉木萨尔县统计局</w:t>
      </w:r>
      <w:r>
        <w:rPr>
          <w:rFonts w:hint="eastAsia" w:ascii="仿宋_GB2312" w:hAnsi="宋体" w:eastAsia="仿宋_GB2312"/>
          <w:kern w:val="0"/>
          <w:sz w:val="28"/>
          <w:szCs w:val="28"/>
        </w:rPr>
        <w:t xml:space="preserve">                 单位： 元</w:t>
      </w:r>
    </w:p>
    <w:tbl>
      <w:tblPr>
        <w:tblStyle w:val="3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372"/>
        <w:gridCol w:w="2108"/>
        <w:gridCol w:w="1294"/>
        <w:gridCol w:w="1418"/>
        <w:gridCol w:w="14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Cs w:val="21"/>
              </w:rPr>
              <w:t>财政拨款收入</w:t>
            </w:r>
          </w:p>
        </w:tc>
        <w:tc>
          <w:tcPr>
            <w:tcW w:w="62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Cs w:val="21"/>
              </w:rPr>
              <w:t>财政拨款支出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Cs w:val="21"/>
              </w:rPr>
              <w:t>项    目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Cs w:val="21"/>
              </w:rPr>
              <w:t>合计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Cs w:val="21"/>
              </w:rPr>
              <w:t>功  能  分  类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Cs w:val="21"/>
              </w:rPr>
              <w:t>合计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Cs w:val="21"/>
              </w:rPr>
              <w:t>一般公共预算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Cs w:val="21"/>
              </w:rPr>
              <w:t>政府性基金预算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财政拨款（补助）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ascii="黑体" w:hAnsi="宋体" w:eastAsia="黑体" w:cs="宋体"/>
                <w:kern w:val="0"/>
                <w:szCs w:val="21"/>
              </w:rPr>
              <w:t>1796158.36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  <w:r>
              <w:rPr>
                <w:rFonts w:ascii="黑体" w:hAnsi="宋体" w:eastAsia="黑体" w:cs="宋体"/>
                <w:kern w:val="0"/>
                <w:szCs w:val="21"/>
              </w:rPr>
              <w:t>1796158.36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201 一般公共服务支出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434325.28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434325.28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 xml:space="preserve"> 一般公共预算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ascii="黑体" w:hAnsi="宋体" w:eastAsia="黑体" w:cs="宋体"/>
                <w:kern w:val="0"/>
                <w:szCs w:val="21"/>
              </w:rPr>
              <w:t>1796158.367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202 外交支出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 xml:space="preserve"> 政府性基金预算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203 国防支出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204 公共安全支出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205 教育支出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206 科学技术支出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207 文化体育与传媒支出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219946.84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219946.84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208 社会保障和就业支出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141886.24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141886.24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209 社会保险基金支出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210 医疗卫生支出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211 节能环保支出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212 城乡社区支出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213 农林水支出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214 交通运输支出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215 资源勘探信息等支出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216 商业服务业等支出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217 金融支出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219 援助其他地区支出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220 国土资源气象等支出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221 住房保障支出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222 粮油物资管理支出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23 国有资本经营预算支出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227 预备费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229 其他支出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31 债务还本支出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32 债务付息支出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233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 xml:space="preserve"> 债务发行费支出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小       计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ascii="黑体" w:hAnsi="宋体" w:eastAsia="黑体" w:cs="宋体"/>
                <w:kern w:val="0"/>
                <w:szCs w:val="21"/>
              </w:rPr>
              <w:t>1796158.36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小         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ascii="黑体" w:hAnsi="宋体" w:eastAsia="黑体" w:cs="宋体"/>
                <w:kern w:val="0"/>
                <w:szCs w:val="21"/>
              </w:rPr>
              <w:t>1796158.36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ascii="黑体" w:hAnsi="宋体" w:eastAsia="黑体" w:cs="宋体"/>
                <w:kern w:val="0"/>
                <w:szCs w:val="21"/>
              </w:rPr>
              <w:t>1796158.36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230 转移性支出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exact"/>
        </w:trPr>
        <w:tc>
          <w:tcPr>
            <w:tcW w:w="16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收  入  总  计</w:t>
            </w:r>
          </w:p>
        </w:tc>
        <w:tc>
          <w:tcPr>
            <w:tcW w:w="1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ascii="黑体" w:hAnsi="宋体" w:eastAsia="黑体" w:cs="宋体"/>
                <w:kern w:val="0"/>
                <w:szCs w:val="21"/>
              </w:rPr>
              <w:t>1796158.36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2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支  出  总  计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ascii="黑体" w:hAnsi="宋体" w:eastAsia="黑体" w:cs="宋体"/>
                <w:kern w:val="0"/>
                <w:szCs w:val="21"/>
              </w:rPr>
              <w:t>1796158.36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ascii="黑体" w:hAnsi="宋体" w:eastAsia="黑体" w:cs="宋体"/>
                <w:kern w:val="0"/>
                <w:szCs w:val="21"/>
              </w:rPr>
              <w:t>1796158.36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黑体" w:hAnsi="宋体" w:eastAsia="黑体" w:cs="宋体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Cs w:val="21"/>
              </w:rPr>
              <w:t>　</w:t>
            </w:r>
          </w:p>
        </w:tc>
      </w:tr>
    </w:tbl>
    <w:p/>
    <w:p/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表五：</w:t>
      </w:r>
    </w:p>
    <w:tbl>
      <w:tblPr>
        <w:tblStyle w:val="3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426"/>
        <w:gridCol w:w="85"/>
        <w:gridCol w:w="340"/>
        <w:gridCol w:w="2427"/>
        <w:gridCol w:w="124"/>
        <w:gridCol w:w="142"/>
        <w:gridCol w:w="394"/>
        <w:gridCol w:w="459"/>
        <w:gridCol w:w="706"/>
        <w:gridCol w:w="75"/>
        <w:gridCol w:w="901"/>
        <w:gridCol w:w="725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8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126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吉木萨尔县统计局</w:t>
            </w: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</w:t>
            </w:r>
          </w:p>
        </w:tc>
        <w:tc>
          <w:tcPr>
            <w:tcW w:w="3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12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项目</w:t>
            </w:r>
          </w:p>
        </w:tc>
        <w:tc>
          <w:tcPr>
            <w:tcW w:w="496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2"/>
                <w:szCs w:val="22"/>
              </w:rPr>
              <w:t>一般公共预算支出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功能分类科目编码</w:t>
            </w:r>
          </w:p>
        </w:tc>
        <w:tc>
          <w:tcPr>
            <w:tcW w:w="2693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功能分类科目名称</w:t>
            </w:r>
          </w:p>
        </w:tc>
        <w:tc>
          <w:tcPr>
            <w:tcW w:w="1559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小计</w:t>
            </w:r>
          </w:p>
        </w:tc>
        <w:tc>
          <w:tcPr>
            <w:tcW w:w="1701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  <w:t>项</w:t>
            </w:r>
          </w:p>
        </w:tc>
        <w:tc>
          <w:tcPr>
            <w:tcW w:w="2693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201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eastAsia="黑体"/>
                <w:color w:val="000000"/>
                <w:sz w:val="20"/>
                <w:szCs w:val="20"/>
              </w:rPr>
            </w:pPr>
          </w:p>
          <w:p>
            <w:pPr>
              <w:jc w:val="center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行政运行（统计信息事务）　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434325.28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434325.28</w:t>
            </w: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208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行政单位离退休　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3240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3240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01　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行政单位医疗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61280.37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61280.37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eastAsia="黑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事业单位医疗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18530.64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18530.64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210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11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03　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　公务员医疗补助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62075.23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62075.23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208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机关事业单位基本养老保险缴费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154790.6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154790.6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208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05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黑体" w:hAnsi="宋体" w:eastAsia="黑体" w:cs="宋体"/>
                <w:color w:val="000000"/>
                <w:sz w:val="20"/>
                <w:szCs w:val="20"/>
              </w:rPr>
            </w:pPr>
            <w:r>
              <w:rPr>
                <w:rFonts w:hint="eastAsia" w:ascii="黑体" w:eastAsia="黑体"/>
                <w:color w:val="000000"/>
                <w:sz w:val="20"/>
                <w:szCs w:val="20"/>
              </w:rPr>
              <w:t>06　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机关事业单位职业年金缴费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61916.24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right"/>
              <w:rPr>
                <w:rFonts w:ascii="仿宋_GB2312" w:hAnsi="宋体" w:eastAsia="仿宋_GB2312" w:cs="宋体"/>
                <w:color w:val="000000"/>
                <w:sz w:val="20"/>
                <w:szCs w:val="20"/>
              </w:rPr>
            </w:pPr>
            <w:r>
              <w:rPr>
                <w:rFonts w:hint="eastAsia" w:ascii="仿宋_GB2312" w:eastAsia="仿宋_GB2312"/>
                <w:color w:val="000000"/>
                <w:sz w:val="20"/>
                <w:szCs w:val="20"/>
              </w:rPr>
              <w:t>61916.24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</w:tblPrEx>
        <w:trPr>
          <w:trHeight w:val="45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宋体" w:eastAsia="黑体" w:cs="宋体"/>
                <w:kern w:val="0"/>
                <w:szCs w:val="21"/>
              </w:rPr>
              <w:t>1796158.3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宋体" w:eastAsia="黑体" w:cs="宋体"/>
                <w:kern w:val="0"/>
                <w:szCs w:val="21"/>
              </w:rPr>
              <w:t>1796158.3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08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8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b/>
                <w:kern w:val="0"/>
                <w:sz w:val="32"/>
                <w:szCs w:val="32"/>
              </w:rPr>
              <w:t>表六：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一般公共预算基本支出情况表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98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吉木萨尔县统计局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    </w:t>
            </w:r>
          </w:p>
        </w:tc>
        <w:tc>
          <w:tcPr>
            <w:tcW w:w="24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firstLine="720" w:firstLineChars="30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39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510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  <w:t>一般公共预算基本支出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  <w:t>经济分类科目编码</w:t>
            </w:r>
          </w:p>
        </w:tc>
        <w:tc>
          <w:tcPr>
            <w:tcW w:w="2891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  <w:t>经济分类科目名称</w:t>
            </w:r>
          </w:p>
        </w:tc>
        <w:tc>
          <w:tcPr>
            <w:tcW w:w="1701" w:type="dxa"/>
            <w:gridSpan w:val="4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  <w:t>小计</w:t>
            </w:r>
          </w:p>
        </w:tc>
        <w:tc>
          <w:tcPr>
            <w:tcW w:w="1701" w:type="dxa"/>
            <w:gridSpan w:val="3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  <w:t>人员经费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color w:val="000000"/>
                <w:kern w:val="0"/>
                <w:szCs w:val="21"/>
              </w:rPr>
              <w:t>公用经费</w:t>
            </w:r>
          </w:p>
        </w:tc>
      </w:tr>
      <w:tr>
        <w:tblPrEx>
          <w:tblLayout w:type="fixed"/>
        </w:tblPrEx>
        <w:trPr>
          <w:trHeight w:val="27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类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0"/>
                <w:szCs w:val="20"/>
              </w:rPr>
              <w:t>款</w:t>
            </w:r>
          </w:p>
        </w:tc>
        <w:tc>
          <w:tcPr>
            <w:tcW w:w="2891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基本工资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377328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377328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宋体"/>
                <w:b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津贴补贴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341,334.00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sz w:val="20"/>
                <w:szCs w:val="20"/>
              </w:rPr>
              <w:t>341,334.00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一次性奖金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114783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right="147" w:rightChars="7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114783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机关事业单位基本养老保险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154790.6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154790.6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09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职业年金缴费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61,916.24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sz w:val="20"/>
                <w:szCs w:val="20"/>
              </w:rPr>
              <w:t>61,916.24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310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基本医疗保险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  <w:p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>
              <w:rPr>
                <w:rFonts w:hint="eastAsia"/>
                <w:sz w:val="20"/>
                <w:szCs w:val="20"/>
              </w:rPr>
              <w:t>9811.01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sz w:val="20"/>
                <w:szCs w:val="20"/>
              </w:rPr>
              <w:t>7</w:t>
            </w:r>
            <w:r>
              <w:rPr>
                <w:rFonts w:hint="eastAsia"/>
                <w:sz w:val="20"/>
                <w:szCs w:val="20"/>
              </w:rPr>
              <w:t>9811.01</w:t>
            </w:r>
          </w:p>
          <w:p>
            <w:pPr>
              <w:jc w:val="left"/>
              <w:rPr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310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公务员医疗补助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62075.23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62075.23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310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其他社会保障缴费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6752.25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6752.25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其他工资福利支出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215660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215660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办公费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42000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42000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302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28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工会经费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14807.4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14807.4</w:t>
            </w:r>
          </w:p>
        </w:tc>
      </w:tr>
      <w:tr>
        <w:tblPrEx>
          <w:tblLayout w:type="fixed"/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29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福利费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24432.21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24432.21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31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公务用车运行维护费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20000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302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99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其他商品和服务支出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150000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150000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303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退休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21370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21370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109098.36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109098.36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51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28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合计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ascii="黑体" w:hAnsi="宋体" w:eastAsia="黑体" w:cs="宋体"/>
                <w:kern w:val="0"/>
                <w:szCs w:val="21"/>
              </w:rPr>
              <w:t>1796158.3</w:t>
            </w:r>
            <w:r>
              <w:rPr>
                <w:rFonts w:hint="eastAsia" w:ascii="黑体" w:hAnsi="宋体" w:eastAsia="黑体" w:cs="宋体"/>
                <w:kern w:val="0"/>
                <w:szCs w:val="21"/>
              </w:rPr>
              <w:t>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1435820.39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360337.97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8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3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ind w:right="48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</w:tbl>
    <w:p/>
    <w:p/>
    <w:p/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表七：</w:t>
      </w:r>
    </w:p>
    <w:tbl>
      <w:tblPr>
        <w:tblStyle w:val="3"/>
        <w:tblW w:w="952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"/>
        <w:gridCol w:w="300"/>
        <w:gridCol w:w="397"/>
        <w:gridCol w:w="397"/>
        <w:gridCol w:w="851"/>
        <w:gridCol w:w="1456"/>
        <w:gridCol w:w="725"/>
        <w:gridCol w:w="189"/>
        <w:gridCol w:w="448"/>
        <w:gridCol w:w="536"/>
        <w:gridCol w:w="11"/>
        <w:gridCol w:w="641"/>
        <w:gridCol w:w="652"/>
        <w:gridCol w:w="389"/>
        <w:gridCol w:w="189"/>
        <w:gridCol w:w="419"/>
        <w:gridCol w:w="578"/>
        <w:gridCol w:w="420"/>
        <w:gridCol w:w="420"/>
        <w:gridCol w:w="40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7" w:type="dxa"/>
          <w:trHeight w:val="375" w:hRule="atLeast"/>
        </w:trPr>
        <w:tc>
          <w:tcPr>
            <w:tcW w:w="9423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项目支出情况表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7" w:type="dxa"/>
          <w:trHeight w:val="405" w:hRule="atLeast"/>
        </w:trPr>
        <w:tc>
          <w:tcPr>
            <w:tcW w:w="4315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编制部门：</w:t>
            </w:r>
            <w:r>
              <w:rPr>
                <w:rFonts w:hint="eastAsia" w:ascii="仿宋_GB2312" w:hAnsi="宋体" w:eastAsia="仿宋_GB2312"/>
                <w:kern w:val="0"/>
                <w:sz w:val="24"/>
              </w:rPr>
              <w:t>吉木萨尔县统计局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6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     </w:t>
            </w:r>
          </w:p>
        </w:tc>
        <w:tc>
          <w:tcPr>
            <w:tcW w:w="243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单位：元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191" w:type="dxa"/>
            <w:gridSpan w:val="4"/>
            <w:vAlign w:val="center"/>
          </w:tcPr>
          <w:p>
            <w:pPr>
              <w:widowControl/>
              <w:jc w:val="center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科 目 编 码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科目</w:t>
            </w:r>
          </w:p>
        </w:tc>
        <w:tc>
          <w:tcPr>
            <w:tcW w:w="1456" w:type="dxa"/>
            <w:vMerge w:val="restart"/>
            <w:vAlign w:val="center"/>
          </w:tcPr>
          <w:p>
            <w:pPr>
              <w:jc w:val="center"/>
              <w:rPr>
                <w:rFonts w:ascii="黑体" w:hAnsi="Calibri" w:eastAsia="黑体"/>
                <w:b/>
                <w:sz w:val="24"/>
              </w:rPr>
            </w:pPr>
            <w:r>
              <w:rPr>
                <w:rFonts w:hint="eastAsia" w:ascii="黑体" w:hAnsi="宋体" w:eastAsia="黑体"/>
                <w:b/>
                <w:kern w:val="0"/>
                <w:sz w:val="24"/>
              </w:rPr>
              <w:t>项目名称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项目支出合计</w:t>
            </w:r>
          </w:p>
        </w:tc>
        <w:tc>
          <w:tcPr>
            <w:tcW w:w="637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工资福利支出</w:t>
            </w:r>
          </w:p>
        </w:tc>
        <w:tc>
          <w:tcPr>
            <w:tcW w:w="536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商品和服务支出</w:t>
            </w:r>
          </w:p>
        </w:tc>
        <w:tc>
          <w:tcPr>
            <w:tcW w:w="652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对个人和家庭的补助</w:t>
            </w:r>
          </w:p>
        </w:tc>
        <w:tc>
          <w:tcPr>
            <w:tcW w:w="652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债务利息及费用支出</w:t>
            </w:r>
          </w:p>
        </w:tc>
        <w:tc>
          <w:tcPr>
            <w:tcW w:w="578" w:type="dxa"/>
            <w:gridSpan w:val="2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资本性支出（基本建设）</w:t>
            </w:r>
          </w:p>
        </w:tc>
        <w:tc>
          <w:tcPr>
            <w:tcW w:w="419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资本性支出</w:t>
            </w:r>
          </w:p>
        </w:tc>
        <w:tc>
          <w:tcPr>
            <w:tcW w:w="578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对企业补助（基本建设）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对企业补助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对社会保障基金补助</w:t>
            </w:r>
          </w:p>
        </w:tc>
        <w:tc>
          <w:tcPr>
            <w:tcW w:w="405" w:type="dxa"/>
            <w:vMerge w:val="restart"/>
            <w:vAlign w:val="center"/>
          </w:tcPr>
          <w:p>
            <w:pPr>
              <w:widowControl/>
              <w:jc w:val="center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其他支出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397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类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款</w:t>
            </w:r>
          </w:p>
        </w:tc>
        <w:tc>
          <w:tcPr>
            <w:tcW w:w="397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kern w:val="0"/>
                <w:sz w:val="18"/>
                <w:szCs w:val="18"/>
              </w:rPr>
              <w:t>项</w:t>
            </w:r>
          </w:p>
        </w:tc>
        <w:tc>
          <w:tcPr>
            <w:tcW w:w="85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1456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725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637" w:type="dxa"/>
            <w:gridSpan w:val="2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536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gridSpan w:val="2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652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gridSpan w:val="2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419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578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</w:p>
        </w:tc>
        <w:tc>
          <w:tcPr>
            <w:tcW w:w="405" w:type="dxa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ascii="黑体" w:hAnsi="宋体" w:eastAsia="黑体"/>
                <w:b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/>
                <w:b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72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　</w:t>
            </w:r>
          </w:p>
        </w:tc>
        <w:tc>
          <w:tcPr>
            <w:tcW w:w="72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39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397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851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1456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Cs w:val="21"/>
              </w:rPr>
              <w:t>合计</w:t>
            </w:r>
          </w:p>
        </w:tc>
        <w:tc>
          <w:tcPr>
            <w:tcW w:w="725" w:type="dxa"/>
            <w:vAlign w:val="center"/>
          </w:tcPr>
          <w:p>
            <w:pPr>
              <w:widowControl/>
              <w:jc w:val="center"/>
              <w:outlineLvl w:val="1"/>
              <w:rPr>
                <w:rFonts w:ascii="仿宋_GB2312" w:hAnsi="宋体" w:eastAsia="仿宋_GB2312"/>
                <w:kern w:val="0"/>
                <w:szCs w:val="21"/>
              </w:rPr>
            </w:pPr>
          </w:p>
        </w:tc>
        <w:tc>
          <w:tcPr>
            <w:tcW w:w="637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36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652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  <w:gridSpan w:val="2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19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578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20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  <w:tc>
          <w:tcPr>
            <w:tcW w:w="405" w:type="dxa"/>
          </w:tcPr>
          <w:p>
            <w:pPr>
              <w:widowControl/>
              <w:jc w:val="left"/>
              <w:outlineLvl w:val="1"/>
              <w:rPr>
                <w:rFonts w:ascii="仿宋_GB2312" w:hAnsi="宋体" w:eastAsia="仿宋_GB2312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kern w:val="0"/>
                <w:sz w:val="32"/>
                <w:szCs w:val="32"/>
              </w:rPr>
              <w:t>　</w:t>
            </w:r>
          </w:p>
        </w:tc>
      </w:tr>
    </w:tbl>
    <w:p/>
    <w:p/>
    <w:p/>
    <w:p/>
    <w:p/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表八：</w:t>
      </w:r>
    </w:p>
    <w:p>
      <w:pPr>
        <w:widowControl/>
        <w:jc w:val="left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一般公共预算“三公”经费支出情况表</w:t>
      </w:r>
    </w:p>
    <w:p>
      <w:pPr>
        <w:widowControl/>
        <w:jc w:val="left"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  吉木萨尔县统计局                            单位：</w:t>
      </w:r>
      <w:r>
        <w:rPr>
          <w:rFonts w:hint="eastAsia" w:ascii="仿宋_GB2312" w:hAnsi="宋体" w:eastAsia="仿宋_GB2312" w:cs="宋体"/>
          <w:color w:val="000000"/>
          <w:kern w:val="0"/>
          <w:sz w:val="24"/>
        </w:rPr>
        <w:t>万元</w:t>
      </w:r>
    </w:p>
    <w:tbl>
      <w:tblPr>
        <w:tblStyle w:val="3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5"/>
        <w:gridCol w:w="1417"/>
        <w:gridCol w:w="1559"/>
        <w:gridCol w:w="1418"/>
        <w:gridCol w:w="1559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合计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因公出国（境）费</w:t>
            </w:r>
          </w:p>
        </w:tc>
        <w:tc>
          <w:tcPr>
            <w:tcW w:w="453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公务用车购置及运行费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公务接待费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5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小计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公务用车购置费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公务用车运行费</w:t>
            </w: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2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</w:tblPrEx>
        <w:trPr>
          <w:trHeight w:val="56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widowControl/>
        <w:outlineLvl w:val="1"/>
        <w:rPr>
          <w:rFonts w:ascii="仿宋_GB2312" w:hAnsi="宋体" w:eastAsia="仿宋_GB2312"/>
          <w:kern w:val="0"/>
          <w:sz w:val="32"/>
          <w:szCs w:val="32"/>
        </w:rPr>
      </w:pPr>
    </w:p>
    <w:p/>
    <w:p/>
    <w:p/>
    <w:p/>
    <w:p/>
    <w:p/>
    <w:p/>
    <w:p/>
    <w:p/>
    <w:p/>
    <w:p/>
    <w:p/>
    <w:p/>
    <w:p/>
    <w:p/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hint="eastAsia" w:ascii="仿宋_GB2312" w:hAnsi="宋体" w:eastAsia="仿宋_GB2312"/>
          <w:b/>
          <w:kern w:val="0"/>
          <w:sz w:val="32"/>
          <w:szCs w:val="32"/>
        </w:rPr>
      </w:pPr>
    </w:p>
    <w:p>
      <w:pPr>
        <w:widowControl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表九：</w:t>
      </w:r>
    </w:p>
    <w:p>
      <w:pPr>
        <w:widowControl/>
        <w:jc w:val="center"/>
        <w:outlineLvl w:val="1"/>
        <w:rPr>
          <w:rFonts w:ascii="仿宋_GB2312" w:hAnsi="宋体" w:eastAsia="仿宋_GB2312"/>
          <w:b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kern w:val="0"/>
          <w:sz w:val="32"/>
          <w:szCs w:val="32"/>
        </w:rPr>
        <w:t>政府性基金预算支出情况表</w:t>
      </w:r>
    </w:p>
    <w:p>
      <w:pPr>
        <w:widowControl/>
        <w:outlineLvl w:val="1"/>
        <w:rPr>
          <w:rFonts w:ascii="仿宋_GB2312" w:hAnsi="宋体" w:eastAsia="仿宋_GB2312"/>
          <w:kern w:val="0"/>
          <w:sz w:val="24"/>
        </w:rPr>
      </w:pPr>
      <w:r>
        <w:rPr>
          <w:rFonts w:hint="eastAsia" w:ascii="仿宋_GB2312" w:hAnsi="宋体" w:eastAsia="仿宋_GB2312"/>
          <w:kern w:val="0"/>
          <w:sz w:val="24"/>
        </w:rPr>
        <w:t>编制单位：吉木萨尔县统计局                            单位：</w:t>
      </w:r>
      <w:r>
        <w:rPr>
          <w:rFonts w:hint="eastAsia" w:ascii="仿宋_GB2312" w:hAnsi="宋体" w:eastAsia="仿宋_GB2312" w:cs="宋体"/>
          <w:color w:val="000000"/>
          <w:kern w:val="0"/>
          <w:sz w:val="24"/>
        </w:rPr>
        <w:t>元</w:t>
      </w:r>
    </w:p>
    <w:tbl>
      <w:tblPr>
        <w:tblStyle w:val="3"/>
        <w:tblW w:w="908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7"/>
        <w:gridCol w:w="457"/>
        <w:gridCol w:w="2896"/>
        <w:gridCol w:w="1559"/>
        <w:gridCol w:w="1701"/>
        <w:gridCol w:w="15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4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  目</w:t>
            </w:r>
          </w:p>
        </w:tc>
        <w:tc>
          <w:tcPr>
            <w:tcW w:w="48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政府性基金预算支出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18"/>
                <w:szCs w:val="18"/>
              </w:rPr>
              <w:t>功能分类科目编码</w:t>
            </w:r>
          </w:p>
        </w:tc>
        <w:tc>
          <w:tcPr>
            <w:tcW w:w="289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功能分类科目名称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小计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基本支出</w:t>
            </w:r>
          </w:p>
        </w:tc>
        <w:tc>
          <w:tcPr>
            <w:tcW w:w="15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类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款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项</w:t>
            </w:r>
          </w:p>
        </w:tc>
        <w:tc>
          <w:tcPr>
            <w:tcW w:w="289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</w:tbl>
    <w:p>
      <w:pPr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备注：无内容应公开空表并说明情况。</w:t>
      </w:r>
    </w:p>
    <w:p>
      <w:pPr>
        <w:rPr>
          <w:rFonts w:ascii="仿宋_GB2312" w:hAnsi="宋体" w:eastAsia="仿宋_GB2312"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b/>
          <w:kern w:val="0"/>
          <w:sz w:val="32"/>
          <w:szCs w:val="32"/>
        </w:rPr>
      </w:pPr>
      <w:r>
        <w:rPr>
          <w:rFonts w:hint="eastAsia" w:ascii="黑体" w:hAnsi="黑体" w:eastAsia="黑体"/>
          <w:b/>
          <w:kern w:val="0"/>
          <w:sz w:val="32"/>
          <w:szCs w:val="32"/>
        </w:rPr>
        <w:t>第三部分2017年吉木萨尔县统计局预算情况说明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kern w:val="0"/>
          <w:sz w:val="32"/>
          <w:szCs w:val="32"/>
        </w:rPr>
        <w:t>一、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关于吉木萨尔县统计局2017年收支预算情况的总体说明</w:t>
      </w:r>
    </w:p>
    <w:p>
      <w:pPr>
        <w:widowControl/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按照全口径预算的原则，吉木萨尔县统计局2017年所有收入和支出均纳入部门预算管理。收支总预算</w:t>
      </w:r>
      <w:r>
        <w:rPr>
          <w:rFonts w:ascii="仿宋_GB2312" w:hAnsi="宋体" w:eastAsia="仿宋_GB2312" w:cs="宋体"/>
          <w:kern w:val="0"/>
          <w:sz w:val="32"/>
          <w:szCs w:val="32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796158.36元。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收入预算包括：一般公共预算。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支出预算包括：一般公共服务支出、社会保障和就业支出、医疗卫生支出、其他支出等。</w:t>
      </w:r>
    </w:p>
    <w:p>
      <w:pPr>
        <w:widowControl/>
        <w:spacing w:line="580" w:lineRule="exact"/>
        <w:ind w:firstLine="643" w:firstLineChars="20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二、关于吉木萨尔县统计局2017年收入预算情况说明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吉木萨尔县统计局收入预算</w:t>
      </w:r>
      <w:r>
        <w:rPr>
          <w:rFonts w:ascii="仿宋_GB2312" w:hAnsi="宋体" w:eastAsia="仿宋_GB2312" w:cs="宋体"/>
          <w:kern w:val="0"/>
          <w:sz w:val="32"/>
          <w:szCs w:val="32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796158.36元，其中：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一般公共预算</w:t>
      </w:r>
      <w:r>
        <w:rPr>
          <w:rFonts w:ascii="仿宋_GB2312" w:hAnsi="宋体" w:eastAsia="仿宋_GB2312" w:cs="宋体"/>
          <w:kern w:val="0"/>
          <w:sz w:val="32"/>
          <w:szCs w:val="32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796158.36元，占100%，比上年预算数减少6488.7元，主要原因是2017年吉木萨尔县统计局全国第三次农业普查工作已收尾,进入后续开发阶段,预算减少。    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政府性基金预算未安排。或0元， 占0 %，比上年增加（减少）0元，主要原因是预算未安排；</w:t>
      </w:r>
    </w:p>
    <w:p>
      <w:pPr>
        <w:widowControl/>
        <w:spacing w:line="580" w:lineRule="exact"/>
        <w:ind w:left="160" w:leftChars="76" w:firstLine="480" w:firstLineChars="15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财政专户管理资金0元， 占0 %，比上年增加（减少）0元，主要原因是预算未安排；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事业收入0元， 占0 %，比上年增加（减少）0元，主要原因是预算未安排；</w:t>
      </w:r>
    </w:p>
    <w:p>
      <w:pPr>
        <w:widowControl/>
        <w:spacing w:line="580" w:lineRule="exact"/>
        <w:ind w:left="160" w:leftChars="76" w:firstLine="480" w:firstLineChars="15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事业单位经营收入0元， 占0 %，比上年增加（减少）0元，主要原因是预算未安排；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其他收入0元， 占0 %，比上年增加（减少）0元，主要原因是预算未安排；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用事业基金弥补收支差额0元， 占0 %，比上年增加（减少）0元，主要原因是预算未安排。       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单位上年结余（不包括国库集中支付额度结余）0元， 占0 %，比上年增加（减少）0元，主要原因是预算未安排。</w:t>
      </w:r>
    </w:p>
    <w:p>
      <w:pPr>
        <w:widowControl/>
        <w:spacing w:line="580" w:lineRule="exact"/>
        <w:ind w:firstLine="643" w:firstLineChars="20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三、关于吉木萨尔县统计局2017年支出预算情况说明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统计局2017年支出预算</w:t>
      </w:r>
      <w:r>
        <w:rPr>
          <w:rFonts w:ascii="仿宋_GB2312" w:hAnsi="宋体" w:eastAsia="仿宋_GB2312" w:cs="宋体"/>
          <w:kern w:val="0"/>
          <w:sz w:val="32"/>
          <w:szCs w:val="32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796158.3元，其中：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基本支出</w:t>
      </w:r>
      <w:r>
        <w:rPr>
          <w:rFonts w:ascii="仿宋_GB2312" w:hAnsi="宋体" w:eastAsia="仿宋_GB2312" w:cs="宋体"/>
          <w:kern w:val="0"/>
          <w:sz w:val="32"/>
          <w:szCs w:val="32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796158.3元，占100%，比上年预算数减少6488.7元，主要原因是2017年吉木萨尔县统计局全国第三次农业普查工作已收尾,进入后续开发阶段,预算减少。</w:t>
      </w:r>
    </w:p>
    <w:p>
      <w:pPr>
        <w:widowControl/>
        <w:spacing w:line="580" w:lineRule="exact"/>
        <w:ind w:firstLine="640"/>
        <w:jc w:val="left"/>
        <w:rPr>
          <w:rFonts w:ascii="黑体" w:hAnsi="黑体" w:eastAsia="黑体" w:cs="宋体"/>
          <w:b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/>
          <w:bCs/>
          <w:kern w:val="0"/>
          <w:sz w:val="32"/>
          <w:szCs w:val="32"/>
        </w:rPr>
        <w:t>四、关于吉木萨尔县统计局2017年财政拨款收支预算情况的总体说明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2017年财政拨款收支总预算</w:t>
      </w:r>
      <w:r>
        <w:rPr>
          <w:rFonts w:ascii="仿宋_GB2312" w:hAnsi="宋体" w:eastAsia="仿宋_GB2312" w:cs="宋体"/>
          <w:kern w:val="0"/>
          <w:sz w:val="32"/>
          <w:szCs w:val="32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796158.3元。收入全部为一般公共预算拨款，无政府性基金预算拨款。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支出预算包括：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20501支出1434325.28元，主要用于行政运行及业务开展；</w:t>
      </w:r>
    </w:p>
    <w:p>
      <w:pPr>
        <w:spacing w:line="580" w:lineRule="exact"/>
        <w:ind w:left="525" w:leftChars="25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21011支出141886.24元主要用于社会保障及医疗；20805支出219946.84元，主要退休人员工资及单位养老及职业年金支出。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五、关于吉木萨尔县统计局2017年一般公共预算当年拨款情况说明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（一）一般公用预算当年拨款规模变化情况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吉木萨尔县统计局2017年一般公共预算拨款基本支出     </w:t>
      </w:r>
      <w:r>
        <w:rPr>
          <w:rFonts w:ascii="仿宋_GB2312" w:hAnsi="宋体" w:eastAsia="仿宋_GB2312" w:cs="宋体"/>
          <w:kern w:val="0"/>
          <w:sz w:val="32"/>
          <w:szCs w:val="32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796158.36元，比上年执行数减少395198.23元，下降18.03%。主要原因是：2017年吉木萨尔县统计局全国第三次农业普查工作已收尾,进入后续开发阶段,预算减少。     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（二）一般公共预算当年拨款结构情况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1.201类支出1434325.28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元，占79.85%。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208类支出219946.84元，占12.25%。</w:t>
      </w:r>
    </w:p>
    <w:p>
      <w:pPr>
        <w:spacing w:line="580" w:lineRule="exact"/>
        <w:ind w:firstLine="64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210类支出141886.24元，占7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9%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（三）一般公共预算当年拨款具体使用情况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1.2010501</w:t>
      </w:r>
      <w:r>
        <w:rPr>
          <w:rFonts w:ascii="仿宋_GB2312" w:hAnsi="宋体" w:eastAsia="仿宋_GB2312" w:cs="宋体"/>
          <w:kern w:val="0"/>
          <w:sz w:val="32"/>
          <w:szCs w:val="32"/>
        </w:rPr>
        <w:t>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2017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1434325.28</w:t>
      </w:r>
      <w:r>
        <w:rPr>
          <w:rFonts w:ascii="仿宋_GB2312" w:hAnsi="宋体" w:eastAsia="仿宋_GB2312" w:cs="宋体"/>
          <w:kern w:val="0"/>
          <w:sz w:val="32"/>
          <w:szCs w:val="32"/>
        </w:rPr>
        <w:t>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比上年执行数减少513762.67元，下降26.37%。主要原因是：2017年吉木萨尔县统计局全国第三次农业普查工作已收尾,进入后续开发阶段,预算减少。         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kern w:val="0"/>
          <w:sz w:val="32"/>
          <w:szCs w:val="32"/>
        </w:rPr>
        <w:t>2.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2080501</w:t>
      </w:r>
      <w:r>
        <w:rPr>
          <w:rFonts w:ascii="仿宋_GB2312" w:hAnsi="宋体" w:eastAsia="仿宋_GB2312" w:cs="宋体"/>
          <w:kern w:val="0"/>
          <w:sz w:val="32"/>
          <w:szCs w:val="32"/>
        </w:rPr>
        <w:t>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2017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3240</w:t>
      </w:r>
      <w:r>
        <w:rPr>
          <w:rFonts w:ascii="仿宋_GB2312" w:hAnsi="宋体" w:eastAsia="仿宋_GB2312" w:cs="宋体"/>
          <w:kern w:val="0"/>
          <w:sz w:val="32"/>
          <w:szCs w:val="32"/>
        </w:rPr>
        <w:t>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比上年执行数减少72174.6元，下降96.05%。主要原因是：退休人员工资移交社保发放。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3. 2101101</w:t>
      </w:r>
      <w:r>
        <w:rPr>
          <w:rFonts w:ascii="仿宋_GB2312" w:hAnsi="宋体" w:eastAsia="仿宋_GB2312" w:cs="宋体"/>
          <w:kern w:val="0"/>
          <w:sz w:val="32"/>
          <w:szCs w:val="32"/>
        </w:rPr>
        <w:t>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2017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61280.37</w:t>
      </w:r>
      <w:r>
        <w:rPr>
          <w:rFonts w:ascii="仿宋_GB2312" w:hAnsi="宋体" w:eastAsia="仿宋_GB2312" w:cs="宋体"/>
          <w:kern w:val="0"/>
          <w:sz w:val="32"/>
          <w:szCs w:val="32"/>
        </w:rPr>
        <w:t>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比上年执行数减少14214.87元，下降4.39%。主要原因是：部分经费划入事业医疗。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4. 2101102</w:t>
      </w:r>
      <w:r>
        <w:rPr>
          <w:rFonts w:ascii="仿宋_GB2312" w:hAnsi="宋体" w:eastAsia="仿宋_GB2312" w:cs="宋体"/>
          <w:kern w:val="0"/>
          <w:sz w:val="32"/>
          <w:szCs w:val="32"/>
        </w:rPr>
        <w:t>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2017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18530.64</w:t>
      </w:r>
      <w:r>
        <w:rPr>
          <w:rFonts w:ascii="仿宋_GB2312" w:hAnsi="宋体" w:eastAsia="仿宋_GB2312" w:cs="宋体"/>
          <w:kern w:val="0"/>
          <w:sz w:val="32"/>
          <w:szCs w:val="32"/>
        </w:rPr>
        <w:t>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比上年执行数增加18530.64元，增长100%。主要原因是：上年预算未安排。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5. 2101103</w:t>
      </w:r>
      <w:r>
        <w:rPr>
          <w:rFonts w:ascii="仿宋_GB2312" w:hAnsi="宋体" w:eastAsia="仿宋_GB2312" w:cs="宋体"/>
          <w:kern w:val="0"/>
          <w:sz w:val="32"/>
          <w:szCs w:val="32"/>
        </w:rPr>
        <w:t>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2017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62075.23</w:t>
      </w:r>
      <w:r>
        <w:rPr>
          <w:rFonts w:ascii="仿宋_GB2312" w:hAnsi="宋体" w:eastAsia="仿宋_GB2312" w:cs="宋体"/>
          <w:kern w:val="0"/>
          <w:sz w:val="32"/>
          <w:szCs w:val="32"/>
        </w:rPr>
        <w:t>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比上年执行数增加15670.23元，增长33.32%。主要原因是：人员工资提高，缴费基数变大，经费增加。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6. 2080505</w:t>
      </w:r>
      <w:r>
        <w:rPr>
          <w:rFonts w:ascii="仿宋_GB2312" w:hAnsi="宋体" w:eastAsia="仿宋_GB2312" w:cs="宋体"/>
          <w:kern w:val="0"/>
          <w:sz w:val="32"/>
          <w:szCs w:val="32"/>
        </w:rPr>
        <w:t>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2017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154790.6</w:t>
      </w:r>
      <w:r>
        <w:rPr>
          <w:rFonts w:ascii="仿宋_GB2312" w:hAnsi="宋体" w:eastAsia="仿宋_GB2312" w:cs="宋体"/>
          <w:kern w:val="0"/>
          <w:sz w:val="32"/>
          <w:szCs w:val="32"/>
        </w:rPr>
        <w:t>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比上年执行数增加109193.8元，增长239%。主要原因是：全部人员开始缴纳养老保险。</w:t>
      </w:r>
    </w:p>
    <w:p>
      <w:pPr>
        <w:spacing w:line="580" w:lineRule="exact"/>
        <w:ind w:firstLine="64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7. 2080506</w:t>
      </w:r>
      <w:r>
        <w:rPr>
          <w:rFonts w:ascii="仿宋_GB2312" w:hAnsi="宋体" w:eastAsia="仿宋_GB2312" w:cs="宋体"/>
          <w:kern w:val="0"/>
          <w:sz w:val="32"/>
          <w:szCs w:val="32"/>
        </w:rPr>
        <w:t>: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2017</w:t>
      </w:r>
      <w:r>
        <w:rPr>
          <w:rFonts w:ascii="仿宋_GB2312" w:hAnsi="宋体" w:eastAsia="仿宋_GB2312" w:cs="宋体"/>
          <w:kern w:val="0"/>
          <w:sz w:val="32"/>
          <w:szCs w:val="32"/>
        </w:rPr>
        <w:t>年预算数为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61916.24</w:t>
      </w:r>
      <w:r>
        <w:rPr>
          <w:rFonts w:ascii="仿宋_GB2312" w:hAnsi="宋体" w:eastAsia="仿宋_GB2312" w:cs="宋体"/>
          <w:kern w:val="0"/>
          <w:sz w:val="32"/>
          <w:szCs w:val="32"/>
        </w:rPr>
        <w:t>元，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比上年执行数增加61916.24元，增长100%。主要原因是：上年预算未安排。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六、关于吉木萨尔县统计局2017年一般公共预算基本支出情况说明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吉木萨尔县统计局2017年一般公共预算基本支出</w:t>
      </w:r>
      <w:r>
        <w:rPr>
          <w:rFonts w:ascii="仿宋_GB2312" w:hAnsi="宋体" w:eastAsia="仿宋_GB2312" w:cs="宋体"/>
          <w:kern w:val="0"/>
          <w:sz w:val="32"/>
          <w:szCs w:val="32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796158.36元， 其中：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人员经费1544918.75元，主要包括：基本工资、津贴补贴、奖金、绩效工资、机关事业单位基本养老保险缴费、职业年金缴费、职工基本医疗保险缴费、公务员医疗补助缴费、其他社会保障缴费、住房公积金、其他工资福利支出、退休费、其他对个人和家庭的补助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公用经费251239.61元，主要包括：办公费、培训费、工会经费、福利费、公务用车运行维护费、其他商品和服务支出等。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七、关于吉木萨尔县统计局2017年项目支出情况说明</w:t>
      </w:r>
    </w:p>
    <w:p>
      <w:pPr>
        <w:widowControl/>
        <w:spacing w:line="580" w:lineRule="exact"/>
        <w:ind w:firstLine="64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本单位2017年无项目支出预算，项目支出情况表为空表。</w:t>
      </w:r>
    </w:p>
    <w:p>
      <w:pPr>
        <w:widowControl/>
        <w:spacing w:line="580" w:lineRule="exact"/>
        <w:ind w:firstLine="642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八、关于吉木萨尔县统计局2017年一般公共预算“三公”经费预算情况说明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吉木萨尔县统计局2017年“三公”经费财政拨款预算数为20000元，其中：因公出国（境）费0元，公务用车购置0元，公务用车运行费20000元，公务接待费0元。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2017年“三公”经费财政拨款预算比上年增加（减少）    0元，其中：因公出国（境）费增加（减少）0元，主要原因是未安排预算；公务用车购置费为0，未安排预算。[或公务用车购置费增加（减少）0元，主要原因是未安排预算；公务用车运行费增加（减少）0元，主要原因是严格执行中央八项规定，“三公”经费只降不增   ；公务接待费增加（减少）0元，主要原因是未安排预算。    </w:t>
      </w:r>
    </w:p>
    <w:p>
      <w:pPr>
        <w:widowControl/>
        <w:spacing w:line="580" w:lineRule="exact"/>
        <w:ind w:firstLine="643" w:firstLineChars="20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九、关于吉木萨尔县按统计局2017年政府性基金预算拨款情况说明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吉木萨尔县统计局2017年没有使用政府性基金预算拨款安排的支出，政府性基金预算支出情况表为空表。</w:t>
      </w:r>
    </w:p>
    <w:p>
      <w:pPr>
        <w:widowControl/>
        <w:spacing w:line="580" w:lineRule="exact"/>
        <w:ind w:firstLine="640"/>
        <w:jc w:val="left"/>
        <w:rPr>
          <w:rFonts w:ascii="黑体" w:hAnsi="宋体" w:eastAsia="黑体" w:cs="宋体"/>
          <w:b/>
          <w:kern w:val="0"/>
          <w:sz w:val="32"/>
          <w:szCs w:val="32"/>
        </w:rPr>
      </w:pPr>
      <w:r>
        <w:rPr>
          <w:rFonts w:hint="eastAsia" w:ascii="黑体" w:hAnsi="宋体" w:eastAsia="黑体" w:cs="宋体"/>
          <w:b/>
          <w:kern w:val="0"/>
          <w:sz w:val="32"/>
          <w:szCs w:val="32"/>
        </w:rPr>
        <w:t>十、其他重要事项的情况说明</w:t>
      </w:r>
    </w:p>
    <w:p>
      <w:pPr>
        <w:widowControl/>
        <w:spacing w:line="580" w:lineRule="exact"/>
        <w:ind w:firstLine="642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（一）机关运行经费情况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2017年，吉木萨尔县统计局本级及下属0家行政单位、  0家参公管理事业单位和0家事业单位的机关运行经费财政拨款预算251239.61元，比上年预算数增加27539.61元，增长12.31%。主要原因是2017年比2016年各类人员增加(政府购买服务岗人员)及三农普后续资料开发支出资金增加。     </w:t>
      </w:r>
    </w:p>
    <w:p>
      <w:pPr>
        <w:widowControl/>
        <w:spacing w:line="580" w:lineRule="exact"/>
        <w:ind w:firstLine="321" w:firstLineChars="100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（二）政府采购情况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2017年，吉木萨尔县统计局及下属单位政府采购预算0 元，其中：政府采购货物预算0 元，政府采购工程预算0 元，政府采购服务预算0 元。</w:t>
      </w:r>
    </w:p>
    <w:p>
      <w:pPr>
        <w:widowControl/>
        <w:spacing w:line="580" w:lineRule="exact"/>
        <w:ind w:firstLine="640"/>
        <w:jc w:val="left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2017年度本部门面向中小企业预留政府采购项目预算金额0 元。</w:t>
      </w:r>
    </w:p>
    <w:p>
      <w:pPr>
        <w:widowControl/>
        <w:spacing w:line="580" w:lineRule="exact"/>
        <w:ind w:firstLine="321" w:firstLineChars="100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（三）国有资产占用使用情况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截至2017年底，吉木萨尔县统计局及下属各预算单位占用使用国有资产总体情况为：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1.房屋0平方米，价值0元。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2.车辆1辆，价值16431060元；其中：一般公务用车1辆，价值16431060元；执法执勤用车0辆，价值0元；其他车辆0  辆，价值0元。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3.办公家具价值0元。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4.其他资产价值463204.5元。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单位价值50万元以上大型设备0台（套），单位价值100万元以上大型设备0台（套）。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2017年部门预算未安排购置车辆经费（或安排购置车辆经费0万元），安排购置50万元以上大型设备0台（套），单位价值100万元以上大型设备0台（套）</w:t>
      </w:r>
    </w:p>
    <w:p>
      <w:pPr>
        <w:widowControl/>
        <w:spacing w:line="580" w:lineRule="exact"/>
        <w:jc w:val="left"/>
        <w:rPr>
          <w:rFonts w:hint="eastAsia" w:ascii="楷体_GB2312" w:hAnsi="宋体" w:eastAsia="楷体_GB2312" w:cs="宋体"/>
          <w:b/>
          <w:kern w:val="0"/>
          <w:sz w:val="32"/>
          <w:szCs w:val="32"/>
        </w:rPr>
      </w:pPr>
    </w:p>
    <w:p>
      <w:pPr>
        <w:widowControl/>
        <w:spacing w:line="580" w:lineRule="exact"/>
        <w:jc w:val="left"/>
        <w:rPr>
          <w:rFonts w:hint="eastAsia" w:ascii="楷体_GB2312" w:hAnsi="宋体" w:eastAsia="楷体_GB2312" w:cs="宋体"/>
          <w:b/>
          <w:kern w:val="0"/>
          <w:sz w:val="32"/>
          <w:szCs w:val="32"/>
        </w:rPr>
      </w:pPr>
    </w:p>
    <w:p>
      <w:pPr>
        <w:widowControl/>
        <w:spacing w:line="580" w:lineRule="exact"/>
        <w:jc w:val="left"/>
        <w:rPr>
          <w:rFonts w:hint="eastAsia" w:ascii="楷体_GB2312" w:hAnsi="宋体" w:eastAsia="楷体_GB2312" w:cs="宋体"/>
          <w:b/>
          <w:kern w:val="0"/>
          <w:sz w:val="32"/>
          <w:szCs w:val="32"/>
        </w:rPr>
      </w:pPr>
    </w:p>
    <w:p>
      <w:pPr>
        <w:widowControl/>
        <w:spacing w:line="580" w:lineRule="exact"/>
        <w:jc w:val="left"/>
        <w:rPr>
          <w:rFonts w:hint="eastAsia" w:ascii="楷体_GB2312" w:hAnsi="宋体" w:eastAsia="楷体_GB2312" w:cs="宋体"/>
          <w:b/>
          <w:kern w:val="0"/>
          <w:sz w:val="32"/>
          <w:szCs w:val="32"/>
        </w:rPr>
      </w:pPr>
    </w:p>
    <w:p>
      <w:pPr>
        <w:widowControl/>
        <w:spacing w:line="580" w:lineRule="exact"/>
        <w:jc w:val="left"/>
        <w:rPr>
          <w:rFonts w:hint="eastAsia" w:ascii="楷体_GB2312" w:hAnsi="宋体" w:eastAsia="楷体_GB2312" w:cs="宋体"/>
          <w:b/>
          <w:kern w:val="0"/>
          <w:sz w:val="32"/>
          <w:szCs w:val="32"/>
        </w:rPr>
      </w:pPr>
    </w:p>
    <w:p>
      <w:pPr>
        <w:widowControl/>
        <w:spacing w:line="580" w:lineRule="exact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（四）预算绩效情况</w:t>
      </w:r>
    </w:p>
    <w:p>
      <w:pPr>
        <w:widowControl/>
        <w:spacing w:line="580" w:lineRule="exact"/>
        <w:ind w:firstLine="64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2017年度，本年度实行绩效管理的项目0个，涉及预算金额0 元。具体情况见下表（按项目分别填报）：</w:t>
      </w:r>
    </w:p>
    <w:p>
      <w:pPr>
        <w:spacing w:line="500" w:lineRule="exact"/>
        <w:jc w:val="center"/>
        <w:rPr>
          <w:rFonts w:hint="eastAsia" w:ascii="宋体" w:hAnsi="宋体" w:cs="宋体"/>
          <w:b/>
          <w:kern w:val="0"/>
          <w:sz w:val="36"/>
          <w:szCs w:val="36"/>
        </w:rPr>
      </w:pPr>
    </w:p>
    <w:p>
      <w:pPr>
        <w:spacing w:line="500" w:lineRule="exact"/>
        <w:jc w:val="center"/>
        <w:rPr>
          <w:rFonts w:ascii="宋体" w:hAnsi="宋体" w:cs="宋体"/>
          <w:b/>
          <w:kern w:val="0"/>
          <w:sz w:val="36"/>
          <w:szCs w:val="36"/>
        </w:rPr>
      </w:pPr>
      <w:r>
        <w:rPr>
          <w:rFonts w:hint="eastAsia" w:ascii="宋体" w:hAnsi="宋体" w:cs="宋体"/>
          <w:b/>
          <w:kern w:val="0"/>
          <w:sz w:val="36"/>
          <w:szCs w:val="36"/>
        </w:rPr>
        <w:t>财政支出绩效目标申报表</w:t>
      </w:r>
    </w:p>
    <w:p>
      <w:pPr>
        <w:spacing w:line="500" w:lineRule="exact"/>
        <w:jc w:val="center"/>
        <w:rPr>
          <w:rFonts w:ascii="仿宋_GB2312" w:hAnsi="宋体" w:eastAsia="仿宋_GB2312" w:cs="宋体"/>
          <w:kern w:val="0"/>
          <w:sz w:val="36"/>
          <w:szCs w:val="36"/>
        </w:rPr>
      </w:pPr>
      <w:r>
        <w:rPr>
          <w:rFonts w:hint="eastAsia" w:ascii="仿宋_GB2312" w:hAnsi="宋体" w:eastAsia="仿宋_GB2312" w:cs="宋体"/>
          <w:kern w:val="0"/>
          <w:sz w:val="36"/>
          <w:szCs w:val="36"/>
        </w:rPr>
        <w:t>（2017年度）</w:t>
      </w:r>
    </w:p>
    <w:p>
      <w:pPr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填报单位：吉木萨尔县统计局</w:t>
      </w:r>
    </w:p>
    <w:tbl>
      <w:tblPr>
        <w:tblStyle w:val="3"/>
        <w:tblW w:w="9229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0"/>
        <w:gridCol w:w="2166"/>
        <w:gridCol w:w="74"/>
        <w:gridCol w:w="1780"/>
        <w:gridCol w:w="222"/>
        <w:gridCol w:w="476"/>
        <w:gridCol w:w="1559"/>
        <w:gridCol w:w="99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项目名称</w:t>
            </w:r>
          </w:p>
        </w:tc>
        <w:tc>
          <w:tcPr>
            <w:tcW w:w="21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项目属性</w:t>
            </w:r>
          </w:p>
        </w:tc>
        <w:tc>
          <w:tcPr>
            <w:tcW w:w="324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新增项目□    延续项目□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主管部门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项目实施单位</w:t>
            </w:r>
          </w:p>
        </w:tc>
        <w:tc>
          <w:tcPr>
            <w:tcW w:w="324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项目起止时间</w:t>
            </w:r>
          </w:p>
        </w:tc>
        <w:tc>
          <w:tcPr>
            <w:tcW w:w="21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项目负责人</w:t>
            </w:r>
          </w:p>
        </w:tc>
        <w:tc>
          <w:tcPr>
            <w:tcW w:w="6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联系电话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项目资金（万元）</w:t>
            </w: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资金总额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财政拨款</w:t>
            </w:r>
          </w:p>
        </w:tc>
      </w:tr>
      <w:tr>
        <w:tblPrEx>
          <w:tblLayout w:type="fixed"/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自有资金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经营性收入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其他收入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其他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8" w:hRule="atLeast"/>
        </w:trPr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单位职能阐述</w:t>
            </w: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</w:trPr>
        <w:tc>
          <w:tcPr>
            <w:tcW w:w="1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项目概况</w:t>
            </w:r>
          </w:p>
        </w:tc>
        <w:tc>
          <w:tcPr>
            <w:tcW w:w="726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</w:tblPrEx>
        <w:trPr>
          <w:trHeight w:val="420" w:hRule="atLeast"/>
        </w:trPr>
        <w:tc>
          <w:tcPr>
            <w:tcW w:w="19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项目立项情况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项目立项的依据</w:t>
            </w:r>
          </w:p>
        </w:tc>
        <w:tc>
          <w:tcPr>
            <w:tcW w:w="50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项目申报的可行性</w:t>
            </w:r>
          </w:p>
        </w:tc>
        <w:tc>
          <w:tcPr>
            <w:tcW w:w="50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项目申报的必要性</w:t>
            </w:r>
          </w:p>
        </w:tc>
        <w:tc>
          <w:tcPr>
            <w:tcW w:w="50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9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项目实施进度计划</w:t>
            </w: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项目实施内容</w:t>
            </w: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开始时间</w:t>
            </w:r>
          </w:p>
        </w:tc>
        <w:tc>
          <w:tcPr>
            <w:tcW w:w="30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完成时间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1、</w:t>
            </w: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0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2、</w:t>
            </w: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0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</w:tblPrEx>
        <w:trPr>
          <w:trHeight w:val="457" w:hRule="atLeast"/>
        </w:trPr>
        <w:tc>
          <w:tcPr>
            <w:tcW w:w="19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……</w:t>
            </w:r>
          </w:p>
        </w:tc>
        <w:tc>
          <w:tcPr>
            <w:tcW w:w="20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302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</w:tbl>
    <w:p>
      <w:pPr>
        <w:widowControl/>
        <w:spacing w:line="560" w:lineRule="exact"/>
        <w:ind w:firstLine="630" w:firstLineChars="196"/>
        <w:jc w:val="left"/>
        <w:rPr>
          <w:rFonts w:ascii="楷体_GB2312" w:hAnsi="宋体" w:eastAsia="楷体_GB2312" w:cs="宋体"/>
          <w:b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kern w:val="0"/>
          <w:sz w:val="32"/>
          <w:szCs w:val="32"/>
        </w:rPr>
        <w:t>（五）其他需说明的事项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</w:t>
      </w: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hint="eastAsia" w:ascii="黑体" w:hAnsi="黑体" w:eastAsia="黑体"/>
          <w:b/>
          <w:kern w:val="0"/>
          <w:sz w:val="32"/>
          <w:szCs w:val="32"/>
        </w:rPr>
      </w:pPr>
    </w:p>
    <w:p>
      <w:pPr>
        <w:widowControl/>
        <w:spacing w:beforeLines="50"/>
        <w:jc w:val="center"/>
        <w:outlineLvl w:val="1"/>
        <w:rPr>
          <w:rFonts w:ascii="黑体" w:hAnsi="黑体" w:eastAsia="黑体"/>
          <w:b/>
          <w:kern w:val="0"/>
          <w:sz w:val="32"/>
          <w:szCs w:val="32"/>
        </w:rPr>
      </w:pPr>
      <w:r>
        <w:rPr>
          <w:rFonts w:hint="eastAsia" w:ascii="黑体" w:hAnsi="黑体" w:eastAsia="黑体"/>
          <w:b/>
          <w:kern w:val="0"/>
          <w:sz w:val="32"/>
          <w:szCs w:val="32"/>
        </w:rPr>
        <w:t>第四部分  名词解释</w:t>
      </w:r>
    </w:p>
    <w:p>
      <w:pPr>
        <w:widowControl/>
        <w:spacing w:line="560" w:lineRule="exact"/>
        <w:ind w:firstLine="640"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名词解释：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一、财政拨款：</w:t>
      </w:r>
      <w:r>
        <w:rPr>
          <w:rFonts w:hint="eastAsia" w:ascii="仿宋_GB2312" w:eastAsia="仿宋_GB2312"/>
          <w:sz w:val="32"/>
          <w:szCs w:val="32"/>
        </w:rPr>
        <w:t>指由一般公共预算、政府性基金预算安排的财政拨款数。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二、一般公共预算：</w:t>
      </w:r>
      <w:r>
        <w:rPr>
          <w:rFonts w:hint="eastAsia" w:ascii="仿宋_GB2312" w:eastAsia="仿宋_GB2312"/>
          <w:sz w:val="32"/>
          <w:szCs w:val="32"/>
        </w:rPr>
        <w:t>包括公共财政拨款（补助）资金、专项收入。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三、财政专户管理资金：</w:t>
      </w:r>
      <w:r>
        <w:rPr>
          <w:rFonts w:hint="eastAsia" w:ascii="仿宋_GB2312" w:eastAsia="仿宋_GB2312"/>
          <w:sz w:val="32"/>
          <w:szCs w:val="32"/>
        </w:rPr>
        <w:t>包括专户管理行政事业性收费（主要是教育收费）、其他非税收入。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四、其他资金：</w:t>
      </w:r>
      <w:r>
        <w:rPr>
          <w:rFonts w:hint="eastAsia" w:ascii="仿宋_GB2312" w:eastAsia="仿宋_GB2312"/>
          <w:sz w:val="32"/>
          <w:szCs w:val="32"/>
        </w:rPr>
        <w:t>包括事业收入、经营收入、其他收入等。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五、基本支出：</w:t>
      </w:r>
      <w:r>
        <w:rPr>
          <w:rFonts w:hint="eastAsia" w:ascii="仿宋_GB2312" w:eastAsia="仿宋_GB2312"/>
          <w:sz w:val="32"/>
          <w:szCs w:val="32"/>
        </w:rPr>
        <w:t>包括人员经费、商品和服务支出（定额）。其中，人员经费包括工资福利支出、对个人和家庭的补助。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六、项目支出：</w:t>
      </w:r>
      <w:r>
        <w:rPr>
          <w:rFonts w:hint="eastAsia" w:ascii="仿宋_GB2312" w:eastAsia="仿宋_GB2312"/>
          <w:sz w:val="32"/>
          <w:szCs w:val="32"/>
        </w:rPr>
        <w:t>部门支出预算的组成部分，是自治区本级部门为完成其特定的行政任务或事业发展目标，在基本支出预算之外编制的年度项目支出计划。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七、“三公”经费：</w:t>
      </w:r>
      <w:r>
        <w:rPr>
          <w:rFonts w:hint="eastAsia" w:ascii="仿宋_GB2312" w:eastAsia="仿宋_GB2312"/>
          <w:sz w:val="32"/>
          <w:szCs w:val="32"/>
        </w:rPr>
        <w:t>指自治区本级部门用一般公共预算财政拨款安排的因公出国（境）费、公务用车购置及运行费和公务接待费。其中，因公出国（境）费指单位公务出国（境）的住宿费、旅费、伙食补助费、杂费、培训费等支出；公务用车购置及运行费指单位公务用车购置费及租用费、燃料费、维修费、过路过桥费、保险费、安全奖励费用等支出；公务接待费指单位按规定开支的各类公务接待（含外宾接待）支出。</w:t>
      </w:r>
    </w:p>
    <w:p>
      <w:pPr>
        <w:spacing w:line="550" w:lineRule="exact"/>
        <w:ind w:firstLine="642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八、机关运行经费：</w:t>
      </w:r>
      <w:r>
        <w:rPr>
          <w:rFonts w:hint="eastAsia" w:ascii="仿宋_GB2312" w:eastAsia="仿宋_GB2312"/>
          <w:sz w:val="32"/>
          <w:szCs w:val="32"/>
        </w:rPr>
        <w:t>指各部门的公用经费，包括办公及印刷费、邮电费、差旅费、会议费、福利费、日常维修费、专用材料及一般设备购置费、办公用房水电费、办公用房取暖费、办公用房物业管理费、公务用车运行维护费及其他费用。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吉木萨尔县统计局</w:t>
      </w:r>
    </w:p>
    <w:p>
      <w:pPr>
        <w:widowControl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                     2017</w:t>
      </w:r>
      <w:r>
        <w:rPr>
          <w:rFonts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5</w:t>
      </w:r>
      <w:r>
        <w:rPr>
          <w:rFonts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20</w:t>
      </w:r>
      <w:r>
        <w:rPr>
          <w:rFonts w:ascii="仿宋_GB2312" w:hAnsi="宋体" w:eastAsia="仿宋_GB2312" w:cs="宋体"/>
          <w:kern w:val="0"/>
          <w:sz w:val="32"/>
          <w:szCs w:val="32"/>
        </w:rPr>
        <w:t>日</w:t>
      </w:r>
    </w:p>
    <w:p>
      <w:pPr>
        <w:rPr>
          <w:rFonts w:ascii="仿宋_GB2312" w:hAnsi="宋体" w:eastAsia="仿宋_GB2312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D4B03"/>
    <w:rsid w:val="00022F00"/>
    <w:rsid w:val="00023569"/>
    <w:rsid w:val="000238BF"/>
    <w:rsid w:val="0003235D"/>
    <w:rsid w:val="000338CF"/>
    <w:rsid w:val="0009042E"/>
    <w:rsid w:val="000C1E7A"/>
    <w:rsid w:val="000E08CB"/>
    <w:rsid w:val="00105E5B"/>
    <w:rsid w:val="00124E63"/>
    <w:rsid w:val="001269F2"/>
    <w:rsid w:val="00150272"/>
    <w:rsid w:val="00152910"/>
    <w:rsid w:val="00173FCF"/>
    <w:rsid w:val="001873D3"/>
    <w:rsid w:val="00193B4B"/>
    <w:rsid w:val="001B489F"/>
    <w:rsid w:val="001B7F13"/>
    <w:rsid w:val="00204569"/>
    <w:rsid w:val="00207678"/>
    <w:rsid w:val="00230DB0"/>
    <w:rsid w:val="002328D4"/>
    <w:rsid w:val="002348B4"/>
    <w:rsid w:val="00276105"/>
    <w:rsid w:val="00286A4E"/>
    <w:rsid w:val="002A3628"/>
    <w:rsid w:val="002A4013"/>
    <w:rsid w:val="002B3252"/>
    <w:rsid w:val="002D5ADC"/>
    <w:rsid w:val="002E53E8"/>
    <w:rsid w:val="002E631A"/>
    <w:rsid w:val="00300FE0"/>
    <w:rsid w:val="00313830"/>
    <w:rsid w:val="00320863"/>
    <w:rsid w:val="0032567E"/>
    <w:rsid w:val="00334B06"/>
    <w:rsid w:val="003736A9"/>
    <w:rsid w:val="00375697"/>
    <w:rsid w:val="00377077"/>
    <w:rsid w:val="00391BEE"/>
    <w:rsid w:val="00394FBF"/>
    <w:rsid w:val="003A396C"/>
    <w:rsid w:val="003A55D4"/>
    <w:rsid w:val="003B3968"/>
    <w:rsid w:val="003E392A"/>
    <w:rsid w:val="0040107A"/>
    <w:rsid w:val="00404910"/>
    <w:rsid w:val="0046479B"/>
    <w:rsid w:val="00472BB7"/>
    <w:rsid w:val="004D002E"/>
    <w:rsid w:val="004D4B03"/>
    <w:rsid w:val="00502561"/>
    <w:rsid w:val="00521E38"/>
    <w:rsid w:val="005258B1"/>
    <w:rsid w:val="00581C85"/>
    <w:rsid w:val="005C3AC1"/>
    <w:rsid w:val="00600CD0"/>
    <w:rsid w:val="006104D3"/>
    <w:rsid w:val="006138B0"/>
    <w:rsid w:val="006457BE"/>
    <w:rsid w:val="006558AE"/>
    <w:rsid w:val="00655CBD"/>
    <w:rsid w:val="006A38C8"/>
    <w:rsid w:val="006B2C18"/>
    <w:rsid w:val="006B5516"/>
    <w:rsid w:val="006C1EEA"/>
    <w:rsid w:val="006C2BD2"/>
    <w:rsid w:val="006D7DED"/>
    <w:rsid w:val="006E4403"/>
    <w:rsid w:val="006F0D32"/>
    <w:rsid w:val="006F2E02"/>
    <w:rsid w:val="007025C9"/>
    <w:rsid w:val="0074284E"/>
    <w:rsid w:val="00753DDB"/>
    <w:rsid w:val="0076538C"/>
    <w:rsid w:val="00766558"/>
    <w:rsid w:val="00771C4D"/>
    <w:rsid w:val="007969B2"/>
    <w:rsid w:val="007D4837"/>
    <w:rsid w:val="007E7ED6"/>
    <w:rsid w:val="007F08D7"/>
    <w:rsid w:val="00803507"/>
    <w:rsid w:val="00826996"/>
    <w:rsid w:val="00847E44"/>
    <w:rsid w:val="008641B2"/>
    <w:rsid w:val="008642F8"/>
    <w:rsid w:val="008748D0"/>
    <w:rsid w:val="008A281B"/>
    <w:rsid w:val="008E0F6E"/>
    <w:rsid w:val="00934734"/>
    <w:rsid w:val="00943100"/>
    <w:rsid w:val="00950637"/>
    <w:rsid w:val="009619A2"/>
    <w:rsid w:val="009752E5"/>
    <w:rsid w:val="00980D00"/>
    <w:rsid w:val="00987368"/>
    <w:rsid w:val="00997692"/>
    <w:rsid w:val="009A142A"/>
    <w:rsid w:val="009B0C21"/>
    <w:rsid w:val="009B0E05"/>
    <w:rsid w:val="009B434A"/>
    <w:rsid w:val="009B63A2"/>
    <w:rsid w:val="009B6751"/>
    <w:rsid w:val="009E7CDE"/>
    <w:rsid w:val="00A33682"/>
    <w:rsid w:val="00A529FA"/>
    <w:rsid w:val="00A57B80"/>
    <w:rsid w:val="00A844AD"/>
    <w:rsid w:val="00A947EC"/>
    <w:rsid w:val="00AA21B3"/>
    <w:rsid w:val="00AA4A9B"/>
    <w:rsid w:val="00AA5064"/>
    <w:rsid w:val="00AB69D7"/>
    <w:rsid w:val="00AE7CF0"/>
    <w:rsid w:val="00AF4DB8"/>
    <w:rsid w:val="00B07E81"/>
    <w:rsid w:val="00B11A09"/>
    <w:rsid w:val="00B12494"/>
    <w:rsid w:val="00B51ACC"/>
    <w:rsid w:val="00B57C6F"/>
    <w:rsid w:val="00B917FD"/>
    <w:rsid w:val="00BA38F9"/>
    <w:rsid w:val="00BC593C"/>
    <w:rsid w:val="00BD4F6C"/>
    <w:rsid w:val="00BE5DE9"/>
    <w:rsid w:val="00BF7035"/>
    <w:rsid w:val="00C11211"/>
    <w:rsid w:val="00C14913"/>
    <w:rsid w:val="00C22C3E"/>
    <w:rsid w:val="00C2606A"/>
    <w:rsid w:val="00C324F4"/>
    <w:rsid w:val="00C5305B"/>
    <w:rsid w:val="00CA44E7"/>
    <w:rsid w:val="00D36928"/>
    <w:rsid w:val="00D440D9"/>
    <w:rsid w:val="00D44C43"/>
    <w:rsid w:val="00D57ACD"/>
    <w:rsid w:val="00D57DF3"/>
    <w:rsid w:val="00D61130"/>
    <w:rsid w:val="00D966AE"/>
    <w:rsid w:val="00DC14E0"/>
    <w:rsid w:val="00DC739D"/>
    <w:rsid w:val="00DE72E2"/>
    <w:rsid w:val="00E41982"/>
    <w:rsid w:val="00E448D7"/>
    <w:rsid w:val="00E528A5"/>
    <w:rsid w:val="00E56DAF"/>
    <w:rsid w:val="00E70F0E"/>
    <w:rsid w:val="00E86C1A"/>
    <w:rsid w:val="00E91186"/>
    <w:rsid w:val="00ED1999"/>
    <w:rsid w:val="00ED3DC9"/>
    <w:rsid w:val="00EF5B06"/>
    <w:rsid w:val="00F21D72"/>
    <w:rsid w:val="00F5321A"/>
    <w:rsid w:val="00F72E34"/>
    <w:rsid w:val="00F817C5"/>
    <w:rsid w:val="00FA12CE"/>
    <w:rsid w:val="00FA3812"/>
    <w:rsid w:val="00FA75E1"/>
    <w:rsid w:val="00FA7939"/>
    <w:rsid w:val="00FB3CB7"/>
    <w:rsid w:val="00FB482A"/>
    <w:rsid w:val="00FB56CA"/>
    <w:rsid w:val="00FC1612"/>
    <w:rsid w:val="00FC3E18"/>
    <w:rsid w:val="00FE1DD9"/>
    <w:rsid w:val="00FE21ED"/>
    <w:rsid w:val="00FE4187"/>
    <w:rsid w:val="00FF3F90"/>
    <w:rsid w:val="01C25CBE"/>
    <w:rsid w:val="02726AE4"/>
    <w:rsid w:val="034E4F55"/>
    <w:rsid w:val="03C67A97"/>
    <w:rsid w:val="04BE78CC"/>
    <w:rsid w:val="07457633"/>
    <w:rsid w:val="08D57668"/>
    <w:rsid w:val="0AB34B7A"/>
    <w:rsid w:val="0ACA5D28"/>
    <w:rsid w:val="0AF17B8C"/>
    <w:rsid w:val="0C46110C"/>
    <w:rsid w:val="0C6F7F72"/>
    <w:rsid w:val="0E8C1619"/>
    <w:rsid w:val="123224C5"/>
    <w:rsid w:val="12521099"/>
    <w:rsid w:val="1285392B"/>
    <w:rsid w:val="12A907E8"/>
    <w:rsid w:val="14057109"/>
    <w:rsid w:val="158F2DBC"/>
    <w:rsid w:val="18E53C3A"/>
    <w:rsid w:val="19FB1A24"/>
    <w:rsid w:val="1A4441FE"/>
    <w:rsid w:val="1B363FCC"/>
    <w:rsid w:val="1E354054"/>
    <w:rsid w:val="1E462964"/>
    <w:rsid w:val="1EEB275E"/>
    <w:rsid w:val="1F720CC1"/>
    <w:rsid w:val="209519C2"/>
    <w:rsid w:val="212B1209"/>
    <w:rsid w:val="21D65C31"/>
    <w:rsid w:val="22FE75D1"/>
    <w:rsid w:val="238D5189"/>
    <w:rsid w:val="23B61554"/>
    <w:rsid w:val="26CC2C71"/>
    <w:rsid w:val="27DB63C2"/>
    <w:rsid w:val="29EA3FA3"/>
    <w:rsid w:val="2C7612C9"/>
    <w:rsid w:val="2FC3127A"/>
    <w:rsid w:val="307971D4"/>
    <w:rsid w:val="31624ABC"/>
    <w:rsid w:val="322F024C"/>
    <w:rsid w:val="32642659"/>
    <w:rsid w:val="328C772B"/>
    <w:rsid w:val="347412AA"/>
    <w:rsid w:val="34F10E41"/>
    <w:rsid w:val="35AB5A81"/>
    <w:rsid w:val="36D079C4"/>
    <w:rsid w:val="38214D01"/>
    <w:rsid w:val="38651D83"/>
    <w:rsid w:val="3AED30B6"/>
    <w:rsid w:val="3B5A4261"/>
    <w:rsid w:val="40F11BEE"/>
    <w:rsid w:val="423D3F87"/>
    <w:rsid w:val="432D15C5"/>
    <w:rsid w:val="45162623"/>
    <w:rsid w:val="46185B44"/>
    <w:rsid w:val="46FA332C"/>
    <w:rsid w:val="4A195017"/>
    <w:rsid w:val="4AD76C84"/>
    <w:rsid w:val="4BB25B03"/>
    <w:rsid w:val="51334AEE"/>
    <w:rsid w:val="51F82292"/>
    <w:rsid w:val="5531612A"/>
    <w:rsid w:val="553656FC"/>
    <w:rsid w:val="56E2610F"/>
    <w:rsid w:val="56E279BD"/>
    <w:rsid w:val="572942D1"/>
    <w:rsid w:val="57894A9A"/>
    <w:rsid w:val="586B3A13"/>
    <w:rsid w:val="5CBC2A5A"/>
    <w:rsid w:val="5CE07CD3"/>
    <w:rsid w:val="5D9A1EEE"/>
    <w:rsid w:val="5F595263"/>
    <w:rsid w:val="6069441A"/>
    <w:rsid w:val="60831D72"/>
    <w:rsid w:val="61C505B2"/>
    <w:rsid w:val="634D27B5"/>
    <w:rsid w:val="63B6248E"/>
    <w:rsid w:val="65E8137F"/>
    <w:rsid w:val="65F9775D"/>
    <w:rsid w:val="66A7346E"/>
    <w:rsid w:val="676B5053"/>
    <w:rsid w:val="687215E7"/>
    <w:rsid w:val="694F1BE8"/>
    <w:rsid w:val="6A084066"/>
    <w:rsid w:val="6D045110"/>
    <w:rsid w:val="6EF47F6E"/>
    <w:rsid w:val="73B629EA"/>
    <w:rsid w:val="747A143D"/>
    <w:rsid w:val="757932F8"/>
    <w:rsid w:val="759D6219"/>
    <w:rsid w:val="77530BD1"/>
    <w:rsid w:val="77CC7188"/>
    <w:rsid w:val="78EF5F1B"/>
    <w:rsid w:val="797855D1"/>
    <w:rsid w:val="798E70E3"/>
    <w:rsid w:val="79DB48A6"/>
    <w:rsid w:val="7A810FCB"/>
    <w:rsid w:val="7B1F2922"/>
    <w:rsid w:val="7F96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438B7B3-BC61-4C28-B35C-E671647C88E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23</Pages>
  <Words>1623</Words>
  <Characters>9252</Characters>
  <Lines>77</Lines>
  <Paragraphs>21</Paragraphs>
  <TotalTime>0</TotalTime>
  <ScaleCrop>false</ScaleCrop>
  <LinksUpToDate>false</LinksUpToDate>
  <CharactersWithSpaces>10854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2018-12-21T12:38:00Z</dcterms:created>
  <dc:creator>Administrator</dc:creator>
  <cp:lastModifiedBy>WPS_1527827274</cp:lastModifiedBy>
  <dcterms:modified xsi:type="dcterms:W3CDTF">2019-03-02T02:47:11Z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</Properties>
</file>