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0" w:lineRule="exact"/>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吉木萨尔县国库支付中心2016年部门预算公开报告</w:t>
      </w:r>
    </w:p>
    <w:p>
      <w:pPr>
        <w:widowControl/>
        <w:spacing w:line="500" w:lineRule="exact"/>
        <w:jc w:val="center"/>
        <w:outlineLvl w:val="1"/>
        <w:rPr>
          <w:rFonts w:ascii="黑体" w:hAnsi="黑体" w:eastAsia="黑体"/>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第一部分 </w:t>
      </w:r>
      <w:bookmarkStart w:id="0" w:name="OLE_LINK1"/>
      <w:r>
        <w:rPr>
          <w:rFonts w:hint="eastAsia" w:ascii="仿宋_GB2312" w:hAnsi="宋体" w:eastAsia="仿宋_GB2312"/>
          <w:b/>
          <w:kern w:val="0"/>
          <w:sz w:val="32"/>
          <w:szCs w:val="32"/>
        </w:rPr>
        <w:t>吉木萨尔县国库支付中心</w:t>
      </w:r>
      <w:bookmarkEnd w:id="0"/>
      <w:r>
        <w:rPr>
          <w:rFonts w:hint="eastAsia" w:ascii="仿宋_GB2312" w:hAnsi="宋体" w:eastAsia="仿宋_GB2312"/>
          <w:b/>
          <w:kern w:val="0"/>
          <w:sz w:val="32"/>
          <w:szCs w:val="32"/>
        </w:rPr>
        <w:t>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  2016年预算公开表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w:t>
      </w:r>
      <w:r>
        <w:rPr>
          <w:rFonts w:hint="eastAsia" w:ascii="宋体" w:hAnsi="宋体" w:eastAsia="仿宋_GB2312"/>
          <w:b/>
          <w:kern w:val="0"/>
          <w:sz w:val="32"/>
          <w:szCs w:val="32"/>
        </w:rPr>
        <w:t>2016</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一、关于吉木萨尔县国库支付中心2016年收支预算情况的总体说明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二、关于吉木萨尔县国库支付中心2016年收入预算情况说明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三、关于吉木萨尔县国库支付中心2016年支出预算情况说明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吉木萨尔县国库支付中心2016年</w:t>
      </w:r>
      <w:r>
        <w:rPr>
          <w:rFonts w:hint="eastAsia" w:ascii="仿宋_GB2312" w:hAnsi="宋体" w:eastAsia="仿宋_GB2312"/>
          <w:bCs/>
          <w:kern w:val="0"/>
          <w:sz w:val="32"/>
          <w:szCs w:val="32"/>
        </w:rPr>
        <w:t>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五、关于吉木萨尔县国库支付中心2016年一般公共预算当年拨款情况说明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六、关于吉木萨尔县国库支付中心2016年一般公共预算基本支出情况说明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七、关于吉木萨尔县国库支付中心2016年项目支出情况说明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八、关于吉木萨尔县国库支付中心2016年一般公共预算“三公”经费预算情况说明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九、关于吉木萨尔县国库支付中心2016年政府性基金预算拨款情况说明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吉木萨尔县国库支付中心单位概况</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spacing w:line="560" w:lineRule="exact"/>
        <w:ind w:firstLine="480" w:firstLineChars="150"/>
        <w:rPr>
          <w:rFonts w:ascii="仿宋_GB2312" w:hAnsi="宋体" w:eastAsia="仿宋_GB2312" w:cs="宋体"/>
          <w:kern w:val="0"/>
          <w:sz w:val="32"/>
          <w:szCs w:val="32"/>
        </w:rPr>
      </w:pPr>
      <w:r>
        <w:rPr>
          <w:rFonts w:hint="eastAsia" w:ascii="仿宋_GB2312" w:hAnsi="宋体" w:eastAsia="仿宋_GB2312" w:cs="宋体"/>
          <w:kern w:val="0"/>
          <w:sz w:val="32"/>
          <w:szCs w:val="32"/>
        </w:rPr>
        <w:t>1、</w:t>
      </w:r>
      <w:r>
        <w:rPr>
          <w:rFonts w:ascii="仿宋_GB2312" w:hAnsi="宋体" w:eastAsia="仿宋_GB2312" w:cs="宋体"/>
          <w:kern w:val="0"/>
          <w:sz w:val="32"/>
          <w:szCs w:val="32"/>
        </w:rPr>
        <w:t>贯彻执行国家和自治区、自治州有关财政、税收、行政（企）事业单位国有资产管理的法规、制度和方针政策；组织拟订本县财政、行政（企）事业单位国有资产、财产评估、财务会计等方面的制度、办法，并监督实施；参与有关税收制度和办法的拟订。</w:t>
      </w:r>
    </w:p>
    <w:p>
      <w:pPr>
        <w:spacing w:line="560" w:lineRule="exact"/>
        <w:ind w:firstLine="480" w:firstLineChars="150"/>
        <w:rPr>
          <w:rFonts w:ascii="仿宋_GB2312" w:hAnsi="宋体" w:eastAsia="仿宋_GB2312" w:cs="宋体"/>
          <w:kern w:val="0"/>
          <w:sz w:val="32"/>
          <w:szCs w:val="32"/>
        </w:rPr>
      </w:pPr>
      <w:r>
        <w:rPr>
          <w:rFonts w:hint="eastAsia" w:ascii="仿宋_GB2312" w:hAnsi="宋体" w:eastAsia="仿宋_GB2312" w:cs="宋体"/>
          <w:kern w:val="0"/>
          <w:sz w:val="32"/>
          <w:szCs w:val="32"/>
        </w:rPr>
        <w:t>2、</w:t>
      </w:r>
      <w:r>
        <w:rPr>
          <w:rFonts w:ascii="仿宋_GB2312" w:hAnsi="宋体" w:eastAsia="仿宋_GB2312" w:cs="宋体"/>
          <w:kern w:val="0"/>
          <w:sz w:val="32"/>
          <w:szCs w:val="32"/>
        </w:rPr>
        <w:t>根据全县国民经济和社会发展战略，拟订我县财政发展战略和中长期财政规划并组织实施；分析预测宏观经济形势，参与制定有关综合经济政策，提出运用财政（税）政策实施地方经济调控和综合平衡社会财力的建议；制定调节收入分配的财税政策，完善鼓励公益事业发展的财政税收政策。</w:t>
      </w:r>
    </w:p>
    <w:p>
      <w:pPr>
        <w:spacing w:line="560" w:lineRule="exact"/>
        <w:ind w:firstLine="480" w:firstLineChars="150"/>
        <w:rPr>
          <w:rFonts w:ascii="仿宋_GB2312" w:hAnsi="宋体" w:eastAsia="仿宋_GB2312" w:cs="宋体"/>
          <w:kern w:val="0"/>
          <w:sz w:val="32"/>
          <w:szCs w:val="32"/>
        </w:rPr>
      </w:pPr>
      <w:r>
        <w:rPr>
          <w:rFonts w:hint="eastAsia" w:ascii="仿宋_GB2312" w:hAnsi="宋体" w:eastAsia="仿宋_GB2312" w:cs="宋体"/>
          <w:kern w:val="0"/>
          <w:sz w:val="32"/>
          <w:szCs w:val="32"/>
        </w:rPr>
        <w:t>3、</w:t>
      </w:r>
      <w:r>
        <w:rPr>
          <w:rFonts w:ascii="仿宋_GB2312" w:hAnsi="宋体" w:eastAsia="仿宋_GB2312" w:cs="宋体"/>
          <w:kern w:val="0"/>
          <w:sz w:val="32"/>
          <w:szCs w:val="32"/>
        </w:rPr>
        <w:t>承担权限各项财政收支管理责任，负责编制本级预决算草案、代编全县预决算草案，并组织执行；审查、编制、批复部门预算，受县人民政府委托，向全县人民代表大会报告县本级和权限预算及其执行情况，向县人大常委会报告决算和预算变更事项，负责审核批复预算部门（单位）的年度财政预决算。</w:t>
      </w:r>
    </w:p>
    <w:p>
      <w:pPr>
        <w:pStyle w:val="4"/>
        <w:ind w:firstLine="480"/>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根据预算安排，拟订财政税收收入计划，并组织实施和监督管理；按管理权限拟订财政税收收入计划，并组织实施较大的临时和特殊的地方税减免事项；按管理权限拟订非税性财政收入制度并负责县本级非税性财政收入的征收与管理；参与拟订行政事业性收费标注准；监管财政票据；贯彻执行彩票管理政策和办法，按规定管理彩票资金。</w:t>
      </w:r>
    </w:p>
    <w:p>
      <w:pPr>
        <w:pStyle w:val="4"/>
        <w:ind w:firstLine="480"/>
        <w:rPr>
          <w:rFonts w:ascii="仿宋_GB2312" w:eastAsia="仿宋_GB2312"/>
          <w:sz w:val="32"/>
          <w:szCs w:val="32"/>
        </w:rPr>
      </w:pPr>
      <w:r>
        <w:rPr>
          <w:rFonts w:hint="eastAsia" w:ascii="仿宋_GB2312" w:eastAsia="仿宋_GB2312"/>
          <w:sz w:val="32"/>
          <w:szCs w:val="32"/>
        </w:rPr>
        <w:t>5、</w:t>
      </w:r>
      <w:r>
        <w:rPr>
          <w:rFonts w:ascii="仿宋_GB2312" w:eastAsia="仿宋_GB2312"/>
          <w:sz w:val="32"/>
          <w:szCs w:val="32"/>
        </w:rPr>
        <w:t>管理和监督由本县级承担的各项财政收入和财政支出；参与拟订县人民政府建设投资的有关政策，制定并执行基本建设财务管理制度，负责中央和区、州、县政府性投资项目财政资金管理工作；承担有关政策性补贴和专项储备资金财政管理工作；承担农业综合开发项目及资金、扶贫贷款贴息资金的管理工作。</w:t>
      </w:r>
    </w:p>
    <w:p>
      <w:pPr>
        <w:pStyle w:val="4"/>
        <w:ind w:firstLine="480" w:firstLineChars="150"/>
        <w:rPr>
          <w:rFonts w:ascii="仿宋_GB2312" w:eastAsia="仿宋_GB2312"/>
          <w:sz w:val="32"/>
          <w:szCs w:val="32"/>
        </w:rPr>
      </w:pPr>
      <w:r>
        <w:rPr>
          <w:rFonts w:hint="eastAsia" w:ascii="仿宋_GB2312" w:eastAsia="仿宋_GB2312"/>
          <w:sz w:val="32"/>
          <w:szCs w:val="32"/>
        </w:rPr>
        <w:t>6、</w:t>
      </w:r>
      <w:r>
        <w:rPr>
          <w:rFonts w:ascii="仿宋_GB2312" w:eastAsia="仿宋_GB2312"/>
          <w:sz w:val="32"/>
          <w:szCs w:val="32"/>
        </w:rPr>
        <w:t>负责建立和实施国库集中支付制度，制定地方财政收入入库解缴办法，对国库资金缴拨使用情况进行监管。拟订县政府采购管理制度和办法，并指导、监督、检查全县政府采购工作。管理县财政统一发放工资工作。</w:t>
      </w:r>
    </w:p>
    <w:p>
      <w:pPr>
        <w:pStyle w:val="4"/>
        <w:ind w:firstLine="480"/>
        <w:rPr>
          <w:rFonts w:ascii="仿宋_GB2312" w:eastAsia="仿宋_GB2312"/>
          <w:sz w:val="32"/>
          <w:szCs w:val="32"/>
        </w:rPr>
      </w:pPr>
      <w:r>
        <w:rPr>
          <w:rFonts w:hint="eastAsia" w:ascii="仿宋_GB2312" w:eastAsia="仿宋_GB2312"/>
          <w:sz w:val="32"/>
          <w:szCs w:val="32"/>
        </w:rPr>
        <w:t>7、</w:t>
      </w:r>
      <w:r>
        <w:rPr>
          <w:rFonts w:ascii="仿宋_GB2312" w:eastAsia="仿宋_GB2312"/>
          <w:sz w:val="32"/>
          <w:szCs w:val="32"/>
        </w:rPr>
        <w:t>贯彻执行行政事业单位和国有资产控股企业的国有资产管理规章制度，按规定管理行政事业单位国有资产，拟订和执行需要全县统一规定的开支标准和支出政策及相关的财务制度；组织查处国有资产流失案件；承担国有资产控股上市企业的培育和扶持工作；组织实施国有预算单位的清产核资、产权交易、资本金权属界定、产权登记。</w:t>
      </w:r>
    </w:p>
    <w:p>
      <w:pPr>
        <w:pStyle w:val="4"/>
        <w:ind w:firstLine="480"/>
        <w:rPr>
          <w:rFonts w:ascii="仿宋_GB2312" w:eastAsia="仿宋_GB2312"/>
          <w:sz w:val="32"/>
          <w:szCs w:val="32"/>
        </w:rPr>
      </w:pPr>
      <w:r>
        <w:rPr>
          <w:rFonts w:hint="eastAsia" w:ascii="仿宋_GB2312" w:eastAsia="仿宋_GB2312"/>
          <w:sz w:val="32"/>
          <w:szCs w:val="32"/>
        </w:rPr>
        <w:t>8、</w:t>
      </w:r>
      <w:r>
        <w:rPr>
          <w:rFonts w:ascii="仿宋_GB2312" w:eastAsia="仿宋_GB2312"/>
          <w:sz w:val="32"/>
          <w:szCs w:val="32"/>
        </w:rPr>
        <w:t>会同有关部门管理各级财政补助、县本级财政社会保障和就业及医疗卫生资金；参与社会保障制度的改革和制度、办法研究制定，会同有关部门研究拟订县社会保障资金（基金）的财务制度和管理办法，并组织实施。</w:t>
      </w:r>
    </w:p>
    <w:p>
      <w:pPr>
        <w:pStyle w:val="4"/>
        <w:ind w:firstLine="480"/>
        <w:rPr>
          <w:rFonts w:ascii="仿宋_GB2312" w:eastAsia="仿宋_GB2312"/>
          <w:sz w:val="32"/>
          <w:szCs w:val="32"/>
        </w:rPr>
      </w:pPr>
      <w:r>
        <w:rPr>
          <w:rFonts w:hint="eastAsia" w:ascii="仿宋_GB2312" w:eastAsia="仿宋_GB2312"/>
          <w:sz w:val="32"/>
          <w:szCs w:val="32"/>
        </w:rPr>
        <w:t>9、</w:t>
      </w:r>
      <w:r>
        <w:rPr>
          <w:rFonts w:ascii="仿宋_GB2312" w:eastAsia="仿宋_GB2312"/>
          <w:sz w:val="32"/>
          <w:szCs w:val="32"/>
        </w:rPr>
        <w:t>拟订和执行地方政府性债务管理制度和办法，按规定开展地方政府债券管理工作，管理国债资金，防范财政风险；负责管理政府外债，组织实施外国政府、国际金融组织贷款项目的审核、申报、转贷、签订贷款协定、财务会计核算、提款保帐、还本付息等资金管理工作。承担地方金融企业财务的监管工作；负责全县地方金融类机构、地方性融资担保机构的财务监管。</w:t>
      </w:r>
    </w:p>
    <w:p>
      <w:pPr>
        <w:pStyle w:val="4"/>
        <w:ind w:firstLine="480"/>
        <w:rPr>
          <w:rFonts w:ascii="仿宋_GB2312" w:eastAsia="仿宋_GB2312"/>
          <w:sz w:val="32"/>
          <w:szCs w:val="32"/>
        </w:rPr>
      </w:pPr>
      <w:r>
        <w:rPr>
          <w:rFonts w:hint="eastAsia" w:ascii="仿宋_GB2312" w:eastAsia="仿宋_GB2312"/>
          <w:sz w:val="32"/>
          <w:szCs w:val="32"/>
        </w:rPr>
        <w:t>10、</w:t>
      </w:r>
      <w:r>
        <w:rPr>
          <w:rFonts w:ascii="仿宋_GB2312" w:eastAsia="仿宋_GB2312"/>
          <w:sz w:val="32"/>
          <w:szCs w:val="32"/>
        </w:rPr>
        <w:t>管理和指导全县会计工作，加强会计监督，规范会计行为，保障会计资料的真实完整。组织和管理会计人员的业务培训和会计人员从业资格；指导和监督注册会计师和会计事务所业务工作；指导和管理社会审计工作。</w:t>
      </w:r>
    </w:p>
    <w:p>
      <w:pPr>
        <w:pStyle w:val="4"/>
        <w:ind w:firstLine="480"/>
        <w:rPr>
          <w:rFonts w:ascii="仿宋_GB2312" w:eastAsia="仿宋_GB2312"/>
          <w:sz w:val="32"/>
          <w:szCs w:val="32"/>
        </w:rPr>
      </w:pPr>
      <w:r>
        <w:rPr>
          <w:rFonts w:hint="eastAsia" w:ascii="仿宋_GB2312" w:eastAsia="仿宋_GB2312"/>
          <w:sz w:val="32"/>
          <w:szCs w:val="32"/>
        </w:rPr>
        <w:t>11、</w:t>
      </w:r>
      <w:r>
        <w:rPr>
          <w:rFonts w:ascii="仿宋_GB2312" w:eastAsia="仿宋_GB2312"/>
          <w:sz w:val="32"/>
          <w:szCs w:val="32"/>
        </w:rPr>
        <w:t>监管县本级国有及国有控股、国有参股企业的国有资产，同时接受州国有资产监督管理委员会的业务指导。负责县级财政安排的扶持中小企业发展资金的管理监督。在授权范围内，对公有资产进行投资、经营监管，对投资收益进行再投资、承担保值增值责任。在授权范围内，组织公有资产产权转让。审核和汇总编制县国有资本经营预决算草案，制定国有资本经营预算的制度和办法，管理县本级企业国有资本收益；贯彻执行《企业财务通则》及分行业企业财务制度，组织实施企业财务制度；参与研究经济体制改革和企业改革，提出经济和社会发展的意见和建议。</w:t>
      </w:r>
    </w:p>
    <w:p>
      <w:pPr>
        <w:pStyle w:val="4"/>
        <w:ind w:firstLine="480"/>
        <w:rPr>
          <w:rFonts w:ascii="仿宋_GB2312" w:eastAsia="仿宋_GB2312"/>
          <w:sz w:val="32"/>
          <w:szCs w:val="32"/>
        </w:rPr>
      </w:pPr>
      <w:r>
        <w:rPr>
          <w:rFonts w:hint="eastAsia" w:ascii="仿宋_GB2312" w:eastAsia="仿宋_GB2312"/>
          <w:sz w:val="32"/>
          <w:szCs w:val="32"/>
        </w:rPr>
        <w:t>12、</w:t>
      </w:r>
      <w:r>
        <w:rPr>
          <w:rFonts w:ascii="仿宋_GB2312" w:eastAsia="仿宋_GB2312"/>
          <w:sz w:val="32"/>
          <w:szCs w:val="32"/>
        </w:rPr>
        <w:t>监督财税方针政策、法律法规的执行；检查监督县级预算收入征收部门各项预算收入情况和本级各部门、单位财务执行情况；延伸检查重点行业部门、重点税源和纳税大户，价差验证税收征管质量和财税政策、法令、制度执行情况；检查财政支出管理中的重要问题；提出加强财政管理的政策建议。</w:t>
      </w:r>
    </w:p>
    <w:p>
      <w:pPr>
        <w:pStyle w:val="4"/>
        <w:ind w:firstLine="480"/>
        <w:rPr>
          <w:rFonts w:ascii="仿宋_GB2312" w:eastAsia="仿宋_GB2312"/>
          <w:sz w:val="32"/>
          <w:szCs w:val="32"/>
        </w:rPr>
      </w:pPr>
      <w:r>
        <w:rPr>
          <w:rFonts w:hint="eastAsia" w:ascii="仿宋_GB2312" w:eastAsia="仿宋_GB2312"/>
          <w:sz w:val="32"/>
          <w:szCs w:val="32"/>
        </w:rPr>
        <w:t>13、</w:t>
      </w:r>
      <w:r>
        <w:rPr>
          <w:rFonts w:ascii="仿宋_GB2312" w:eastAsia="仿宋_GB2312"/>
          <w:sz w:val="32"/>
          <w:szCs w:val="32"/>
        </w:rPr>
        <w:t>承担县人民政府有关农村综合改革的日常工作，承办县农村综合改革领导小组的具体工作。</w:t>
      </w:r>
    </w:p>
    <w:p>
      <w:pPr>
        <w:pStyle w:val="4"/>
        <w:ind w:firstLine="480"/>
        <w:rPr>
          <w:rFonts w:ascii="仿宋_GB2312" w:eastAsia="仿宋_GB2312"/>
          <w:sz w:val="32"/>
          <w:szCs w:val="32"/>
        </w:rPr>
      </w:pPr>
      <w:r>
        <w:rPr>
          <w:rFonts w:hint="eastAsia" w:ascii="仿宋_GB2312" w:eastAsia="仿宋_GB2312"/>
          <w:sz w:val="32"/>
          <w:szCs w:val="32"/>
        </w:rPr>
        <w:t>14、</w:t>
      </w:r>
      <w:r>
        <w:rPr>
          <w:rFonts w:ascii="仿宋_GB2312" w:eastAsia="仿宋_GB2312"/>
          <w:sz w:val="32"/>
          <w:szCs w:val="32"/>
        </w:rPr>
        <w:t>制定财政干部教育规划；组织全县财政干部的教育工作；负责财政宣传和财政信息工作。</w:t>
      </w:r>
    </w:p>
    <w:p>
      <w:pPr>
        <w:pStyle w:val="4"/>
        <w:ind w:firstLine="480"/>
        <w:rPr>
          <w:rFonts w:ascii="仿宋_GB2312" w:eastAsia="仿宋_GB2312"/>
          <w:sz w:val="32"/>
          <w:szCs w:val="32"/>
        </w:rPr>
      </w:pPr>
      <w:r>
        <w:rPr>
          <w:rFonts w:hint="eastAsia" w:ascii="仿宋_GB2312" w:eastAsia="仿宋_GB2312"/>
          <w:sz w:val="32"/>
          <w:szCs w:val="32"/>
        </w:rPr>
        <w:t>15、</w:t>
      </w:r>
      <w:r>
        <w:rPr>
          <w:rFonts w:ascii="仿宋_GB2312" w:eastAsia="仿宋_GB2312"/>
          <w:sz w:val="32"/>
          <w:szCs w:val="32"/>
        </w:rPr>
        <w:t>）承办县人民政府交办的其他事项。</w:t>
      </w:r>
    </w:p>
    <w:p>
      <w:pPr>
        <w:widowControl/>
        <w:spacing w:line="560" w:lineRule="exact"/>
        <w:jc w:val="left"/>
        <w:rPr>
          <w:rFonts w:ascii="仿宋_GB2312" w:hAnsi="宋体" w:eastAsia="仿宋_GB2312" w:cs="宋体"/>
          <w:bCs/>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widowControl/>
        <w:spacing w:line="560" w:lineRule="exact"/>
        <w:ind w:firstLine="643" w:firstLineChars="200"/>
        <w:jc w:val="left"/>
        <w:rPr>
          <w:rFonts w:ascii="仿宋_GB2312" w:hAnsi="黑体" w:eastAsia="仿宋_GB2312" w:cs="宋体"/>
          <w:b/>
          <w:bCs/>
          <w:kern w:val="0"/>
          <w:sz w:val="32"/>
          <w:szCs w:val="32"/>
        </w:rPr>
      </w:pPr>
      <w:r>
        <w:rPr>
          <w:rFonts w:hint="eastAsia" w:ascii="仿宋_GB2312" w:hAnsi="黑体" w:eastAsia="仿宋_GB2312" w:cs="宋体"/>
          <w:b/>
          <w:bCs/>
          <w:kern w:val="0"/>
          <w:sz w:val="32"/>
          <w:szCs w:val="32"/>
        </w:rPr>
        <w:t>情况一：有下属预算单位按以下内容说明：</w:t>
      </w:r>
    </w:p>
    <w:p>
      <w:pPr>
        <w:widowControl/>
        <w:spacing w:line="560" w:lineRule="exact"/>
        <w:jc w:val="left"/>
        <w:rPr>
          <w:rFonts w:ascii="仿宋_GB2312" w:hAnsi="宋体" w:eastAsia="仿宋_GB2312" w:cs="宋体"/>
          <w:kern w:val="0"/>
          <w:sz w:val="32"/>
          <w:szCs w:val="32"/>
        </w:rPr>
      </w:pPr>
      <w:r>
        <w:rPr>
          <w:rFonts w:hint="eastAsia" w:ascii="黑体" w:hAnsi="黑体" w:eastAsia="黑体" w:cs="宋体"/>
          <w:b/>
          <w:bCs/>
          <w:kern w:val="0"/>
          <w:sz w:val="32"/>
          <w:szCs w:val="32"/>
        </w:rPr>
        <w:t xml:space="preserve">    </w:t>
      </w:r>
      <w:r>
        <w:rPr>
          <w:rFonts w:hint="eastAsia" w:ascii="仿宋_GB2312" w:hAnsi="宋体" w:eastAsia="仿宋_GB2312" w:cs="宋体"/>
          <w:kern w:val="0"/>
          <w:sz w:val="32"/>
          <w:szCs w:val="32"/>
        </w:rPr>
        <w:t>从预算单位构成看，x部门的部门预算包括：x本级预算及下属0家预算单位在内的汇总预算。</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x部门本级</w:t>
      </w:r>
      <w:r>
        <w:rPr>
          <w:rFonts w:hint="eastAsia" w:ascii="仿宋_GB2312" w:hAnsi="黑体" w:eastAsia="仿宋_GB2312" w:cs="宋体"/>
          <w:bCs/>
          <w:kern w:val="0"/>
          <w:sz w:val="32"/>
          <w:szCs w:val="32"/>
        </w:rPr>
        <w:t>下设0个处室，分别是：</w:t>
      </w:r>
      <w:r>
        <w:rPr>
          <w:rFonts w:hint="eastAsia" w:ascii="仿宋_GB2312" w:hAnsi="宋体" w:eastAsia="仿宋_GB2312" w:cs="宋体"/>
          <w:kern w:val="0"/>
          <w:sz w:val="32"/>
          <w:szCs w:val="32"/>
        </w:rPr>
        <w:t>……。</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本部门中，行政单位0家，参公管理事业单位0家,事业单位0家，纳入x部门xxx年部门预算编制范围的二级预算单位包括：</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1.（列下属单位名称）</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x部门编制数     ，实有人数    人，其中：在职    人，增加或减少   人； 退休0人，增加或减少   人；离休     人，增加或减少   人。</w:t>
      </w:r>
    </w:p>
    <w:p>
      <w:pPr>
        <w:widowControl/>
        <w:spacing w:line="560" w:lineRule="exact"/>
        <w:jc w:val="left"/>
        <w:rPr>
          <w:rFonts w:ascii="仿宋_GB2312" w:hAnsi="黑体" w:eastAsia="仿宋_GB2312" w:cs="宋体"/>
          <w:b/>
          <w:bCs/>
          <w:kern w:val="0"/>
          <w:sz w:val="32"/>
          <w:szCs w:val="32"/>
        </w:rPr>
      </w:pPr>
      <w:r>
        <w:rPr>
          <w:rFonts w:hint="eastAsia" w:ascii="仿宋_GB2312" w:hAnsi="宋体" w:eastAsia="仿宋_GB2312" w:cs="宋体"/>
          <w:kern w:val="0"/>
          <w:sz w:val="32"/>
          <w:szCs w:val="32"/>
        </w:rPr>
        <w:t xml:space="preserve">    </w:t>
      </w:r>
      <w:r>
        <w:rPr>
          <w:rFonts w:hint="eastAsia" w:ascii="仿宋_GB2312" w:hAnsi="宋体" w:eastAsia="仿宋_GB2312" w:cs="宋体"/>
          <w:b/>
          <w:kern w:val="0"/>
          <w:sz w:val="32"/>
          <w:szCs w:val="32"/>
        </w:rPr>
        <w:t>情况二：</w:t>
      </w:r>
      <w:r>
        <w:rPr>
          <w:rFonts w:hint="eastAsia" w:ascii="仿宋_GB2312" w:hAnsi="黑体" w:eastAsia="仿宋_GB2312" w:cs="宋体"/>
          <w:b/>
          <w:bCs/>
          <w:kern w:val="0"/>
          <w:sz w:val="32"/>
          <w:szCs w:val="32"/>
        </w:rPr>
        <w:t>无下属预算单位按以下内容说明：</w:t>
      </w:r>
    </w:p>
    <w:p>
      <w:pPr>
        <w:widowControl/>
        <w:spacing w:line="560" w:lineRule="exact"/>
        <w:ind w:firstLine="640"/>
        <w:jc w:val="left"/>
        <w:rPr>
          <w:rFonts w:ascii="仿宋_GB2312" w:hAnsi="宋体" w:eastAsia="仿宋_GB2312" w:cs="宋体"/>
          <w:kern w:val="0"/>
          <w:sz w:val="32"/>
          <w:szCs w:val="32"/>
        </w:rPr>
      </w:pPr>
      <w:r>
        <w:rPr>
          <w:rFonts w:hint="eastAsia" w:ascii="仿宋_GB2312" w:hAnsi="黑体" w:eastAsia="仿宋_GB2312" w:cs="宋体"/>
          <w:bCs/>
          <w:kern w:val="0"/>
          <w:sz w:val="32"/>
          <w:szCs w:val="32"/>
        </w:rPr>
        <w:t>吉木萨尔县国库支付中心无下属预算单位，下设1个处室</w:t>
      </w:r>
      <w:r>
        <w:rPr>
          <w:rFonts w:hint="eastAsia" w:ascii="仿宋_GB2312" w:hAnsi="宋体" w:eastAsia="仿宋_GB2312" w:cs="宋体"/>
          <w:kern w:val="0"/>
          <w:sz w:val="32"/>
          <w:szCs w:val="32"/>
        </w:rPr>
        <w:t>。</w:t>
      </w:r>
    </w:p>
    <w:p>
      <w:pPr>
        <w:widowControl/>
        <w:spacing w:line="560" w:lineRule="exact"/>
        <w:ind w:firstLine="640"/>
        <w:jc w:val="left"/>
        <w:rPr>
          <w:rFonts w:ascii="仿宋_GB2312" w:hAnsi="宋体" w:eastAsia="仿宋_GB2312" w:cs="宋体"/>
          <w:kern w:val="0"/>
          <w:sz w:val="32"/>
          <w:szCs w:val="32"/>
        </w:rPr>
      </w:pPr>
      <w:r>
        <w:rPr>
          <w:rFonts w:hint="eastAsia" w:ascii="仿宋_GB2312" w:hAnsi="黑体" w:eastAsia="仿宋_GB2312" w:cs="宋体"/>
          <w:bCs/>
          <w:kern w:val="0"/>
          <w:sz w:val="32"/>
          <w:szCs w:val="32"/>
        </w:rPr>
        <w:t>吉木萨尔县国库支付中心</w:t>
      </w:r>
      <w:r>
        <w:rPr>
          <w:rFonts w:hint="eastAsia" w:ascii="仿宋_GB2312" w:hAnsi="宋体" w:eastAsia="仿宋_GB2312" w:cs="宋体"/>
          <w:kern w:val="0"/>
          <w:sz w:val="32"/>
          <w:szCs w:val="32"/>
        </w:rPr>
        <w:t>编制数28人，实有人数27人，其中：在职27人，增加1人； 退休1人，增加2人；离休0人，增加或减少0人。</w:t>
      </w:r>
    </w:p>
    <w:p>
      <w:pPr>
        <w:widowControl/>
        <w:spacing w:beforeLines="50"/>
        <w:jc w:val="center"/>
        <w:outlineLvl w:val="1"/>
        <w:rPr>
          <w:rFonts w:ascii="黑体" w:hAnsi="黑体" w:eastAsia="黑体"/>
          <w:kern w:val="0"/>
          <w:sz w:val="32"/>
          <w:szCs w:val="32"/>
        </w:rPr>
      </w:pPr>
    </w:p>
    <w:p>
      <w:pPr>
        <w:widowControl/>
        <w:spacing w:beforeLines="50"/>
        <w:jc w:val="center"/>
        <w:outlineLvl w:val="1"/>
        <w:rPr>
          <w:rFonts w:ascii="黑体" w:hAnsi="黑体" w:eastAsia="黑体"/>
          <w:kern w:val="0"/>
          <w:sz w:val="32"/>
          <w:szCs w:val="32"/>
        </w:rPr>
      </w:pPr>
    </w:p>
    <w:p>
      <w:pPr>
        <w:widowControl/>
        <w:spacing w:beforeLines="50"/>
        <w:jc w:val="center"/>
        <w:outlineLvl w:val="1"/>
        <w:rPr>
          <w:rFonts w:ascii="黑体" w:hAnsi="黑体" w:eastAsia="黑体"/>
          <w:kern w:val="0"/>
          <w:sz w:val="32"/>
          <w:szCs w:val="32"/>
        </w:rPr>
      </w:pPr>
    </w:p>
    <w:p>
      <w:pPr>
        <w:widowControl/>
        <w:spacing w:beforeLines="50"/>
        <w:jc w:val="center"/>
        <w:outlineLvl w:val="1"/>
        <w:rPr>
          <w:rFonts w:ascii="黑体" w:hAnsi="黑体" w:eastAsia="黑体"/>
          <w:kern w:val="0"/>
          <w:sz w:val="32"/>
          <w:szCs w:val="32"/>
        </w:rPr>
      </w:pPr>
    </w:p>
    <w:p>
      <w:pPr>
        <w:widowControl/>
        <w:spacing w:beforeLines="50"/>
        <w:jc w:val="center"/>
        <w:outlineLvl w:val="1"/>
        <w:rPr>
          <w:rFonts w:ascii="黑体" w:hAnsi="黑体" w:eastAsia="黑体"/>
          <w:kern w:val="0"/>
          <w:sz w:val="32"/>
          <w:szCs w:val="32"/>
        </w:rPr>
      </w:pPr>
    </w:p>
    <w:p>
      <w:pPr>
        <w:widowControl/>
        <w:spacing w:beforeLines="50"/>
        <w:jc w:val="center"/>
        <w:outlineLvl w:val="1"/>
        <w:rPr>
          <w:rFonts w:ascii="黑体" w:hAnsi="黑体" w:eastAsia="黑体"/>
          <w:kern w:val="0"/>
          <w:sz w:val="32"/>
          <w:szCs w:val="32"/>
        </w:rPr>
      </w:pPr>
    </w:p>
    <w:p>
      <w:pPr>
        <w:widowControl/>
        <w:spacing w:beforeLines="50"/>
        <w:jc w:val="center"/>
        <w:outlineLvl w:val="1"/>
        <w:rPr>
          <w:rFonts w:ascii="黑体" w:hAnsi="黑体" w:eastAsia="黑体"/>
          <w:kern w:val="0"/>
          <w:sz w:val="32"/>
          <w:szCs w:val="32"/>
        </w:r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2016年部门预算公开表</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编制部门：吉木萨尔县国库支付中心                       单位：万元</w:t>
      </w:r>
    </w:p>
    <w:tbl>
      <w:tblPr>
        <w:tblStyle w:val="6"/>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黑体" w:hAnsi="宋体" w:eastAsia="黑体" w:cs="宋体"/>
                <w:kern w:val="0"/>
                <w:szCs w:val="21"/>
              </w:rPr>
            </w:pPr>
            <w:r>
              <w:rPr>
                <w:rFonts w:hint="eastAsia" w:ascii="黑体" w:hAnsi="宋体" w:eastAsia="黑体" w:cs="宋体"/>
                <w:kern w:val="0"/>
                <w:szCs w:val="21"/>
              </w:rPr>
              <w:t>274.54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201 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248.56</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xml:space="preserve">    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275.54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202 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xml:space="preserve">    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203 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204 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205 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206 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207 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208 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5.61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209 社会保险基金支出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20.37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210 医疗卫生支出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211 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212 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213 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214 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215 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216 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217 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219 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220 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221 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222 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223 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227 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229 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231 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232 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233 债务发行费支出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小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274.56</w:t>
            </w:r>
          </w:p>
        </w:tc>
        <w:tc>
          <w:tcPr>
            <w:tcW w:w="2693" w:type="dxa"/>
            <w:tcBorders>
              <w:top w:val="nil"/>
              <w:left w:val="nil"/>
              <w:bottom w:val="single" w:color="auto" w:sz="4" w:space="0"/>
              <w:right w:val="single" w:color="auto" w:sz="4" w:space="0"/>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小           计</w:t>
            </w:r>
          </w:p>
        </w:tc>
        <w:tc>
          <w:tcPr>
            <w:tcW w:w="1701"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274.56</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黑体" w:hAnsi="宋体" w:eastAsia="黑体" w:cs="宋体"/>
                <w:kern w:val="0"/>
                <w:szCs w:val="21"/>
              </w:rPr>
            </w:pPr>
            <w:r>
              <w:rPr>
                <w:rFonts w:hint="eastAsia" w:ascii="黑体" w:hAnsi="宋体" w:eastAsia="黑体" w:cs="宋体"/>
                <w:kern w:val="0"/>
                <w:szCs w:val="21"/>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center"/>
              <w:rPr>
                <w:rFonts w:ascii="黑体" w:hAnsi="宋体" w:eastAsia="黑体" w:cs="宋体"/>
                <w:kern w:val="0"/>
                <w:szCs w:val="21"/>
              </w:rPr>
            </w:pPr>
            <w:r>
              <w:rPr>
                <w:rFonts w:hint="eastAsia" w:ascii="黑体" w:hAnsi="宋体" w:eastAsia="黑体" w:cs="宋体"/>
                <w:kern w:val="0"/>
                <w:szCs w:val="21"/>
              </w:rPr>
              <w:t>230 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收  入  总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黑体" w:hAnsi="宋体" w:eastAsia="黑体" w:cs="宋体"/>
                <w:kern w:val="0"/>
                <w:szCs w:val="21"/>
              </w:rPr>
            </w:pPr>
            <w:r>
              <w:rPr>
                <w:rFonts w:ascii="黑体" w:hAnsi="宋体" w:eastAsia="黑体" w:cs="宋体"/>
                <w:kern w:val="0"/>
                <w:szCs w:val="21"/>
              </w:rPr>
              <w:t>274.56</w:t>
            </w: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支  出  合  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黑体" w:hAnsi="宋体" w:eastAsia="黑体" w:cs="宋体"/>
                <w:kern w:val="0"/>
                <w:szCs w:val="21"/>
              </w:rPr>
              <w:t>274.56</w:t>
            </w:r>
            <w:r>
              <w:rPr>
                <w:rFonts w:hint="eastAsia" w:ascii="仿宋_GB2312" w:hAnsi="宋体" w:eastAsia="仿宋_GB2312" w:cs="宋体"/>
                <w:kern w:val="0"/>
                <w:sz w:val="18"/>
                <w:szCs w:val="18"/>
              </w:rPr>
              <w:t>　</w:t>
            </w:r>
          </w:p>
        </w:tc>
      </w:tr>
    </w:tbl>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填报部门：吉木萨尔县国库支付中心                          单位： 万元</w:t>
      </w:r>
    </w:p>
    <w:tbl>
      <w:tblPr>
        <w:tblStyle w:val="6"/>
        <w:tblW w:w="9513" w:type="dxa"/>
        <w:tblInd w:w="93" w:type="dxa"/>
        <w:tblLayout w:type="fixed"/>
        <w:tblCellMar>
          <w:top w:w="0" w:type="dxa"/>
          <w:left w:w="108" w:type="dxa"/>
          <w:bottom w:w="0" w:type="dxa"/>
          <w:right w:w="108" w:type="dxa"/>
        </w:tblCellMar>
      </w:tblPr>
      <w:tblGrid>
        <w:gridCol w:w="582"/>
        <w:gridCol w:w="426"/>
        <w:gridCol w:w="425"/>
        <w:gridCol w:w="1843"/>
        <w:gridCol w:w="1275"/>
        <w:gridCol w:w="1276"/>
        <w:gridCol w:w="425"/>
        <w:gridCol w:w="426"/>
        <w:gridCol w:w="425"/>
        <w:gridCol w:w="567"/>
        <w:gridCol w:w="425"/>
        <w:gridCol w:w="709"/>
        <w:gridCol w:w="709"/>
      </w:tblGrid>
      <w:tr>
        <w:tblPrEx>
          <w:tblLayout w:type="fixed"/>
          <w:tblCellMar>
            <w:top w:w="0" w:type="dxa"/>
            <w:left w:w="108" w:type="dxa"/>
            <w:bottom w:w="0" w:type="dxa"/>
            <w:right w:w="108" w:type="dxa"/>
          </w:tblCellMar>
        </w:tblPrEx>
        <w:trPr>
          <w:trHeight w:val="510" w:hRule="atLeast"/>
        </w:trPr>
        <w:tc>
          <w:tcPr>
            <w:tcW w:w="143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黑体" w:hAnsi="宋体" w:eastAsia="黑体" w:cs="宋体"/>
                <w:b/>
                <w:color w:val="000000"/>
                <w:sz w:val="20"/>
                <w:szCs w:val="20"/>
              </w:rPr>
            </w:pPr>
            <w:r>
              <w:rPr>
                <w:rFonts w:hint="eastAsia" w:ascii="黑体" w:eastAsia="黑体"/>
                <w:b/>
                <w:color w:val="000000"/>
                <w:sz w:val="20"/>
                <w:szCs w:val="20"/>
              </w:rPr>
              <w:t>功能分类科目编码</w:t>
            </w:r>
          </w:p>
        </w:tc>
        <w:tc>
          <w:tcPr>
            <w:tcW w:w="1843"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黑体" w:hAnsi="宋体" w:eastAsia="黑体" w:cs="宋体"/>
                <w:b/>
                <w:color w:val="000000"/>
                <w:sz w:val="20"/>
                <w:szCs w:val="20"/>
              </w:rPr>
            </w:pPr>
            <w:r>
              <w:rPr>
                <w:rFonts w:hint="eastAsia" w:ascii="黑体" w:eastAsia="黑体"/>
                <w:b/>
                <w:color w:val="000000"/>
                <w:sz w:val="20"/>
                <w:szCs w:val="20"/>
              </w:rPr>
              <w:t>功能分类科目名称</w:t>
            </w:r>
          </w:p>
        </w:tc>
        <w:tc>
          <w:tcPr>
            <w:tcW w:w="127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黑体" w:hAnsi="宋体" w:eastAsia="黑体" w:cs="宋体"/>
                <w:b/>
                <w:color w:val="000000"/>
                <w:sz w:val="20"/>
                <w:szCs w:val="20"/>
              </w:rPr>
            </w:pPr>
            <w:r>
              <w:rPr>
                <w:rFonts w:hint="eastAsia" w:ascii="黑体" w:eastAsia="黑体"/>
                <w:b/>
                <w:color w:val="000000"/>
                <w:sz w:val="20"/>
                <w:szCs w:val="20"/>
              </w:rPr>
              <w:t>总  计</w:t>
            </w:r>
          </w:p>
        </w:tc>
        <w:tc>
          <w:tcPr>
            <w:tcW w:w="1276"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黑体" w:hAnsi="宋体" w:eastAsia="黑体" w:cs="宋体"/>
                <w:b/>
                <w:color w:val="000000"/>
                <w:sz w:val="20"/>
                <w:szCs w:val="20"/>
              </w:rPr>
            </w:pPr>
            <w:r>
              <w:rPr>
                <w:rFonts w:hint="eastAsia" w:ascii="黑体" w:eastAsia="黑体"/>
                <w:b/>
                <w:color w:val="000000"/>
                <w:sz w:val="20"/>
                <w:szCs w:val="20"/>
              </w:rPr>
              <w:t>一般公共预算拨款</w:t>
            </w:r>
          </w:p>
        </w:tc>
        <w:tc>
          <w:tcPr>
            <w:tcW w:w="42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黑体" w:hAnsi="宋体" w:eastAsia="黑体" w:cs="宋体"/>
                <w:b/>
                <w:color w:val="000000"/>
                <w:sz w:val="20"/>
                <w:szCs w:val="20"/>
              </w:rPr>
            </w:pPr>
            <w:r>
              <w:rPr>
                <w:rFonts w:hint="eastAsia" w:ascii="黑体" w:eastAsia="黑体"/>
                <w:b/>
                <w:color w:val="000000"/>
                <w:sz w:val="20"/>
                <w:szCs w:val="20"/>
              </w:rPr>
              <w:t>政府性基金预算拨款</w:t>
            </w:r>
          </w:p>
        </w:tc>
        <w:tc>
          <w:tcPr>
            <w:tcW w:w="426"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黑体" w:hAnsi="宋体" w:eastAsia="黑体" w:cs="宋体"/>
                <w:b/>
                <w:color w:val="000000"/>
                <w:sz w:val="20"/>
                <w:szCs w:val="20"/>
              </w:rPr>
            </w:pPr>
            <w:r>
              <w:rPr>
                <w:rFonts w:hint="eastAsia" w:ascii="黑体" w:eastAsia="黑体"/>
                <w:b/>
                <w:color w:val="000000"/>
                <w:sz w:val="20"/>
                <w:szCs w:val="20"/>
              </w:rPr>
              <w:t>财政专户管理资金</w:t>
            </w:r>
          </w:p>
        </w:tc>
        <w:tc>
          <w:tcPr>
            <w:tcW w:w="42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黑体" w:hAnsi="宋体" w:eastAsia="黑体" w:cs="宋体"/>
                <w:b/>
                <w:color w:val="000000"/>
                <w:sz w:val="20"/>
                <w:szCs w:val="20"/>
              </w:rPr>
            </w:pPr>
            <w:r>
              <w:rPr>
                <w:rFonts w:hint="eastAsia" w:ascii="黑体" w:eastAsia="黑体"/>
                <w:b/>
                <w:color w:val="000000"/>
                <w:sz w:val="20"/>
                <w:szCs w:val="20"/>
              </w:rPr>
              <w:t>事业收入</w:t>
            </w:r>
          </w:p>
        </w:tc>
        <w:tc>
          <w:tcPr>
            <w:tcW w:w="567"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黑体" w:hAnsi="宋体" w:eastAsia="黑体" w:cs="宋体"/>
                <w:b/>
                <w:color w:val="000000"/>
                <w:sz w:val="20"/>
                <w:szCs w:val="20"/>
              </w:rPr>
            </w:pPr>
            <w:r>
              <w:rPr>
                <w:rFonts w:hint="eastAsia" w:ascii="黑体" w:eastAsia="黑体"/>
                <w:b/>
                <w:color w:val="000000"/>
                <w:sz w:val="20"/>
                <w:szCs w:val="20"/>
              </w:rPr>
              <w:t>事业单位经营收入</w:t>
            </w:r>
          </w:p>
        </w:tc>
        <w:tc>
          <w:tcPr>
            <w:tcW w:w="42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黑体" w:hAnsi="宋体" w:eastAsia="黑体" w:cs="宋体"/>
                <w:b/>
                <w:color w:val="000000"/>
                <w:sz w:val="20"/>
                <w:szCs w:val="20"/>
              </w:rPr>
            </w:pPr>
            <w:r>
              <w:rPr>
                <w:rFonts w:hint="eastAsia" w:ascii="黑体" w:eastAsia="黑体"/>
                <w:b/>
                <w:color w:val="000000"/>
                <w:sz w:val="20"/>
                <w:szCs w:val="20"/>
              </w:rPr>
              <w:t>其他收入</w:t>
            </w:r>
          </w:p>
        </w:tc>
        <w:tc>
          <w:tcPr>
            <w:tcW w:w="709"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黑体" w:hAnsi="宋体" w:eastAsia="黑体" w:cs="宋体"/>
                <w:b/>
                <w:color w:val="000000"/>
                <w:sz w:val="20"/>
                <w:szCs w:val="20"/>
              </w:rPr>
            </w:pPr>
            <w:r>
              <w:rPr>
                <w:rFonts w:hint="eastAsia" w:ascii="黑体" w:eastAsia="黑体"/>
                <w:b/>
                <w:color w:val="000000"/>
                <w:sz w:val="20"/>
                <w:szCs w:val="20"/>
              </w:rPr>
              <w:t>用事业基金弥补收支差额</w:t>
            </w:r>
          </w:p>
        </w:tc>
        <w:tc>
          <w:tcPr>
            <w:tcW w:w="709"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黑体" w:hAnsi="宋体" w:eastAsia="黑体" w:cs="宋体"/>
                <w:b/>
                <w:color w:val="000000"/>
                <w:sz w:val="18"/>
                <w:szCs w:val="18"/>
              </w:rPr>
            </w:pPr>
            <w:r>
              <w:rPr>
                <w:rFonts w:hint="eastAsia" w:ascii="黑体" w:eastAsia="黑体"/>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82" w:type="dxa"/>
            <w:tcBorders>
              <w:top w:val="nil"/>
              <w:left w:val="single" w:color="auto" w:sz="4" w:space="0"/>
              <w:bottom w:val="single" w:color="auto" w:sz="4" w:space="0"/>
              <w:right w:val="single" w:color="auto" w:sz="4" w:space="0"/>
            </w:tcBorders>
            <w:vAlign w:val="center"/>
          </w:tcPr>
          <w:p>
            <w:pPr>
              <w:jc w:val="right"/>
              <w:rPr>
                <w:rFonts w:ascii="黑体" w:hAnsi="宋体" w:eastAsia="黑体" w:cs="宋体"/>
                <w:b/>
                <w:color w:val="000000"/>
                <w:sz w:val="20"/>
                <w:szCs w:val="20"/>
              </w:rPr>
            </w:pPr>
            <w:r>
              <w:rPr>
                <w:rFonts w:hint="eastAsia" w:ascii="黑体" w:eastAsia="黑体"/>
                <w:b/>
                <w:color w:val="000000"/>
                <w:sz w:val="20"/>
                <w:szCs w:val="20"/>
              </w:rPr>
              <w:t>类</w:t>
            </w:r>
          </w:p>
        </w:tc>
        <w:tc>
          <w:tcPr>
            <w:tcW w:w="426" w:type="dxa"/>
            <w:tcBorders>
              <w:top w:val="nil"/>
              <w:left w:val="nil"/>
              <w:bottom w:val="single" w:color="auto" w:sz="4" w:space="0"/>
              <w:right w:val="single" w:color="auto" w:sz="4" w:space="0"/>
            </w:tcBorders>
            <w:vAlign w:val="center"/>
          </w:tcPr>
          <w:p>
            <w:pPr>
              <w:jc w:val="right"/>
              <w:rPr>
                <w:rFonts w:ascii="黑体" w:hAnsi="宋体" w:eastAsia="黑体" w:cs="宋体"/>
                <w:b/>
                <w:color w:val="000000"/>
                <w:sz w:val="20"/>
                <w:szCs w:val="20"/>
              </w:rPr>
            </w:pPr>
            <w:r>
              <w:rPr>
                <w:rFonts w:hint="eastAsia" w:ascii="黑体" w:eastAsia="黑体"/>
                <w:b/>
                <w:color w:val="000000"/>
                <w:sz w:val="20"/>
                <w:szCs w:val="20"/>
              </w:rPr>
              <w:t>款</w:t>
            </w:r>
          </w:p>
        </w:tc>
        <w:tc>
          <w:tcPr>
            <w:tcW w:w="425" w:type="dxa"/>
            <w:tcBorders>
              <w:top w:val="nil"/>
              <w:left w:val="nil"/>
              <w:bottom w:val="single" w:color="auto" w:sz="4" w:space="0"/>
              <w:right w:val="single" w:color="auto" w:sz="4" w:space="0"/>
            </w:tcBorders>
            <w:vAlign w:val="center"/>
          </w:tcPr>
          <w:p>
            <w:pPr>
              <w:jc w:val="right"/>
              <w:rPr>
                <w:rFonts w:ascii="黑体" w:hAnsi="宋体" w:eastAsia="黑体" w:cs="宋体"/>
                <w:b/>
                <w:color w:val="000000"/>
                <w:sz w:val="20"/>
                <w:szCs w:val="20"/>
              </w:rPr>
            </w:pPr>
            <w:r>
              <w:rPr>
                <w:rFonts w:hint="eastAsia" w:ascii="黑体" w:eastAsia="黑体"/>
                <w:b/>
                <w:color w:val="000000"/>
                <w:sz w:val="20"/>
                <w:szCs w:val="20"/>
              </w:rPr>
              <w:t>项</w:t>
            </w:r>
          </w:p>
        </w:tc>
        <w:tc>
          <w:tcPr>
            <w:tcW w:w="1843" w:type="dxa"/>
            <w:vMerge w:val="continue"/>
            <w:tcBorders>
              <w:top w:val="single" w:color="auto" w:sz="4" w:space="0"/>
              <w:left w:val="single" w:color="auto" w:sz="4" w:space="0"/>
              <w:bottom w:val="single" w:color="000000" w:sz="4" w:space="0"/>
              <w:right w:val="single" w:color="auto" w:sz="4" w:space="0"/>
            </w:tcBorders>
            <w:vAlign w:val="center"/>
          </w:tcPr>
          <w:p>
            <w:pPr>
              <w:rPr>
                <w:rFonts w:ascii="黑体" w:hAnsi="宋体" w:eastAsia="黑体" w:cs="宋体"/>
                <w:color w:val="000000"/>
                <w:sz w:val="20"/>
                <w:szCs w:val="20"/>
              </w:rPr>
            </w:pPr>
          </w:p>
        </w:tc>
        <w:tc>
          <w:tcPr>
            <w:tcW w:w="1275" w:type="dxa"/>
            <w:vMerge w:val="continue"/>
            <w:tcBorders>
              <w:top w:val="single" w:color="auto" w:sz="4" w:space="0"/>
              <w:left w:val="single" w:color="auto" w:sz="4" w:space="0"/>
              <w:bottom w:val="single" w:color="000000" w:sz="4" w:space="0"/>
              <w:right w:val="single" w:color="auto" w:sz="4" w:space="0"/>
            </w:tcBorders>
            <w:vAlign w:val="center"/>
          </w:tcPr>
          <w:p>
            <w:pPr>
              <w:rPr>
                <w:rFonts w:ascii="黑体" w:hAnsi="宋体" w:eastAsia="黑体" w:cs="宋体"/>
                <w:color w:val="000000"/>
                <w:sz w:val="20"/>
                <w:szCs w:val="20"/>
              </w:rPr>
            </w:pPr>
          </w:p>
        </w:tc>
        <w:tc>
          <w:tcPr>
            <w:tcW w:w="1276" w:type="dxa"/>
            <w:vMerge w:val="continue"/>
            <w:tcBorders>
              <w:top w:val="single" w:color="auto" w:sz="4" w:space="0"/>
              <w:left w:val="single" w:color="auto" w:sz="4" w:space="0"/>
              <w:bottom w:val="single" w:color="000000" w:sz="4" w:space="0"/>
              <w:right w:val="single" w:color="auto" w:sz="4" w:space="0"/>
            </w:tcBorders>
            <w:vAlign w:val="center"/>
          </w:tcPr>
          <w:p>
            <w:pPr>
              <w:rPr>
                <w:rFonts w:ascii="黑体" w:hAnsi="宋体" w:eastAsia="黑体" w:cs="宋体"/>
                <w:color w:val="000000"/>
                <w:sz w:val="20"/>
                <w:szCs w:val="20"/>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rPr>
                <w:rFonts w:ascii="黑体" w:hAnsi="宋体" w:eastAsia="黑体" w:cs="宋体"/>
                <w:color w:val="000000"/>
                <w:sz w:val="20"/>
                <w:szCs w:val="20"/>
              </w:rPr>
            </w:pPr>
          </w:p>
        </w:tc>
        <w:tc>
          <w:tcPr>
            <w:tcW w:w="426" w:type="dxa"/>
            <w:vMerge w:val="continue"/>
            <w:tcBorders>
              <w:top w:val="single" w:color="auto" w:sz="4" w:space="0"/>
              <w:left w:val="single" w:color="auto" w:sz="4" w:space="0"/>
              <w:bottom w:val="single" w:color="000000" w:sz="4" w:space="0"/>
              <w:right w:val="single" w:color="auto" w:sz="4" w:space="0"/>
            </w:tcBorders>
            <w:vAlign w:val="center"/>
          </w:tcPr>
          <w:p>
            <w:pPr>
              <w:rPr>
                <w:rFonts w:ascii="黑体" w:hAnsi="宋体" w:eastAsia="黑体" w:cs="宋体"/>
                <w:color w:val="000000"/>
                <w:sz w:val="20"/>
                <w:szCs w:val="20"/>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rPr>
                <w:rFonts w:ascii="黑体" w:hAnsi="宋体" w:eastAsia="黑体" w:cs="宋体"/>
                <w:color w:val="000000"/>
                <w:sz w:val="20"/>
                <w:szCs w:val="20"/>
              </w:rPr>
            </w:pPr>
          </w:p>
        </w:tc>
        <w:tc>
          <w:tcPr>
            <w:tcW w:w="567" w:type="dxa"/>
            <w:vMerge w:val="continue"/>
            <w:tcBorders>
              <w:top w:val="single" w:color="auto" w:sz="4" w:space="0"/>
              <w:left w:val="single" w:color="auto" w:sz="4" w:space="0"/>
              <w:bottom w:val="single" w:color="000000" w:sz="4" w:space="0"/>
              <w:right w:val="single" w:color="auto" w:sz="4" w:space="0"/>
            </w:tcBorders>
            <w:vAlign w:val="center"/>
          </w:tcPr>
          <w:p>
            <w:pPr>
              <w:rPr>
                <w:rFonts w:ascii="黑体" w:hAnsi="宋体" w:eastAsia="黑体" w:cs="宋体"/>
                <w:color w:val="000000"/>
                <w:sz w:val="20"/>
                <w:szCs w:val="20"/>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rPr>
                <w:rFonts w:ascii="黑体" w:hAnsi="宋体" w:eastAsia="黑体" w:cs="宋体"/>
                <w:color w:val="000000"/>
                <w:sz w:val="20"/>
                <w:szCs w:val="20"/>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pPr>
              <w:rPr>
                <w:rFonts w:ascii="黑体" w:hAnsi="宋体" w:eastAsia="黑体" w:cs="宋体"/>
                <w:color w:val="000000"/>
                <w:sz w:val="20"/>
                <w:szCs w:val="20"/>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pPr>
              <w:rPr>
                <w:rFonts w:ascii="黑体" w:hAnsi="宋体" w:eastAsia="黑体"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right"/>
              <w:rPr>
                <w:rFonts w:ascii="黑体" w:hAnsi="宋体" w:eastAsia="黑体" w:cs="宋体"/>
                <w:color w:val="000000"/>
                <w:sz w:val="20"/>
                <w:szCs w:val="20"/>
              </w:rPr>
            </w:pPr>
            <w:r>
              <w:rPr>
                <w:rFonts w:hint="eastAsia" w:ascii="黑体" w:eastAsia="黑体"/>
                <w:color w:val="000000"/>
                <w:sz w:val="20"/>
                <w:szCs w:val="20"/>
              </w:rPr>
              <w:t>201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黑体" w:hAnsi="宋体" w:eastAsia="黑体" w:cs="宋体"/>
                <w:color w:val="000000"/>
                <w:sz w:val="20"/>
                <w:szCs w:val="20"/>
              </w:rPr>
            </w:pPr>
            <w:r>
              <w:rPr>
                <w:rFonts w:hint="eastAsia" w:ascii="黑体" w:eastAsia="黑体"/>
                <w:color w:val="000000"/>
                <w:sz w:val="20"/>
                <w:szCs w:val="20"/>
              </w:rPr>
              <w:t>06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黑体" w:hAnsi="宋体" w:eastAsia="黑体" w:cs="宋体"/>
                <w:color w:val="000000"/>
                <w:sz w:val="20"/>
                <w:szCs w:val="20"/>
              </w:rPr>
            </w:pPr>
            <w:r>
              <w:rPr>
                <w:rFonts w:hint="eastAsia" w:ascii="黑体" w:eastAsia="黑体"/>
                <w:color w:val="000000"/>
                <w:sz w:val="20"/>
                <w:szCs w:val="20"/>
              </w:rPr>
              <w:t>01　</w:t>
            </w:r>
          </w:p>
        </w:tc>
        <w:tc>
          <w:tcPr>
            <w:tcW w:w="1843" w:type="dxa"/>
            <w:tcBorders>
              <w:top w:val="nil"/>
              <w:left w:val="nil"/>
              <w:bottom w:val="single" w:color="auto" w:sz="4" w:space="0"/>
              <w:right w:val="single" w:color="auto" w:sz="4" w:space="0"/>
            </w:tcBorders>
            <w:shd w:val="clear" w:color="auto" w:fill="auto"/>
            <w:vAlign w:val="center"/>
          </w:tcPr>
          <w:p>
            <w:pPr>
              <w:jc w:val="center"/>
              <w:rPr>
                <w:rFonts w:ascii="黑体" w:eastAsia="黑体"/>
                <w:color w:val="000000"/>
                <w:sz w:val="20"/>
                <w:szCs w:val="20"/>
              </w:rPr>
            </w:pPr>
          </w:p>
          <w:p>
            <w:pPr>
              <w:jc w:val="center"/>
              <w:rPr>
                <w:rFonts w:ascii="黑体" w:hAnsi="宋体" w:eastAsia="黑体" w:cs="宋体"/>
                <w:color w:val="000000"/>
                <w:sz w:val="20"/>
                <w:szCs w:val="20"/>
              </w:rPr>
            </w:pPr>
            <w:r>
              <w:rPr>
                <w:rFonts w:hint="eastAsia" w:ascii="黑体" w:eastAsia="黑体"/>
                <w:color w:val="000000"/>
                <w:sz w:val="20"/>
                <w:szCs w:val="20"/>
              </w:rPr>
              <w:t>行政运行　</w:t>
            </w:r>
          </w:p>
        </w:tc>
        <w:tc>
          <w:tcPr>
            <w:tcW w:w="1275" w:type="dxa"/>
            <w:tcBorders>
              <w:top w:val="nil"/>
              <w:left w:val="nil"/>
              <w:bottom w:val="single" w:color="auto" w:sz="4" w:space="0"/>
              <w:right w:val="single" w:color="auto" w:sz="4" w:space="0"/>
            </w:tcBorders>
            <w:shd w:val="clear" w:color="000000" w:fill="FFFFFF"/>
            <w:vAlign w:val="center"/>
          </w:tcPr>
          <w:p>
            <w:pPr>
              <w:jc w:val="center"/>
              <w:rPr>
                <w:rFonts w:ascii="黑体" w:hAnsi="宋体" w:eastAsia="黑体" w:cs="宋体"/>
                <w:color w:val="000000"/>
                <w:sz w:val="20"/>
                <w:szCs w:val="20"/>
              </w:rPr>
            </w:pPr>
            <w:r>
              <w:rPr>
                <w:rFonts w:hint="eastAsia" w:ascii="仿宋_GB2312" w:hAnsi="宋体" w:eastAsia="仿宋_GB2312" w:cs="宋体"/>
                <w:kern w:val="0"/>
                <w:sz w:val="18"/>
                <w:szCs w:val="18"/>
              </w:rPr>
              <w:t>248.56</w:t>
            </w:r>
          </w:p>
        </w:tc>
        <w:tc>
          <w:tcPr>
            <w:tcW w:w="1276" w:type="dxa"/>
            <w:tcBorders>
              <w:top w:val="nil"/>
              <w:left w:val="nil"/>
              <w:bottom w:val="single" w:color="auto" w:sz="4" w:space="0"/>
              <w:right w:val="single" w:color="auto" w:sz="4" w:space="0"/>
            </w:tcBorders>
            <w:shd w:val="clear" w:color="000000" w:fill="FFFFFF"/>
            <w:vAlign w:val="center"/>
          </w:tcPr>
          <w:p>
            <w:pPr>
              <w:jc w:val="center"/>
              <w:rPr>
                <w:rFonts w:ascii="黑体" w:hAnsi="宋体" w:eastAsia="黑体" w:cs="宋体"/>
                <w:color w:val="000000"/>
                <w:sz w:val="20"/>
                <w:szCs w:val="20"/>
              </w:rPr>
            </w:pPr>
            <w:r>
              <w:rPr>
                <w:rFonts w:hint="eastAsia" w:ascii="仿宋_GB2312" w:hAnsi="宋体" w:eastAsia="仿宋_GB2312" w:cs="宋体"/>
                <w:kern w:val="0"/>
                <w:sz w:val="18"/>
                <w:szCs w:val="18"/>
              </w:rPr>
              <w:t>248.56</w:t>
            </w:r>
          </w:p>
        </w:tc>
        <w:tc>
          <w:tcPr>
            <w:tcW w:w="425" w:type="dxa"/>
            <w:tcBorders>
              <w:top w:val="nil"/>
              <w:left w:val="nil"/>
              <w:bottom w:val="single" w:color="auto" w:sz="4" w:space="0"/>
              <w:right w:val="single" w:color="auto" w:sz="4" w:space="0"/>
            </w:tcBorders>
            <w:shd w:val="clear" w:color="000000" w:fill="FFFFFF"/>
            <w:vAlign w:val="center"/>
          </w:tcPr>
          <w:p>
            <w:pPr>
              <w:jc w:val="center"/>
              <w:rPr>
                <w:rFonts w:ascii="黑体" w:hAnsi="宋体" w:eastAsia="黑体" w:cs="宋体"/>
                <w:color w:val="000000"/>
                <w:sz w:val="20"/>
                <w:szCs w:val="20"/>
              </w:rPr>
            </w:pPr>
            <w:r>
              <w:rPr>
                <w:rFonts w:hint="eastAsia" w:ascii="黑体" w:eastAsia="黑体"/>
                <w:color w:val="000000"/>
                <w:sz w:val="20"/>
                <w:szCs w:val="20"/>
              </w:rPr>
              <w:t>　</w:t>
            </w:r>
          </w:p>
        </w:tc>
        <w:tc>
          <w:tcPr>
            <w:tcW w:w="426" w:type="dxa"/>
            <w:tcBorders>
              <w:top w:val="nil"/>
              <w:left w:val="nil"/>
              <w:bottom w:val="single" w:color="auto" w:sz="4" w:space="0"/>
              <w:right w:val="single" w:color="auto" w:sz="4" w:space="0"/>
            </w:tcBorders>
            <w:shd w:val="clear" w:color="000000" w:fill="FFFFFF"/>
            <w:vAlign w:val="center"/>
          </w:tcPr>
          <w:p>
            <w:pPr>
              <w:jc w:val="center"/>
              <w:rPr>
                <w:rFonts w:ascii="黑体" w:hAnsi="宋体" w:eastAsia="黑体" w:cs="宋体"/>
                <w:color w:val="000000"/>
                <w:sz w:val="20"/>
                <w:szCs w:val="20"/>
              </w:rPr>
            </w:pPr>
            <w:r>
              <w:rPr>
                <w:rFonts w:hint="eastAsia" w:ascii="黑体" w:eastAsia="黑体"/>
                <w:color w:val="000000"/>
                <w:sz w:val="20"/>
                <w:szCs w:val="20"/>
              </w:rPr>
              <w:t>　</w:t>
            </w:r>
          </w:p>
        </w:tc>
        <w:tc>
          <w:tcPr>
            <w:tcW w:w="425" w:type="dxa"/>
            <w:tcBorders>
              <w:top w:val="nil"/>
              <w:left w:val="nil"/>
              <w:bottom w:val="single" w:color="auto" w:sz="4" w:space="0"/>
              <w:right w:val="single" w:color="auto" w:sz="4" w:space="0"/>
            </w:tcBorders>
            <w:shd w:val="clear" w:color="000000" w:fill="FFFFFF"/>
            <w:vAlign w:val="center"/>
          </w:tcPr>
          <w:p>
            <w:pPr>
              <w:jc w:val="center"/>
              <w:rPr>
                <w:rFonts w:ascii="黑体" w:hAnsi="宋体" w:eastAsia="黑体" w:cs="宋体"/>
                <w:color w:val="000000"/>
                <w:sz w:val="20"/>
                <w:szCs w:val="20"/>
              </w:rPr>
            </w:pPr>
            <w:r>
              <w:rPr>
                <w:rFonts w:hint="eastAsia" w:ascii="黑体" w:eastAsia="黑体"/>
                <w:color w:val="000000"/>
                <w:sz w:val="20"/>
                <w:szCs w:val="20"/>
              </w:rPr>
              <w:t>　</w:t>
            </w:r>
          </w:p>
        </w:tc>
        <w:tc>
          <w:tcPr>
            <w:tcW w:w="567" w:type="dxa"/>
            <w:tcBorders>
              <w:top w:val="nil"/>
              <w:left w:val="nil"/>
              <w:bottom w:val="single" w:color="auto" w:sz="4" w:space="0"/>
              <w:right w:val="single" w:color="auto" w:sz="4" w:space="0"/>
            </w:tcBorders>
            <w:shd w:val="clear" w:color="000000" w:fill="FFFFFF"/>
            <w:vAlign w:val="center"/>
          </w:tcPr>
          <w:p>
            <w:pPr>
              <w:jc w:val="center"/>
              <w:rPr>
                <w:rFonts w:ascii="黑体" w:hAnsi="宋体" w:eastAsia="黑体" w:cs="宋体"/>
                <w:color w:val="000000"/>
                <w:sz w:val="20"/>
                <w:szCs w:val="20"/>
              </w:rPr>
            </w:pPr>
            <w:r>
              <w:rPr>
                <w:rFonts w:hint="eastAsia" w:ascii="黑体" w:eastAsia="黑体"/>
                <w:color w:val="000000"/>
                <w:sz w:val="20"/>
                <w:szCs w:val="20"/>
              </w:rPr>
              <w:t>　</w:t>
            </w:r>
          </w:p>
        </w:tc>
        <w:tc>
          <w:tcPr>
            <w:tcW w:w="425" w:type="dxa"/>
            <w:tcBorders>
              <w:top w:val="nil"/>
              <w:left w:val="nil"/>
              <w:bottom w:val="single" w:color="auto" w:sz="4" w:space="0"/>
              <w:right w:val="single" w:color="auto" w:sz="4" w:space="0"/>
            </w:tcBorders>
            <w:shd w:val="clear" w:color="000000" w:fill="FFFFFF"/>
            <w:vAlign w:val="center"/>
          </w:tcPr>
          <w:p>
            <w:pPr>
              <w:jc w:val="center"/>
              <w:rPr>
                <w:rFonts w:ascii="黑体" w:hAnsi="宋体" w:eastAsia="黑体" w:cs="宋体"/>
                <w:color w:val="000000"/>
                <w:sz w:val="20"/>
                <w:szCs w:val="20"/>
              </w:rPr>
            </w:pPr>
            <w:r>
              <w:rPr>
                <w:rFonts w:hint="eastAsia" w:ascii="黑体" w:eastAsia="黑体"/>
                <w:color w:val="000000"/>
                <w:sz w:val="20"/>
                <w:szCs w:val="20"/>
              </w:rPr>
              <w:t>　</w:t>
            </w:r>
          </w:p>
        </w:tc>
        <w:tc>
          <w:tcPr>
            <w:tcW w:w="709" w:type="dxa"/>
            <w:tcBorders>
              <w:top w:val="nil"/>
              <w:left w:val="nil"/>
              <w:bottom w:val="single" w:color="auto" w:sz="4" w:space="0"/>
              <w:right w:val="single" w:color="auto" w:sz="4" w:space="0"/>
            </w:tcBorders>
            <w:shd w:val="clear" w:color="000000" w:fill="FFFFFF"/>
            <w:vAlign w:val="center"/>
          </w:tcPr>
          <w:p>
            <w:pPr>
              <w:jc w:val="center"/>
              <w:rPr>
                <w:rFonts w:ascii="黑体" w:hAnsi="宋体" w:eastAsia="黑体" w:cs="宋体"/>
                <w:color w:val="000000"/>
                <w:sz w:val="20"/>
                <w:szCs w:val="20"/>
              </w:rPr>
            </w:pPr>
            <w:r>
              <w:rPr>
                <w:rFonts w:hint="eastAsia" w:ascii="黑体" w:eastAsia="黑体"/>
                <w:color w:val="000000"/>
                <w:sz w:val="20"/>
                <w:szCs w:val="20"/>
              </w:rPr>
              <w:t>　</w:t>
            </w:r>
          </w:p>
        </w:tc>
        <w:tc>
          <w:tcPr>
            <w:tcW w:w="709" w:type="dxa"/>
            <w:tcBorders>
              <w:top w:val="nil"/>
              <w:left w:val="nil"/>
              <w:bottom w:val="single" w:color="auto" w:sz="4" w:space="0"/>
              <w:right w:val="single" w:color="auto" w:sz="4" w:space="0"/>
            </w:tcBorders>
            <w:shd w:val="clear" w:color="000000" w:fill="FFFFFF"/>
            <w:vAlign w:val="center"/>
          </w:tcPr>
          <w:p>
            <w:pPr>
              <w:jc w:val="center"/>
              <w:rPr>
                <w:rFonts w:ascii="黑体" w:hAnsi="宋体" w:eastAsia="黑体" w:cs="宋体"/>
                <w:color w:val="000000"/>
                <w:sz w:val="20"/>
                <w:szCs w:val="20"/>
              </w:rPr>
            </w:pPr>
            <w:r>
              <w:rPr>
                <w:rFonts w:hint="eastAsia" w:ascii="黑体" w:eastAsia="黑体"/>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208　</w:t>
            </w:r>
          </w:p>
        </w:tc>
        <w:tc>
          <w:tcPr>
            <w:tcW w:w="426" w:type="dxa"/>
            <w:tcBorders>
              <w:top w:val="nil"/>
              <w:left w:val="nil"/>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05　</w:t>
            </w:r>
          </w:p>
        </w:tc>
        <w:tc>
          <w:tcPr>
            <w:tcW w:w="425" w:type="dxa"/>
            <w:tcBorders>
              <w:top w:val="nil"/>
              <w:left w:val="nil"/>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02　</w:t>
            </w:r>
          </w:p>
        </w:tc>
        <w:tc>
          <w:tcPr>
            <w:tcW w:w="1843"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事业单位离退休　</w:t>
            </w:r>
          </w:p>
        </w:tc>
        <w:tc>
          <w:tcPr>
            <w:tcW w:w="12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5.61　</w:t>
            </w:r>
          </w:p>
        </w:tc>
        <w:tc>
          <w:tcPr>
            <w:tcW w:w="127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5.61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210　</w:t>
            </w:r>
          </w:p>
        </w:tc>
        <w:tc>
          <w:tcPr>
            <w:tcW w:w="426" w:type="dxa"/>
            <w:tcBorders>
              <w:top w:val="nil"/>
              <w:left w:val="nil"/>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05　</w:t>
            </w:r>
          </w:p>
        </w:tc>
        <w:tc>
          <w:tcPr>
            <w:tcW w:w="425" w:type="dxa"/>
            <w:tcBorders>
              <w:top w:val="nil"/>
              <w:left w:val="nil"/>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01　</w:t>
            </w:r>
          </w:p>
        </w:tc>
        <w:tc>
          <w:tcPr>
            <w:tcW w:w="1843"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行政单位医疗</w:t>
            </w:r>
          </w:p>
        </w:tc>
        <w:tc>
          <w:tcPr>
            <w:tcW w:w="12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11.46　</w:t>
            </w:r>
          </w:p>
        </w:tc>
        <w:tc>
          <w:tcPr>
            <w:tcW w:w="127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11.46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210　</w:t>
            </w:r>
          </w:p>
        </w:tc>
        <w:tc>
          <w:tcPr>
            <w:tcW w:w="426" w:type="dxa"/>
            <w:tcBorders>
              <w:top w:val="nil"/>
              <w:left w:val="nil"/>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05　</w:t>
            </w:r>
          </w:p>
        </w:tc>
        <w:tc>
          <w:tcPr>
            <w:tcW w:w="425" w:type="dxa"/>
            <w:tcBorders>
              <w:top w:val="nil"/>
              <w:left w:val="nil"/>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03　</w:t>
            </w:r>
          </w:p>
        </w:tc>
        <w:tc>
          <w:tcPr>
            <w:tcW w:w="1843"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公务员医疗补助</w:t>
            </w:r>
          </w:p>
        </w:tc>
        <w:tc>
          <w:tcPr>
            <w:tcW w:w="12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8.91　</w:t>
            </w:r>
          </w:p>
        </w:tc>
        <w:tc>
          <w:tcPr>
            <w:tcW w:w="127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8.91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43"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12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黑体" w:hAnsi="宋体" w:eastAsia="黑体" w:cs="宋体"/>
                <w:kern w:val="0"/>
                <w:szCs w:val="21"/>
              </w:rPr>
              <w:t>274.56</w:t>
            </w:r>
            <w:r>
              <w:rPr>
                <w:rFonts w:hint="eastAsia" w:ascii="黑体" w:eastAsia="黑体"/>
                <w:color w:val="000000"/>
                <w:sz w:val="20"/>
                <w:szCs w:val="20"/>
              </w:rPr>
              <w:t>　</w:t>
            </w:r>
            <w:r>
              <w:rPr>
                <w:rFonts w:hint="eastAsia" w:ascii="仿宋_GB2312" w:eastAsia="仿宋_GB2312"/>
                <w:color w:val="000000"/>
                <w:sz w:val="20"/>
                <w:szCs w:val="20"/>
              </w:rPr>
              <w:t>　</w:t>
            </w:r>
          </w:p>
        </w:tc>
        <w:tc>
          <w:tcPr>
            <w:tcW w:w="127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黑体" w:hAnsi="宋体" w:eastAsia="黑体" w:cs="宋体"/>
                <w:kern w:val="0"/>
                <w:szCs w:val="21"/>
              </w:rPr>
              <w:t>274.56</w:t>
            </w:r>
            <w:r>
              <w:rPr>
                <w:rFonts w:hint="eastAsia" w:ascii="黑体" w:eastAsia="黑体"/>
                <w:color w:val="000000"/>
                <w:sz w:val="20"/>
                <w:szCs w:val="20"/>
              </w:rPr>
              <w:t>　</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28"/>
        </w:rPr>
      </w:pPr>
    </w:p>
    <w:p>
      <w:pPr>
        <w:widowControl/>
        <w:outlineLvl w:val="1"/>
        <w:rPr>
          <w:rFonts w:ascii="仿宋_GB2312" w:hAnsi="宋体" w:eastAsia="仿宋_GB2312"/>
          <w:b/>
          <w:kern w:val="0"/>
          <w:sz w:val="28"/>
          <w:szCs w:val="28"/>
        </w:rPr>
      </w:pPr>
    </w:p>
    <w:p>
      <w:pPr>
        <w:widowControl/>
        <w:outlineLvl w:val="1"/>
        <w:rPr>
          <w:rFonts w:ascii="仿宋_GB2312" w:hAnsi="宋体" w:eastAsia="仿宋_GB2312"/>
          <w:b/>
          <w:kern w:val="0"/>
          <w:sz w:val="28"/>
          <w:szCs w:val="28"/>
        </w:rPr>
      </w:pPr>
    </w:p>
    <w:p>
      <w:pPr>
        <w:widowControl/>
        <w:outlineLvl w:val="1"/>
        <w:rPr>
          <w:rFonts w:ascii="仿宋_GB2312" w:hAnsi="宋体" w:eastAsia="仿宋_GB2312"/>
          <w:b/>
          <w:kern w:val="0"/>
          <w:sz w:val="28"/>
          <w:szCs w:val="28"/>
        </w:rPr>
      </w:pPr>
    </w:p>
    <w:p>
      <w:pPr>
        <w:widowControl/>
        <w:outlineLvl w:val="1"/>
        <w:rPr>
          <w:rFonts w:ascii="仿宋_GB2312" w:hAnsi="宋体" w:eastAsia="仿宋_GB2312"/>
          <w:b/>
          <w:kern w:val="0"/>
          <w:sz w:val="28"/>
          <w:szCs w:val="28"/>
        </w:rPr>
      </w:pPr>
    </w:p>
    <w:p>
      <w:pPr>
        <w:widowControl/>
        <w:outlineLvl w:val="1"/>
        <w:rPr>
          <w:rFonts w:ascii="仿宋_GB2312" w:hAnsi="宋体" w:eastAsia="仿宋_GB2312"/>
          <w:b/>
          <w:kern w:val="0"/>
          <w:sz w:val="28"/>
          <w:szCs w:val="28"/>
        </w:rPr>
      </w:pPr>
    </w:p>
    <w:p>
      <w:pPr>
        <w:widowControl/>
        <w:outlineLvl w:val="1"/>
        <w:rPr>
          <w:rFonts w:ascii="仿宋_GB2312" w:hAnsi="宋体" w:eastAsia="仿宋_GB2312"/>
          <w:b/>
          <w:kern w:val="0"/>
          <w:sz w:val="28"/>
          <w:szCs w:val="28"/>
        </w:rPr>
      </w:pPr>
    </w:p>
    <w:p>
      <w:pPr>
        <w:widowControl/>
        <w:outlineLvl w:val="1"/>
        <w:rPr>
          <w:rFonts w:ascii="仿宋_GB2312" w:hAnsi="宋体" w:eastAsia="仿宋_GB2312"/>
          <w:b/>
          <w:kern w:val="0"/>
          <w:sz w:val="28"/>
          <w:szCs w:val="28"/>
        </w:rPr>
      </w:pPr>
    </w:p>
    <w:p>
      <w:pPr>
        <w:widowControl/>
        <w:outlineLvl w:val="1"/>
        <w:rPr>
          <w:rFonts w:ascii="仿宋_GB2312" w:hAnsi="宋体" w:eastAsia="仿宋_GB2312"/>
          <w:b/>
          <w:kern w:val="0"/>
          <w:sz w:val="28"/>
          <w:szCs w:val="28"/>
        </w:rPr>
      </w:pPr>
    </w:p>
    <w:p>
      <w:pPr>
        <w:widowControl/>
        <w:outlineLvl w:val="1"/>
        <w:rPr>
          <w:rFonts w:ascii="仿宋_GB2312" w:hAnsi="宋体" w:eastAsia="仿宋_GB2312"/>
          <w:b/>
          <w:kern w:val="0"/>
          <w:sz w:val="28"/>
          <w:szCs w:val="28"/>
        </w:rPr>
      </w:pPr>
      <w:r>
        <w:rPr>
          <w:rFonts w:hint="eastAsia" w:ascii="仿宋_GB2312" w:hAnsi="宋体" w:eastAsia="仿宋_GB2312"/>
          <w:b/>
          <w:kern w:val="0"/>
          <w:sz w:val="28"/>
          <w:szCs w:val="28"/>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编制部门：吉木萨尔县国库支付中心                         单位： 万元</w:t>
      </w:r>
    </w:p>
    <w:tbl>
      <w:tblPr>
        <w:tblStyle w:val="6"/>
        <w:tblW w:w="9229" w:type="dxa"/>
        <w:tblInd w:w="93" w:type="dxa"/>
        <w:tblLayout w:type="fixed"/>
        <w:tblCellMar>
          <w:top w:w="0" w:type="dxa"/>
          <w:left w:w="108" w:type="dxa"/>
          <w:bottom w:w="0" w:type="dxa"/>
          <w:right w:w="108" w:type="dxa"/>
        </w:tblCellMar>
      </w:tblPr>
      <w:tblGrid>
        <w:gridCol w:w="565"/>
        <w:gridCol w:w="443"/>
        <w:gridCol w:w="425"/>
        <w:gridCol w:w="2693"/>
        <w:gridCol w:w="1534"/>
        <w:gridCol w:w="1856"/>
        <w:gridCol w:w="1713"/>
      </w:tblGrid>
      <w:tr>
        <w:tblPrEx>
          <w:tblLayout w:type="fixed"/>
          <w:tblCellMar>
            <w:top w:w="0" w:type="dxa"/>
            <w:left w:w="108" w:type="dxa"/>
            <w:bottom w:w="0" w:type="dxa"/>
            <w:right w:w="108" w:type="dxa"/>
          </w:tblCellMar>
        </w:tblPrEx>
        <w:trPr>
          <w:trHeight w:val="345" w:hRule="atLeast"/>
        </w:trPr>
        <w:tc>
          <w:tcPr>
            <w:tcW w:w="4126"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103"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433"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功能分类科目编码</w:t>
            </w:r>
          </w:p>
        </w:tc>
        <w:tc>
          <w:tcPr>
            <w:tcW w:w="2693" w:type="dxa"/>
            <w:vMerge w:val="restart"/>
            <w:tcBorders>
              <w:top w:val="nil"/>
              <w:left w:val="single" w:color="auto" w:sz="4" w:space="0"/>
              <w:bottom w:val="single" w:color="000000" w:sz="4" w:space="0"/>
              <w:right w:val="single" w:color="auto" w:sz="4" w:space="0"/>
            </w:tcBorders>
            <w:vAlign w:val="center"/>
          </w:tcPr>
          <w:p>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功能分类科目名称</w:t>
            </w:r>
          </w:p>
        </w:tc>
        <w:tc>
          <w:tcPr>
            <w:tcW w:w="1534" w:type="dxa"/>
            <w:vMerge w:val="restart"/>
            <w:tcBorders>
              <w:top w:val="nil"/>
              <w:left w:val="single" w:color="auto" w:sz="4" w:space="0"/>
              <w:bottom w:val="single" w:color="000000" w:sz="4" w:space="0"/>
              <w:right w:val="single" w:color="auto" w:sz="4" w:space="0"/>
            </w:tcBorders>
            <w:vAlign w:val="center"/>
          </w:tcPr>
          <w:p>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基本支出</w:t>
            </w:r>
          </w:p>
        </w:tc>
        <w:tc>
          <w:tcPr>
            <w:tcW w:w="1713" w:type="dxa"/>
            <w:vMerge w:val="restart"/>
            <w:tcBorders>
              <w:top w:val="nil"/>
              <w:left w:val="single" w:color="auto" w:sz="4" w:space="0"/>
              <w:bottom w:val="single" w:color="000000" w:sz="4" w:space="0"/>
              <w:right w:val="single" w:color="auto" w:sz="4" w:space="0"/>
            </w:tcBorders>
            <w:vAlign w:val="center"/>
          </w:tcPr>
          <w:p>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65" w:type="dxa"/>
            <w:tcBorders>
              <w:top w:val="nil"/>
              <w:left w:val="single" w:color="auto" w:sz="4" w:space="0"/>
              <w:bottom w:val="single" w:color="auto" w:sz="4" w:space="0"/>
              <w:right w:val="single" w:color="auto" w:sz="4" w:space="0"/>
            </w:tcBorders>
            <w:vAlign w:val="center"/>
          </w:tcPr>
          <w:p>
            <w:pPr>
              <w:widowControl/>
              <w:jc w:val="center"/>
              <w:rPr>
                <w:rFonts w:ascii="黑体" w:hAnsi="宋体" w:eastAsia="黑体" w:cs="宋体"/>
                <w:b/>
                <w:bCs/>
                <w:color w:val="000000"/>
                <w:kern w:val="0"/>
                <w:sz w:val="16"/>
                <w:szCs w:val="16"/>
              </w:rPr>
            </w:pPr>
            <w:r>
              <w:rPr>
                <w:rFonts w:hint="eastAsia" w:ascii="黑体" w:hAnsi="宋体" w:eastAsia="黑体" w:cs="宋体"/>
                <w:b/>
                <w:bCs/>
                <w:color w:val="000000"/>
                <w:kern w:val="0"/>
                <w:sz w:val="16"/>
                <w:szCs w:val="16"/>
              </w:rPr>
              <w:t>类</w:t>
            </w:r>
          </w:p>
        </w:tc>
        <w:tc>
          <w:tcPr>
            <w:tcW w:w="443" w:type="dxa"/>
            <w:tcBorders>
              <w:top w:val="nil"/>
              <w:left w:val="nil"/>
              <w:bottom w:val="single" w:color="auto" w:sz="4" w:space="0"/>
              <w:right w:val="single" w:color="auto" w:sz="4" w:space="0"/>
            </w:tcBorders>
            <w:vAlign w:val="center"/>
          </w:tcPr>
          <w:p>
            <w:pPr>
              <w:widowControl/>
              <w:jc w:val="center"/>
              <w:rPr>
                <w:rFonts w:ascii="黑体" w:hAnsi="宋体" w:eastAsia="黑体" w:cs="宋体"/>
                <w:b/>
                <w:bCs/>
                <w:color w:val="000000"/>
                <w:kern w:val="0"/>
                <w:sz w:val="16"/>
                <w:szCs w:val="16"/>
              </w:rPr>
            </w:pPr>
            <w:r>
              <w:rPr>
                <w:rFonts w:hint="eastAsia" w:ascii="黑体" w:hAnsi="宋体" w:eastAsia="黑体" w:cs="宋体"/>
                <w:b/>
                <w:bCs/>
                <w:color w:val="000000"/>
                <w:kern w:val="0"/>
                <w:sz w:val="16"/>
                <w:szCs w:val="16"/>
              </w:rPr>
              <w:t>款</w:t>
            </w:r>
          </w:p>
        </w:tc>
        <w:tc>
          <w:tcPr>
            <w:tcW w:w="425" w:type="dxa"/>
            <w:tcBorders>
              <w:top w:val="nil"/>
              <w:left w:val="nil"/>
              <w:bottom w:val="single" w:color="auto" w:sz="4" w:space="0"/>
              <w:right w:val="single" w:color="auto" w:sz="4" w:space="0"/>
            </w:tcBorders>
            <w:vAlign w:val="center"/>
          </w:tcPr>
          <w:p>
            <w:pPr>
              <w:widowControl/>
              <w:jc w:val="center"/>
              <w:rPr>
                <w:rFonts w:ascii="黑体" w:hAnsi="宋体" w:eastAsia="黑体" w:cs="宋体"/>
                <w:b/>
                <w:bCs/>
                <w:color w:val="000000"/>
                <w:kern w:val="0"/>
                <w:sz w:val="16"/>
                <w:szCs w:val="16"/>
              </w:rPr>
            </w:pPr>
            <w:r>
              <w:rPr>
                <w:rFonts w:hint="eastAsia" w:ascii="黑体" w:hAnsi="宋体" w:eastAsia="黑体" w:cs="宋体"/>
                <w:b/>
                <w:bCs/>
                <w:color w:val="000000"/>
                <w:kern w:val="0"/>
                <w:sz w:val="16"/>
                <w:szCs w:val="16"/>
              </w:rPr>
              <w:t>项</w:t>
            </w:r>
          </w:p>
        </w:tc>
        <w:tc>
          <w:tcPr>
            <w:tcW w:w="2693" w:type="dxa"/>
            <w:vMerge w:val="continue"/>
            <w:tcBorders>
              <w:top w:val="nil"/>
              <w:left w:val="single" w:color="auto" w:sz="4" w:space="0"/>
              <w:bottom w:val="single" w:color="000000" w:sz="4" w:space="0"/>
              <w:right w:val="single" w:color="auto" w:sz="4" w:space="0"/>
            </w:tcBorders>
            <w:vAlign w:val="center"/>
          </w:tcPr>
          <w:p>
            <w:pPr>
              <w:widowControl/>
              <w:jc w:val="left"/>
              <w:rPr>
                <w:rFonts w:ascii="黑体" w:hAnsi="宋体" w:eastAsia="黑体" w:cs="宋体"/>
                <w:b/>
                <w:bCs/>
                <w:color w:val="000000"/>
                <w:kern w:val="0"/>
                <w:sz w:val="20"/>
                <w:szCs w:val="20"/>
              </w:rPr>
            </w:pPr>
          </w:p>
        </w:tc>
        <w:tc>
          <w:tcPr>
            <w:tcW w:w="1534" w:type="dxa"/>
            <w:vMerge w:val="continue"/>
            <w:tcBorders>
              <w:top w:val="nil"/>
              <w:left w:val="single" w:color="auto" w:sz="4" w:space="0"/>
              <w:bottom w:val="single" w:color="000000" w:sz="4" w:space="0"/>
              <w:right w:val="single" w:color="auto" w:sz="4" w:space="0"/>
            </w:tcBorders>
            <w:vAlign w:val="center"/>
          </w:tcPr>
          <w:p>
            <w:pPr>
              <w:widowControl/>
              <w:jc w:val="left"/>
              <w:rPr>
                <w:rFonts w:ascii="黑体" w:hAnsi="宋体" w:eastAsia="黑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黑体" w:hAnsi="宋体" w:eastAsia="黑体" w:cs="宋体"/>
                <w:b/>
                <w:bCs/>
                <w:color w:val="000000"/>
                <w:kern w:val="0"/>
                <w:sz w:val="20"/>
                <w:szCs w:val="20"/>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黑体" w:hAnsi="宋体" w:eastAsia="黑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201　</w:t>
            </w:r>
          </w:p>
        </w:tc>
        <w:tc>
          <w:tcPr>
            <w:tcW w:w="443" w:type="dxa"/>
            <w:tcBorders>
              <w:top w:val="nil"/>
              <w:left w:val="nil"/>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06　</w:t>
            </w:r>
          </w:p>
        </w:tc>
        <w:tc>
          <w:tcPr>
            <w:tcW w:w="425" w:type="dxa"/>
            <w:tcBorders>
              <w:top w:val="nil"/>
              <w:left w:val="nil"/>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01　</w:t>
            </w:r>
          </w:p>
        </w:tc>
        <w:tc>
          <w:tcPr>
            <w:tcW w:w="2693" w:type="dxa"/>
            <w:tcBorders>
              <w:top w:val="nil"/>
              <w:left w:val="nil"/>
              <w:bottom w:val="single" w:color="auto" w:sz="4" w:space="0"/>
              <w:right w:val="single" w:color="auto" w:sz="4" w:space="0"/>
            </w:tcBorders>
            <w:vAlign w:val="center"/>
          </w:tcPr>
          <w:p>
            <w:pPr>
              <w:jc w:val="center"/>
              <w:rPr>
                <w:rFonts w:ascii="黑体" w:eastAsia="黑体"/>
                <w:color w:val="000000"/>
                <w:sz w:val="20"/>
                <w:szCs w:val="20"/>
              </w:rPr>
            </w:pPr>
          </w:p>
          <w:p>
            <w:pPr>
              <w:jc w:val="center"/>
              <w:rPr>
                <w:rFonts w:ascii="黑体" w:hAnsi="宋体" w:eastAsia="黑体" w:cs="宋体"/>
                <w:color w:val="000000"/>
                <w:sz w:val="20"/>
                <w:szCs w:val="20"/>
              </w:rPr>
            </w:pPr>
            <w:r>
              <w:rPr>
                <w:rFonts w:hint="eastAsia" w:ascii="黑体" w:eastAsia="黑体"/>
                <w:color w:val="000000"/>
                <w:sz w:val="20"/>
                <w:szCs w:val="20"/>
              </w:rPr>
              <w:t>行政运行　</w:t>
            </w:r>
          </w:p>
        </w:tc>
        <w:tc>
          <w:tcPr>
            <w:tcW w:w="1534" w:type="dxa"/>
            <w:tcBorders>
              <w:top w:val="nil"/>
              <w:left w:val="nil"/>
              <w:bottom w:val="single" w:color="auto" w:sz="4" w:space="0"/>
              <w:right w:val="single" w:color="auto" w:sz="4" w:space="0"/>
            </w:tcBorders>
            <w:vAlign w:val="center"/>
          </w:tcPr>
          <w:p>
            <w:pPr>
              <w:jc w:val="center"/>
              <w:rPr>
                <w:rFonts w:ascii="黑体" w:hAnsi="宋体" w:eastAsia="黑体" w:cs="宋体"/>
                <w:color w:val="000000"/>
                <w:sz w:val="20"/>
                <w:szCs w:val="20"/>
              </w:rPr>
            </w:pPr>
            <w:r>
              <w:rPr>
                <w:rFonts w:hint="eastAsia" w:ascii="仿宋_GB2312" w:hAnsi="宋体" w:eastAsia="仿宋_GB2312" w:cs="宋体"/>
                <w:kern w:val="0"/>
                <w:sz w:val="18"/>
                <w:szCs w:val="18"/>
              </w:rPr>
              <w:t>248.56</w:t>
            </w:r>
          </w:p>
        </w:tc>
        <w:tc>
          <w:tcPr>
            <w:tcW w:w="1856" w:type="dxa"/>
            <w:tcBorders>
              <w:top w:val="nil"/>
              <w:left w:val="nil"/>
              <w:bottom w:val="single" w:color="auto" w:sz="4" w:space="0"/>
              <w:right w:val="single" w:color="auto" w:sz="4" w:space="0"/>
            </w:tcBorders>
            <w:vAlign w:val="center"/>
          </w:tcPr>
          <w:p>
            <w:pPr>
              <w:jc w:val="center"/>
              <w:rPr>
                <w:rFonts w:ascii="黑体" w:hAnsi="宋体" w:eastAsia="黑体" w:cs="宋体"/>
                <w:color w:val="000000"/>
                <w:sz w:val="20"/>
                <w:szCs w:val="20"/>
              </w:rPr>
            </w:pPr>
            <w:r>
              <w:rPr>
                <w:rFonts w:hint="eastAsia" w:ascii="仿宋_GB2312" w:hAnsi="宋体" w:eastAsia="仿宋_GB2312" w:cs="宋体"/>
                <w:kern w:val="0"/>
                <w:sz w:val="18"/>
                <w:szCs w:val="18"/>
              </w:rPr>
              <w:t>248.56</w:t>
            </w:r>
          </w:p>
        </w:tc>
        <w:tc>
          <w:tcPr>
            <w:tcW w:w="1713" w:type="dxa"/>
            <w:tcBorders>
              <w:top w:val="nil"/>
              <w:left w:val="nil"/>
              <w:bottom w:val="single" w:color="auto" w:sz="4" w:space="0"/>
              <w:right w:val="single" w:color="auto" w:sz="4" w:space="0"/>
            </w:tcBorders>
            <w:vAlign w:val="center"/>
          </w:tcPr>
          <w:p>
            <w:pPr>
              <w:widowControl/>
              <w:jc w:val="center"/>
              <w:rPr>
                <w:rFonts w:ascii="黑体" w:hAnsi="宋体" w:eastAsia="黑体" w:cs="宋体"/>
                <w:b/>
                <w:bCs/>
                <w:color w:val="000000"/>
                <w:kern w:val="0"/>
                <w:sz w:val="22"/>
                <w:szCs w:val="22"/>
              </w:rPr>
            </w:pPr>
            <w:r>
              <w:rPr>
                <w:rFonts w:hint="eastAsia" w:ascii="黑体" w:hAnsi="宋体" w:eastAsia="黑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208　</w:t>
            </w:r>
          </w:p>
        </w:tc>
        <w:tc>
          <w:tcPr>
            <w:tcW w:w="443" w:type="dxa"/>
            <w:tcBorders>
              <w:top w:val="nil"/>
              <w:left w:val="nil"/>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05　</w:t>
            </w:r>
          </w:p>
        </w:tc>
        <w:tc>
          <w:tcPr>
            <w:tcW w:w="425" w:type="dxa"/>
            <w:tcBorders>
              <w:top w:val="nil"/>
              <w:left w:val="nil"/>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02　</w:t>
            </w:r>
          </w:p>
        </w:tc>
        <w:tc>
          <w:tcPr>
            <w:tcW w:w="2693"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事业单位离退休　</w:t>
            </w:r>
          </w:p>
        </w:tc>
        <w:tc>
          <w:tcPr>
            <w:tcW w:w="15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5.61　</w:t>
            </w:r>
          </w:p>
        </w:tc>
        <w:tc>
          <w:tcPr>
            <w:tcW w:w="18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5.61　</w:t>
            </w:r>
          </w:p>
        </w:tc>
        <w:tc>
          <w:tcPr>
            <w:tcW w:w="1713" w:type="dxa"/>
            <w:tcBorders>
              <w:top w:val="nil"/>
              <w:left w:val="nil"/>
              <w:bottom w:val="single" w:color="auto" w:sz="4" w:space="0"/>
              <w:right w:val="single" w:color="auto" w:sz="4" w:space="0"/>
            </w:tcBorders>
            <w:vAlign w:val="center"/>
          </w:tcPr>
          <w:p>
            <w:pPr>
              <w:widowControl/>
              <w:jc w:val="center"/>
              <w:rPr>
                <w:rFonts w:ascii="黑体" w:hAnsi="宋体" w:eastAsia="黑体" w:cs="宋体"/>
                <w:b/>
                <w:bCs/>
                <w:color w:val="000000"/>
                <w:kern w:val="0"/>
                <w:sz w:val="22"/>
                <w:szCs w:val="22"/>
              </w:rPr>
            </w:pPr>
            <w:r>
              <w:rPr>
                <w:rFonts w:hint="eastAsia" w:ascii="黑体" w:hAnsi="宋体" w:eastAsia="黑体" w:cs="宋体"/>
                <w:b/>
                <w:bCs/>
                <w:color w:val="000000"/>
                <w:kern w:val="0"/>
                <w:sz w:val="22"/>
                <w:szCs w:val="22"/>
              </w:rPr>
              <w:t>　</w:t>
            </w:r>
          </w:p>
        </w:tc>
      </w:tr>
      <w:tr>
        <w:tblPrEx>
          <w:tblLayout w:type="fixed"/>
        </w:tblPrEx>
        <w:trPr>
          <w:trHeight w:val="405" w:hRule="atLeast"/>
        </w:trPr>
        <w:tc>
          <w:tcPr>
            <w:tcW w:w="565" w:type="dxa"/>
            <w:tcBorders>
              <w:top w:val="nil"/>
              <w:left w:val="single" w:color="auto" w:sz="4" w:space="0"/>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210　</w:t>
            </w:r>
          </w:p>
        </w:tc>
        <w:tc>
          <w:tcPr>
            <w:tcW w:w="443" w:type="dxa"/>
            <w:tcBorders>
              <w:top w:val="nil"/>
              <w:left w:val="nil"/>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05　</w:t>
            </w:r>
          </w:p>
        </w:tc>
        <w:tc>
          <w:tcPr>
            <w:tcW w:w="425" w:type="dxa"/>
            <w:tcBorders>
              <w:top w:val="nil"/>
              <w:left w:val="nil"/>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01　</w:t>
            </w:r>
          </w:p>
        </w:tc>
        <w:tc>
          <w:tcPr>
            <w:tcW w:w="2693"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行政单位医疗</w:t>
            </w:r>
          </w:p>
        </w:tc>
        <w:tc>
          <w:tcPr>
            <w:tcW w:w="15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11.46　</w:t>
            </w:r>
          </w:p>
        </w:tc>
        <w:tc>
          <w:tcPr>
            <w:tcW w:w="18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11.46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210　</w:t>
            </w:r>
          </w:p>
        </w:tc>
        <w:tc>
          <w:tcPr>
            <w:tcW w:w="443" w:type="dxa"/>
            <w:tcBorders>
              <w:top w:val="nil"/>
              <w:left w:val="nil"/>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05　</w:t>
            </w:r>
          </w:p>
        </w:tc>
        <w:tc>
          <w:tcPr>
            <w:tcW w:w="425" w:type="dxa"/>
            <w:tcBorders>
              <w:top w:val="nil"/>
              <w:left w:val="nil"/>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03　</w:t>
            </w:r>
          </w:p>
        </w:tc>
        <w:tc>
          <w:tcPr>
            <w:tcW w:w="2693"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公务员医疗补助</w:t>
            </w:r>
          </w:p>
        </w:tc>
        <w:tc>
          <w:tcPr>
            <w:tcW w:w="15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8.91　</w:t>
            </w:r>
          </w:p>
        </w:tc>
        <w:tc>
          <w:tcPr>
            <w:tcW w:w="18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8.91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693"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4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2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69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85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4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2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69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5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r>
              <w:rPr>
                <w:rFonts w:ascii="黑体" w:hAnsi="宋体" w:eastAsia="黑体" w:cs="宋体"/>
                <w:kern w:val="0"/>
                <w:szCs w:val="21"/>
              </w:rPr>
              <w:t>274.56</w:t>
            </w:r>
            <w:r>
              <w:rPr>
                <w:rFonts w:hint="eastAsia" w:ascii="黑体" w:eastAsia="黑体"/>
                <w:color w:val="000000"/>
                <w:sz w:val="20"/>
                <w:szCs w:val="20"/>
              </w:rPr>
              <w:t>　</w:t>
            </w:r>
          </w:p>
        </w:tc>
        <w:tc>
          <w:tcPr>
            <w:tcW w:w="185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r>
              <w:rPr>
                <w:rFonts w:ascii="黑体" w:hAnsi="宋体" w:eastAsia="黑体" w:cs="宋体"/>
                <w:kern w:val="0"/>
                <w:szCs w:val="21"/>
              </w:rPr>
              <w:t>274.56</w:t>
            </w:r>
          </w:p>
        </w:tc>
        <w:tc>
          <w:tcPr>
            <w:tcW w:w="171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spacing w:beforeLines="50"/>
        <w:outlineLvl w:val="1"/>
      </w:pPr>
    </w:p>
    <w:p>
      <w:pPr>
        <w:widowControl/>
        <w:spacing w:beforeLines="50"/>
        <w:outlineLvl w:val="1"/>
      </w:pPr>
    </w:p>
    <w:p>
      <w:pPr>
        <w:widowControl/>
        <w:spacing w:beforeLines="50"/>
        <w:outlineLvl w:val="1"/>
      </w:pPr>
    </w:p>
    <w:p>
      <w:pPr>
        <w:widowControl/>
        <w:spacing w:beforeLines="50"/>
        <w:outlineLvl w:val="1"/>
      </w:pPr>
    </w:p>
    <w:p>
      <w:pPr>
        <w:widowControl/>
        <w:spacing w:beforeLines="50"/>
        <w:outlineLvl w:val="1"/>
      </w:pPr>
    </w:p>
    <w:p>
      <w:pPr>
        <w:widowControl/>
        <w:spacing w:beforeLines="50"/>
        <w:outlineLvl w:val="1"/>
      </w:pPr>
    </w:p>
    <w:p>
      <w:pPr>
        <w:widowControl/>
        <w:spacing w:beforeLines="50"/>
        <w:outlineLvl w:val="1"/>
      </w:pPr>
    </w:p>
    <w:p>
      <w:pPr>
        <w:widowControl/>
        <w:spacing w:beforeLines="50"/>
        <w:outlineLvl w:val="1"/>
      </w:pPr>
    </w:p>
    <w:p>
      <w:pPr>
        <w:widowControl/>
        <w:spacing w:beforeLines="50"/>
        <w:outlineLvl w:val="1"/>
        <w:rPr>
          <w:rFonts w:ascii="仿宋_GB2312" w:hAnsi="宋体" w:eastAsia="仿宋_GB2312"/>
          <w:b/>
          <w:kern w:val="0"/>
          <w:sz w:val="32"/>
          <w:szCs w:val="32"/>
        </w:rPr>
      </w:pPr>
    </w:p>
    <w:p>
      <w:pPr>
        <w:widowControl/>
        <w:spacing w:beforeLines="50"/>
        <w:outlineLvl w:val="1"/>
        <w:rPr>
          <w:rFonts w:ascii="仿宋_GB2312" w:hAnsi="宋体" w:eastAsia="仿宋_GB2312"/>
          <w:b/>
          <w:kern w:val="0"/>
          <w:sz w:val="32"/>
          <w:szCs w:val="32"/>
        </w:rPr>
      </w:pPr>
    </w:p>
    <w:p>
      <w:pPr>
        <w:widowControl/>
        <w:spacing w:beforeLines="50"/>
        <w:outlineLvl w:val="1"/>
        <w:rPr>
          <w:rFonts w:ascii="仿宋_GB2312" w:hAnsi="宋体" w:eastAsia="仿宋_GB2312"/>
          <w:b/>
          <w:kern w:val="0"/>
          <w:sz w:val="32"/>
          <w:szCs w:val="32"/>
        </w:rPr>
      </w:pP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w:t>
      </w:r>
      <w:r>
        <w:rPr>
          <w:rFonts w:hint="eastAsia" w:ascii="仿宋_GB2312" w:hAnsi="宋体" w:eastAsia="仿宋_GB2312"/>
          <w:kern w:val="0"/>
          <w:sz w:val="24"/>
        </w:rPr>
        <w:t>吉木萨尔县国库支付中心</w:t>
      </w:r>
      <w:r>
        <w:rPr>
          <w:rFonts w:hint="eastAsia" w:ascii="仿宋_GB2312" w:hAnsi="宋体" w:eastAsia="仿宋_GB2312"/>
          <w:kern w:val="0"/>
          <w:sz w:val="28"/>
          <w:szCs w:val="28"/>
        </w:rPr>
        <w:t xml:space="preserve">                 单位： 万元</w:t>
      </w:r>
    </w:p>
    <w:tbl>
      <w:tblPr>
        <w:tblStyle w:val="6"/>
        <w:tblW w:w="9229" w:type="dxa"/>
        <w:tblInd w:w="93" w:type="dxa"/>
        <w:tblLayout w:type="fixed"/>
        <w:tblCellMar>
          <w:top w:w="0" w:type="dxa"/>
          <w:left w:w="108" w:type="dxa"/>
          <w:bottom w:w="0" w:type="dxa"/>
          <w:right w:w="108" w:type="dxa"/>
        </w:tblCellMar>
      </w:tblPr>
      <w:tblGrid>
        <w:gridCol w:w="1620"/>
        <w:gridCol w:w="1372"/>
        <w:gridCol w:w="2108"/>
        <w:gridCol w:w="1294"/>
        <w:gridCol w:w="1418"/>
        <w:gridCol w:w="1417"/>
      </w:tblGrid>
      <w:tr>
        <w:tblPrEx>
          <w:tblLayout w:type="fixed"/>
          <w:tblCellMar>
            <w:top w:w="0" w:type="dxa"/>
            <w:left w:w="108" w:type="dxa"/>
            <w:bottom w:w="0" w:type="dxa"/>
            <w:right w:w="108" w:type="dxa"/>
          </w:tblCellMar>
        </w:tblPrEx>
        <w:trPr>
          <w:trHeight w:val="285" w:hRule="atLeast"/>
        </w:trPr>
        <w:tc>
          <w:tcPr>
            <w:tcW w:w="299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黑体" w:hAnsi="宋体" w:eastAsia="黑体" w:cs="宋体"/>
                <w:b/>
                <w:bCs/>
                <w:kern w:val="0"/>
                <w:szCs w:val="21"/>
              </w:rPr>
            </w:pPr>
            <w:r>
              <w:rPr>
                <w:rFonts w:hint="eastAsia" w:ascii="黑体" w:hAnsi="宋体" w:eastAsia="黑体" w:cs="宋体"/>
                <w:b/>
                <w:bCs/>
                <w:kern w:val="0"/>
                <w:szCs w:val="21"/>
              </w:rPr>
              <w:t>财政拨款收入</w:t>
            </w:r>
          </w:p>
        </w:tc>
        <w:tc>
          <w:tcPr>
            <w:tcW w:w="6237" w:type="dxa"/>
            <w:gridSpan w:val="4"/>
            <w:tcBorders>
              <w:top w:val="single" w:color="auto" w:sz="4" w:space="0"/>
              <w:left w:val="nil"/>
              <w:bottom w:val="single" w:color="auto" w:sz="4" w:space="0"/>
              <w:right w:val="single" w:color="000000" w:sz="4" w:space="0"/>
            </w:tcBorders>
            <w:vAlign w:val="center"/>
          </w:tcPr>
          <w:p>
            <w:pPr>
              <w:widowControl/>
              <w:jc w:val="center"/>
              <w:rPr>
                <w:rFonts w:ascii="黑体" w:hAnsi="宋体" w:eastAsia="黑体" w:cs="宋体"/>
                <w:b/>
                <w:bCs/>
                <w:kern w:val="0"/>
                <w:szCs w:val="21"/>
              </w:rPr>
            </w:pPr>
            <w:r>
              <w:rPr>
                <w:rFonts w:hint="eastAsia" w:ascii="黑体" w:hAnsi="宋体" w:eastAsia="黑体" w:cs="宋体"/>
                <w:b/>
                <w:bCs/>
                <w:kern w:val="0"/>
                <w:szCs w:val="21"/>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黑体" w:hAnsi="宋体" w:eastAsia="黑体" w:cs="宋体"/>
                <w:b/>
                <w:kern w:val="0"/>
                <w:szCs w:val="21"/>
              </w:rPr>
            </w:pPr>
            <w:r>
              <w:rPr>
                <w:rFonts w:hint="eastAsia" w:ascii="黑体" w:hAnsi="宋体" w:eastAsia="黑体" w:cs="宋体"/>
                <w:b/>
                <w:kern w:val="0"/>
                <w:szCs w:val="21"/>
              </w:rPr>
              <w:t>项    目</w:t>
            </w:r>
          </w:p>
        </w:tc>
        <w:tc>
          <w:tcPr>
            <w:tcW w:w="1372" w:type="dxa"/>
            <w:tcBorders>
              <w:top w:val="nil"/>
              <w:left w:val="nil"/>
              <w:bottom w:val="single" w:color="auto" w:sz="4" w:space="0"/>
              <w:right w:val="single" w:color="auto" w:sz="4" w:space="0"/>
            </w:tcBorders>
            <w:vAlign w:val="center"/>
          </w:tcPr>
          <w:p>
            <w:pPr>
              <w:widowControl/>
              <w:jc w:val="center"/>
              <w:rPr>
                <w:rFonts w:ascii="黑体" w:hAnsi="宋体" w:eastAsia="黑体" w:cs="宋体"/>
                <w:b/>
                <w:kern w:val="0"/>
                <w:szCs w:val="21"/>
              </w:rPr>
            </w:pPr>
            <w:r>
              <w:rPr>
                <w:rFonts w:hint="eastAsia" w:ascii="黑体" w:hAnsi="宋体" w:eastAsia="黑体" w:cs="宋体"/>
                <w:b/>
                <w:kern w:val="0"/>
                <w:szCs w:val="21"/>
              </w:rPr>
              <w:t>合计</w:t>
            </w:r>
          </w:p>
        </w:tc>
        <w:tc>
          <w:tcPr>
            <w:tcW w:w="2108" w:type="dxa"/>
            <w:tcBorders>
              <w:top w:val="nil"/>
              <w:left w:val="nil"/>
              <w:bottom w:val="single" w:color="auto" w:sz="4" w:space="0"/>
              <w:right w:val="single" w:color="auto" w:sz="4" w:space="0"/>
            </w:tcBorders>
            <w:vAlign w:val="center"/>
          </w:tcPr>
          <w:p>
            <w:pPr>
              <w:widowControl/>
              <w:jc w:val="center"/>
              <w:rPr>
                <w:rFonts w:ascii="黑体" w:hAnsi="宋体" w:eastAsia="黑体" w:cs="宋体"/>
                <w:b/>
                <w:kern w:val="0"/>
                <w:szCs w:val="21"/>
              </w:rPr>
            </w:pPr>
            <w:r>
              <w:rPr>
                <w:rFonts w:hint="eastAsia" w:ascii="黑体" w:hAnsi="宋体" w:eastAsia="黑体" w:cs="宋体"/>
                <w:b/>
                <w:kern w:val="0"/>
                <w:szCs w:val="21"/>
              </w:rPr>
              <w:t>功  能  分  类</w:t>
            </w:r>
          </w:p>
        </w:tc>
        <w:tc>
          <w:tcPr>
            <w:tcW w:w="1294" w:type="dxa"/>
            <w:tcBorders>
              <w:top w:val="nil"/>
              <w:left w:val="nil"/>
              <w:bottom w:val="single" w:color="auto" w:sz="4" w:space="0"/>
              <w:right w:val="single" w:color="auto" w:sz="4" w:space="0"/>
            </w:tcBorders>
            <w:vAlign w:val="center"/>
          </w:tcPr>
          <w:p>
            <w:pPr>
              <w:widowControl/>
              <w:jc w:val="center"/>
              <w:rPr>
                <w:rFonts w:ascii="黑体" w:hAnsi="宋体" w:eastAsia="黑体" w:cs="宋体"/>
                <w:b/>
                <w:kern w:val="0"/>
                <w:szCs w:val="21"/>
              </w:rPr>
            </w:pPr>
            <w:r>
              <w:rPr>
                <w:rFonts w:hint="eastAsia" w:ascii="黑体" w:hAnsi="宋体" w:eastAsia="黑体" w:cs="宋体"/>
                <w:b/>
                <w:kern w:val="0"/>
                <w:szCs w:val="21"/>
              </w:rPr>
              <w:t>合计</w:t>
            </w:r>
          </w:p>
        </w:tc>
        <w:tc>
          <w:tcPr>
            <w:tcW w:w="1418" w:type="dxa"/>
            <w:tcBorders>
              <w:top w:val="nil"/>
              <w:left w:val="nil"/>
              <w:bottom w:val="single" w:color="auto" w:sz="4" w:space="0"/>
              <w:right w:val="single" w:color="auto" w:sz="4" w:space="0"/>
            </w:tcBorders>
            <w:vAlign w:val="center"/>
          </w:tcPr>
          <w:p>
            <w:pPr>
              <w:widowControl/>
              <w:jc w:val="center"/>
              <w:rPr>
                <w:rFonts w:ascii="黑体" w:hAnsi="宋体" w:eastAsia="黑体" w:cs="宋体"/>
                <w:b/>
                <w:kern w:val="0"/>
                <w:szCs w:val="21"/>
              </w:rPr>
            </w:pPr>
            <w:r>
              <w:rPr>
                <w:rFonts w:hint="eastAsia" w:ascii="黑体" w:hAnsi="宋体" w:eastAsia="黑体" w:cs="宋体"/>
                <w:b/>
                <w:kern w:val="0"/>
                <w:szCs w:val="21"/>
              </w:rPr>
              <w:t>一般公共预算</w:t>
            </w:r>
          </w:p>
        </w:tc>
        <w:tc>
          <w:tcPr>
            <w:tcW w:w="1417" w:type="dxa"/>
            <w:tcBorders>
              <w:top w:val="nil"/>
              <w:left w:val="nil"/>
              <w:bottom w:val="single" w:color="auto" w:sz="4" w:space="0"/>
              <w:right w:val="single" w:color="auto" w:sz="4" w:space="0"/>
            </w:tcBorders>
            <w:vAlign w:val="center"/>
          </w:tcPr>
          <w:p>
            <w:pPr>
              <w:widowControl/>
              <w:jc w:val="center"/>
              <w:rPr>
                <w:rFonts w:ascii="黑体" w:hAnsi="宋体" w:eastAsia="黑体" w:cs="宋体"/>
                <w:b/>
                <w:kern w:val="0"/>
                <w:szCs w:val="21"/>
              </w:rPr>
            </w:pPr>
            <w:r>
              <w:rPr>
                <w:rFonts w:hint="eastAsia" w:ascii="黑体" w:hAnsi="宋体" w:eastAsia="黑体" w:cs="宋体"/>
                <w:b/>
                <w:kern w:val="0"/>
                <w:szCs w:val="21"/>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财政拨款（补助）</w:t>
            </w:r>
          </w:p>
        </w:tc>
        <w:tc>
          <w:tcPr>
            <w:tcW w:w="1372" w:type="dxa"/>
            <w:tcBorders>
              <w:top w:val="nil"/>
              <w:left w:val="nil"/>
              <w:bottom w:val="single" w:color="auto" w:sz="4" w:space="0"/>
              <w:right w:val="single" w:color="auto" w:sz="4" w:space="0"/>
            </w:tcBorders>
            <w:vAlign w:val="center"/>
          </w:tcPr>
          <w:p>
            <w:pPr>
              <w:widowControl/>
              <w:jc w:val="right"/>
              <w:rPr>
                <w:rFonts w:ascii="黑体" w:hAnsi="宋体" w:eastAsia="黑体" w:cs="宋体"/>
                <w:color w:val="000000"/>
                <w:kern w:val="0"/>
                <w:szCs w:val="21"/>
              </w:rPr>
            </w:pPr>
            <w:r>
              <w:rPr>
                <w:rFonts w:ascii="黑体" w:hAnsi="宋体" w:eastAsia="黑体" w:cs="宋体"/>
                <w:kern w:val="0"/>
                <w:szCs w:val="21"/>
              </w:rPr>
              <w:t>274.56</w:t>
            </w:r>
            <w:r>
              <w:rPr>
                <w:rFonts w:hint="eastAsia" w:ascii="宋体" w:hAnsi="宋体" w:cs="宋体"/>
                <w:color w:val="000000"/>
                <w:kern w:val="0"/>
                <w:sz w:val="24"/>
              </w:rPr>
              <w:t>　</w:t>
            </w:r>
            <w:r>
              <w:rPr>
                <w:rFonts w:ascii="黑体" w:hAnsi="宋体" w:eastAsia="黑体" w:cs="宋体"/>
                <w:kern w:val="0"/>
                <w:szCs w:val="21"/>
              </w:rPr>
              <w:t>274.56</w:t>
            </w:r>
            <w:r>
              <w:rPr>
                <w:rFonts w:hint="eastAsia" w:ascii="黑体" w:hAnsi="宋体" w:eastAsia="黑体" w:cs="宋体"/>
                <w:kern w:val="0"/>
                <w:szCs w:val="21"/>
              </w:rPr>
              <w:t>　</w:t>
            </w: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201 一般公共服务支出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248.56</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248.56</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xml:space="preserve"> 一般公共预算</w:t>
            </w:r>
          </w:p>
        </w:tc>
        <w:tc>
          <w:tcPr>
            <w:tcW w:w="1372" w:type="dxa"/>
            <w:tcBorders>
              <w:top w:val="nil"/>
              <w:left w:val="nil"/>
              <w:bottom w:val="single" w:color="auto" w:sz="4" w:space="0"/>
              <w:right w:val="single" w:color="auto" w:sz="4" w:space="0"/>
            </w:tcBorders>
            <w:vAlign w:val="center"/>
          </w:tcPr>
          <w:p>
            <w:pPr>
              <w:widowControl/>
              <w:jc w:val="right"/>
              <w:rPr>
                <w:rFonts w:ascii="黑体" w:hAnsi="宋体" w:eastAsia="黑体" w:cs="宋体"/>
                <w:color w:val="000000"/>
                <w:kern w:val="0"/>
                <w:szCs w:val="21"/>
              </w:rPr>
            </w:pPr>
            <w:r>
              <w:rPr>
                <w:rFonts w:ascii="黑体" w:hAnsi="宋体" w:eastAsia="黑体" w:cs="宋体"/>
                <w:kern w:val="0"/>
                <w:szCs w:val="21"/>
              </w:rPr>
              <w:t>274.567</w:t>
            </w:r>
            <w:r>
              <w:rPr>
                <w:rFonts w:hint="eastAsia" w:ascii="黑体" w:hAnsi="宋体" w:eastAsia="黑体" w:cs="宋体"/>
                <w:kern w:val="0"/>
                <w:szCs w:val="21"/>
              </w:rPr>
              <w:t>　</w:t>
            </w: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202 外交支出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xml:space="preserve"> 政府性基金预算</w:t>
            </w:r>
          </w:p>
        </w:tc>
        <w:tc>
          <w:tcPr>
            <w:tcW w:w="1372" w:type="dxa"/>
            <w:tcBorders>
              <w:top w:val="nil"/>
              <w:left w:val="nil"/>
              <w:bottom w:val="single" w:color="auto" w:sz="4" w:space="0"/>
              <w:right w:val="single" w:color="auto" w:sz="4" w:space="0"/>
            </w:tcBorders>
            <w:vAlign w:val="center"/>
          </w:tcPr>
          <w:p>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203 国防支出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　</w:t>
            </w:r>
          </w:p>
        </w:tc>
        <w:tc>
          <w:tcPr>
            <w:tcW w:w="1372" w:type="dxa"/>
            <w:tcBorders>
              <w:top w:val="nil"/>
              <w:left w:val="nil"/>
              <w:bottom w:val="single" w:color="auto" w:sz="4" w:space="0"/>
              <w:right w:val="single" w:color="auto" w:sz="4" w:space="0"/>
            </w:tcBorders>
            <w:vAlign w:val="bottom"/>
          </w:tcPr>
          <w:p>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204 公共安全支出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　</w:t>
            </w:r>
          </w:p>
        </w:tc>
        <w:tc>
          <w:tcPr>
            <w:tcW w:w="1372" w:type="dxa"/>
            <w:tcBorders>
              <w:top w:val="nil"/>
              <w:left w:val="nil"/>
              <w:bottom w:val="single" w:color="auto" w:sz="4" w:space="0"/>
              <w:right w:val="single" w:color="auto" w:sz="4" w:space="0"/>
            </w:tcBorders>
            <w:vAlign w:val="bottom"/>
          </w:tcPr>
          <w:p>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205 教育支出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　</w:t>
            </w:r>
          </w:p>
        </w:tc>
        <w:tc>
          <w:tcPr>
            <w:tcW w:w="1372" w:type="dxa"/>
            <w:tcBorders>
              <w:top w:val="nil"/>
              <w:left w:val="nil"/>
              <w:bottom w:val="single" w:color="auto" w:sz="4" w:space="0"/>
              <w:right w:val="single" w:color="auto" w:sz="4" w:space="0"/>
            </w:tcBorders>
            <w:vAlign w:val="bottom"/>
          </w:tcPr>
          <w:p>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206 科学技术支出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　</w:t>
            </w:r>
          </w:p>
        </w:tc>
        <w:tc>
          <w:tcPr>
            <w:tcW w:w="1372" w:type="dxa"/>
            <w:tcBorders>
              <w:top w:val="nil"/>
              <w:left w:val="nil"/>
              <w:bottom w:val="single" w:color="auto" w:sz="4" w:space="0"/>
              <w:right w:val="single" w:color="auto" w:sz="4" w:space="0"/>
            </w:tcBorders>
            <w:vAlign w:val="bottom"/>
          </w:tcPr>
          <w:p>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207 文化体育与传媒支出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　</w:t>
            </w:r>
          </w:p>
        </w:tc>
        <w:tc>
          <w:tcPr>
            <w:tcW w:w="1372" w:type="dxa"/>
            <w:tcBorders>
              <w:top w:val="nil"/>
              <w:left w:val="nil"/>
              <w:bottom w:val="single" w:color="auto" w:sz="4" w:space="0"/>
              <w:right w:val="single" w:color="auto" w:sz="4" w:space="0"/>
            </w:tcBorders>
            <w:vAlign w:val="bottom"/>
          </w:tcPr>
          <w:p>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208 社会保障和就业支出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5.61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5.61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　</w:t>
            </w:r>
          </w:p>
        </w:tc>
        <w:tc>
          <w:tcPr>
            <w:tcW w:w="1372" w:type="dxa"/>
            <w:tcBorders>
              <w:top w:val="nil"/>
              <w:left w:val="nil"/>
              <w:bottom w:val="single" w:color="auto" w:sz="4" w:space="0"/>
              <w:right w:val="single" w:color="auto" w:sz="4" w:space="0"/>
            </w:tcBorders>
            <w:vAlign w:val="bottom"/>
          </w:tcPr>
          <w:p>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209 社会保险基金支出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20.37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20.37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　</w:t>
            </w:r>
          </w:p>
        </w:tc>
        <w:tc>
          <w:tcPr>
            <w:tcW w:w="1372" w:type="dxa"/>
            <w:tcBorders>
              <w:top w:val="nil"/>
              <w:left w:val="nil"/>
              <w:bottom w:val="single" w:color="auto" w:sz="4" w:space="0"/>
              <w:right w:val="single" w:color="auto" w:sz="4" w:space="0"/>
            </w:tcBorders>
            <w:vAlign w:val="bottom"/>
          </w:tcPr>
          <w:p>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210 医疗卫生支出</w:t>
            </w:r>
          </w:p>
        </w:tc>
        <w:tc>
          <w:tcPr>
            <w:tcW w:w="1294"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　</w:t>
            </w:r>
          </w:p>
        </w:tc>
        <w:tc>
          <w:tcPr>
            <w:tcW w:w="1372" w:type="dxa"/>
            <w:tcBorders>
              <w:top w:val="nil"/>
              <w:left w:val="nil"/>
              <w:bottom w:val="single" w:color="auto" w:sz="4" w:space="0"/>
              <w:right w:val="single" w:color="auto" w:sz="4" w:space="0"/>
            </w:tcBorders>
            <w:vAlign w:val="bottom"/>
          </w:tcPr>
          <w:p>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211 节能环保支出</w:t>
            </w:r>
          </w:p>
        </w:tc>
        <w:tc>
          <w:tcPr>
            <w:tcW w:w="1294"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　</w:t>
            </w:r>
          </w:p>
        </w:tc>
        <w:tc>
          <w:tcPr>
            <w:tcW w:w="1372" w:type="dxa"/>
            <w:tcBorders>
              <w:top w:val="nil"/>
              <w:left w:val="nil"/>
              <w:bottom w:val="single" w:color="auto" w:sz="4" w:space="0"/>
              <w:right w:val="single" w:color="auto" w:sz="4" w:space="0"/>
            </w:tcBorders>
            <w:vAlign w:val="bottom"/>
          </w:tcPr>
          <w:p>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212 城乡社区支出</w:t>
            </w:r>
          </w:p>
        </w:tc>
        <w:tc>
          <w:tcPr>
            <w:tcW w:w="1294"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　</w:t>
            </w:r>
          </w:p>
        </w:tc>
        <w:tc>
          <w:tcPr>
            <w:tcW w:w="1372" w:type="dxa"/>
            <w:tcBorders>
              <w:top w:val="nil"/>
              <w:left w:val="nil"/>
              <w:bottom w:val="single" w:color="auto" w:sz="4" w:space="0"/>
              <w:right w:val="single" w:color="auto" w:sz="4" w:space="0"/>
            </w:tcBorders>
            <w:vAlign w:val="bottom"/>
          </w:tcPr>
          <w:p>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213 农林水支出</w:t>
            </w:r>
          </w:p>
        </w:tc>
        <w:tc>
          <w:tcPr>
            <w:tcW w:w="1294"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　</w:t>
            </w:r>
          </w:p>
        </w:tc>
        <w:tc>
          <w:tcPr>
            <w:tcW w:w="1372" w:type="dxa"/>
            <w:tcBorders>
              <w:top w:val="nil"/>
              <w:left w:val="nil"/>
              <w:bottom w:val="single" w:color="auto" w:sz="4" w:space="0"/>
              <w:right w:val="single" w:color="auto" w:sz="4" w:space="0"/>
            </w:tcBorders>
            <w:vAlign w:val="bottom"/>
          </w:tcPr>
          <w:p>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214 交通运输支出</w:t>
            </w:r>
          </w:p>
        </w:tc>
        <w:tc>
          <w:tcPr>
            <w:tcW w:w="1294"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　</w:t>
            </w:r>
          </w:p>
        </w:tc>
        <w:tc>
          <w:tcPr>
            <w:tcW w:w="1372" w:type="dxa"/>
            <w:tcBorders>
              <w:top w:val="nil"/>
              <w:left w:val="nil"/>
              <w:bottom w:val="single" w:color="auto" w:sz="4" w:space="0"/>
              <w:right w:val="single" w:color="auto" w:sz="4" w:space="0"/>
            </w:tcBorders>
            <w:vAlign w:val="bottom"/>
          </w:tcPr>
          <w:p>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215 资源勘探信息等支出</w:t>
            </w:r>
          </w:p>
        </w:tc>
        <w:tc>
          <w:tcPr>
            <w:tcW w:w="1294"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　</w:t>
            </w:r>
          </w:p>
        </w:tc>
        <w:tc>
          <w:tcPr>
            <w:tcW w:w="1372" w:type="dxa"/>
            <w:tcBorders>
              <w:top w:val="nil"/>
              <w:left w:val="nil"/>
              <w:bottom w:val="single" w:color="auto" w:sz="4" w:space="0"/>
              <w:right w:val="single" w:color="auto" w:sz="4" w:space="0"/>
            </w:tcBorders>
            <w:vAlign w:val="bottom"/>
          </w:tcPr>
          <w:p>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216 商业服务业等支出</w:t>
            </w:r>
          </w:p>
        </w:tc>
        <w:tc>
          <w:tcPr>
            <w:tcW w:w="1294"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　</w:t>
            </w:r>
          </w:p>
        </w:tc>
        <w:tc>
          <w:tcPr>
            <w:tcW w:w="1372" w:type="dxa"/>
            <w:tcBorders>
              <w:top w:val="nil"/>
              <w:left w:val="nil"/>
              <w:bottom w:val="single" w:color="auto" w:sz="4" w:space="0"/>
              <w:right w:val="single" w:color="auto" w:sz="4" w:space="0"/>
            </w:tcBorders>
            <w:vAlign w:val="bottom"/>
          </w:tcPr>
          <w:p>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217 金融支出</w:t>
            </w:r>
          </w:p>
        </w:tc>
        <w:tc>
          <w:tcPr>
            <w:tcW w:w="1294"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　</w:t>
            </w:r>
          </w:p>
        </w:tc>
        <w:tc>
          <w:tcPr>
            <w:tcW w:w="1372" w:type="dxa"/>
            <w:tcBorders>
              <w:top w:val="nil"/>
              <w:left w:val="nil"/>
              <w:bottom w:val="single" w:color="auto" w:sz="4" w:space="0"/>
              <w:right w:val="single" w:color="auto" w:sz="4" w:space="0"/>
            </w:tcBorders>
            <w:vAlign w:val="bottom"/>
          </w:tcPr>
          <w:p>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219 援助其他地区支出</w:t>
            </w:r>
          </w:p>
        </w:tc>
        <w:tc>
          <w:tcPr>
            <w:tcW w:w="1294"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　</w:t>
            </w:r>
          </w:p>
        </w:tc>
        <w:tc>
          <w:tcPr>
            <w:tcW w:w="1372" w:type="dxa"/>
            <w:tcBorders>
              <w:top w:val="nil"/>
              <w:left w:val="nil"/>
              <w:bottom w:val="single" w:color="auto" w:sz="4" w:space="0"/>
              <w:right w:val="single" w:color="auto" w:sz="4" w:space="0"/>
            </w:tcBorders>
            <w:vAlign w:val="bottom"/>
          </w:tcPr>
          <w:p>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220 国土资源气象等支出</w:t>
            </w:r>
          </w:p>
        </w:tc>
        <w:tc>
          <w:tcPr>
            <w:tcW w:w="1294"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　</w:t>
            </w:r>
          </w:p>
        </w:tc>
        <w:tc>
          <w:tcPr>
            <w:tcW w:w="1372" w:type="dxa"/>
            <w:tcBorders>
              <w:top w:val="nil"/>
              <w:left w:val="nil"/>
              <w:bottom w:val="single" w:color="auto" w:sz="4" w:space="0"/>
              <w:right w:val="single" w:color="auto" w:sz="4" w:space="0"/>
            </w:tcBorders>
            <w:vAlign w:val="bottom"/>
          </w:tcPr>
          <w:p>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221 住房保障支出</w:t>
            </w:r>
          </w:p>
        </w:tc>
        <w:tc>
          <w:tcPr>
            <w:tcW w:w="1294"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　</w:t>
            </w:r>
          </w:p>
        </w:tc>
        <w:tc>
          <w:tcPr>
            <w:tcW w:w="1372" w:type="dxa"/>
            <w:tcBorders>
              <w:top w:val="nil"/>
              <w:left w:val="nil"/>
              <w:bottom w:val="single" w:color="auto" w:sz="4" w:space="0"/>
              <w:right w:val="single" w:color="auto" w:sz="4" w:space="0"/>
            </w:tcBorders>
            <w:vAlign w:val="bottom"/>
          </w:tcPr>
          <w:p>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222 粮油物资管理支出</w:t>
            </w:r>
          </w:p>
        </w:tc>
        <w:tc>
          <w:tcPr>
            <w:tcW w:w="1294"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　</w:t>
            </w:r>
          </w:p>
        </w:tc>
        <w:tc>
          <w:tcPr>
            <w:tcW w:w="1372" w:type="dxa"/>
            <w:tcBorders>
              <w:top w:val="nil"/>
              <w:left w:val="nil"/>
              <w:bottom w:val="single" w:color="auto" w:sz="4" w:space="0"/>
              <w:right w:val="single" w:color="auto" w:sz="4" w:space="0"/>
            </w:tcBorders>
            <w:vAlign w:val="bottom"/>
          </w:tcPr>
          <w:p>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w:t>
            </w:r>
            <w:r>
              <w:rPr>
                <w:rFonts w:hint="eastAsia" w:ascii="黑体" w:hAnsi="宋体" w:eastAsia="黑体" w:cs="宋体"/>
                <w:color w:val="000000"/>
                <w:kern w:val="0"/>
                <w:szCs w:val="21"/>
              </w:rPr>
              <w:t>23 国有资本经营预算支出</w:t>
            </w:r>
          </w:p>
        </w:tc>
        <w:tc>
          <w:tcPr>
            <w:tcW w:w="1294"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　</w:t>
            </w:r>
          </w:p>
        </w:tc>
        <w:tc>
          <w:tcPr>
            <w:tcW w:w="1372" w:type="dxa"/>
            <w:tcBorders>
              <w:top w:val="nil"/>
              <w:left w:val="nil"/>
              <w:bottom w:val="single" w:color="auto" w:sz="4" w:space="0"/>
              <w:right w:val="single" w:color="auto" w:sz="4" w:space="0"/>
            </w:tcBorders>
            <w:vAlign w:val="bottom"/>
          </w:tcPr>
          <w:p>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227 预备费</w:t>
            </w:r>
          </w:p>
        </w:tc>
        <w:tc>
          <w:tcPr>
            <w:tcW w:w="1294"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　</w:t>
            </w:r>
          </w:p>
        </w:tc>
        <w:tc>
          <w:tcPr>
            <w:tcW w:w="1372" w:type="dxa"/>
            <w:tcBorders>
              <w:top w:val="nil"/>
              <w:left w:val="nil"/>
              <w:bottom w:val="single" w:color="auto" w:sz="4" w:space="0"/>
              <w:right w:val="single" w:color="auto" w:sz="4" w:space="0"/>
            </w:tcBorders>
            <w:vAlign w:val="bottom"/>
          </w:tcPr>
          <w:p>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229 其他支出</w:t>
            </w:r>
          </w:p>
        </w:tc>
        <w:tc>
          <w:tcPr>
            <w:tcW w:w="1294"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　</w:t>
            </w:r>
          </w:p>
        </w:tc>
        <w:tc>
          <w:tcPr>
            <w:tcW w:w="1372" w:type="dxa"/>
            <w:tcBorders>
              <w:top w:val="nil"/>
              <w:left w:val="nil"/>
              <w:bottom w:val="single" w:color="auto" w:sz="4" w:space="0"/>
              <w:right w:val="single" w:color="auto" w:sz="4" w:space="0"/>
            </w:tcBorders>
            <w:vAlign w:val="bottom"/>
          </w:tcPr>
          <w:p>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w:t>
            </w:r>
            <w:r>
              <w:rPr>
                <w:rFonts w:hint="eastAsia" w:ascii="黑体" w:hAnsi="宋体" w:eastAsia="黑体" w:cs="宋体"/>
                <w:color w:val="000000"/>
                <w:kern w:val="0"/>
                <w:szCs w:val="21"/>
              </w:rPr>
              <w:t>31 债务还本支出</w:t>
            </w:r>
          </w:p>
        </w:tc>
        <w:tc>
          <w:tcPr>
            <w:tcW w:w="1294" w:type="dxa"/>
            <w:tcBorders>
              <w:top w:val="nil"/>
              <w:left w:val="nil"/>
              <w:bottom w:val="single" w:color="auto" w:sz="4" w:space="0"/>
              <w:right w:val="single" w:color="auto" w:sz="4" w:space="0"/>
            </w:tcBorders>
            <w:vAlign w:val="center"/>
          </w:tcPr>
          <w:p>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1418" w:type="dxa"/>
            <w:tcBorders>
              <w:top w:val="nil"/>
              <w:left w:val="nil"/>
              <w:bottom w:val="single" w:color="auto" w:sz="4" w:space="0"/>
              <w:right w:val="single" w:color="auto" w:sz="4" w:space="0"/>
            </w:tcBorders>
            <w:vAlign w:val="center"/>
          </w:tcPr>
          <w:p>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　</w:t>
            </w:r>
          </w:p>
        </w:tc>
        <w:tc>
          <w:tcPr>
            <w:tcW w:w="1372" w:type="dxa"/>
            <w:tcBorders>
              <w:top w:val="nil"/>
              <w:left w:val="nil"/>
              <w:bottom w:val="single" w:color="auto" w:sz="4" w:space="0"/>
              <w:right w:val="single" w:color="auto" w:sz="4" w:space="0"/>
            </w:tcBorders>
            <w:vAlign w:val="bottom"/>
          </w:tcPr>
          <w:p>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w:t>
            </w:r>
            <w:r>
              <w:rPr>
                <w:rFonts w:hint="eastAsia" w:ascii="黑体" w:hAnsi="宋体" w:eastAsia="黑体" w:cs="宋体"/>
                <w:color w:val="000000"/>
                <w:kern w:val="0"/>
                <w:szCs w:val="21"/>
              </w:rPr>
              <w:t>32 债务付息支出</w:t>
            </w:r>
          </w:p>
        </w:tc>
        <w:tc>
          <w:tcPr>
            <w:tcW w:w="1294" w:type="dxa"/>
            <w:tcBorders>
              <w:top w:val="nil"/>
              <w:left w:val="nil"/>
              <w:bottom w:val="single" w:color="auto" w:sz="4" w:space="0"/>
              <w:right w:val="single" w:color="auto" w:sz="4" w:space="0"/>
            </w:tcBorders>
            <w:vAlign w:val="center"/>
          </w:tcPr>
          <w:p>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1418" w:type="dxa"/>
            <w:tcBorders>
              <w:top w:val="nil"/>
              <w:left w:val="nil"/>
              <w:bottom w:val="single" w:color="auto" w:sz="4" w:space="0"/>
              <w:right w:val="single" w:color="auto" w:sz="4" w:space="0"/>
            </w:tcBorders>
            <w:vAlign w:val="center"/>
          </w:tcPr>
          <w:p>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　</w:t>
            </w:r>
          </w:p>
        </w:tc>
        <w:tc>
          <w:tcPr>
            <w:tcW w:w="1372" w:type="dxa"/>
            <w:tcBorders>
              <w:top w:val="nil"/>
              <w:left w:val="nil"/>
              <w:bottom w:val="single" w:color="auto" w:sz="4" w:space="0"/>
              <w:right w:val="single" w:color="auto" w:sz="4" w:space="0"/>
            </w:tcBorders>
            <w:vAlign w:val="bottom"/>
          </w:tcPr>
          <w:p>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233</w:t>
            </w:r>
            <w:r>
              <w:rPr>
                <w:rFonts w:hint="eastAsia" w:ascii="黑体" w:hAnsi="宋体" w:eastAsia="黑体" w:cs="宋体"/>
                <w:color w:val="000000"/>
                <w:kern w:val="0"/>
                <w:szCs w:val="21"/>
              </w:rPr>
              <w:t xml:space="preserve"> 债务发行费支出</w:t>
            </w:r>
          </w:p>
        </w:tc>
        <w:tc>
          <w:tcPr>
            <w:tcW w:w="1294"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color w:val="000000"/>
                <w:kern w:val="0"/>
                <w:szCs w:val="21"/>
              </w:rPr>
            </w:pPr>
            <w:r>
              <w:rPr>
                <w:rFonts w:hint="eastAsia" w:ascii="黑体" w:hAnsi="宋体" w:eastAsia="黑体" w:cs="宋体"/>
                <w:kern w:val="0"/>
                <w:szCs w:val="21"/>
              </w:rPr>
              <w:t>小       计</w:t>
            </w:r>
          </w:p>
        </w:tc>
        <w:tc>
          <w:tcPr>
            <w:tcW w:w="1372"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ascii="黑体" w:hAnsi="宋体" w:eastAsia="黑体" w:cs="宋体"/>
                <w:kern w:val="0"/>
                <w:szCs w:val="21"/>
              </w:rPr>
              <w:t>274.56</w:t>
            </w: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小           计</w:t>
            </w:r>
          </w:p>
        </w:tc>
        <w:tc>
          <w:tcPr>
            <w:tcW w:w="1294"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ascii="黑体" w:hAnsi="宋体" w:eastAsia="黑体" w:cs="宋体"/>
                <w:kern w:val="0"/>
                <w:szCs w:val="21"/>
              </w:rPr>
              <w:t>274.56</w:t>
            </w:r>
            <w:r>
              <w:rPr>
                <w:rFonts w:hint="eastAsia" w:ascii="黑体" w:hAnsi="宋体" w:eastAsia="黑体" w:cs="宋体"/>
                <w:color w:val="000000"/>
                <w:kern w:val="0"/>
                <w:szCs w:val="21"/>
              </w:rPr>
              <w:t>　</w:t>
            </w:r>
          </w:p>
        </w:tc>
        <w:tc>
          <w:tcPr>
            <w:tcW w:w="1418"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ascii="黑体" w:hAnsi="宋体" w:eastAsia="黑体" w:cs="宋体"/>
                <w:kern w:val="0"/>
                <w:szCs w:val="21"/>
              </w:rPr>
              <w:t>274.56</w:t>
            </w:r>
            <w:r>
              <w:rPr>
                <w:rFonts w:hint="eastAsia" w:ascii="黑体" w:hAnsi="宋体" w:eastAsia="黑体" w:cs="宋体"/>
                <w:color w:val="000000"/>
                <w:kern w:val="0"/>
                <w:szCs w:val="21"/>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rPr>
                <w:rFonts w:ascii="黑体" w:hAnsi="宋体" w:eastAsia="黑体" w:cs="宋体"/>
                <w:kern w:val="0"/>
                <w:szCs w:val="21"/>
              </w:rPr>
            </w:pPr>
            <w:r>
              <w:rPr>
                <w:rFonts w:hint="eastAsia" w:ascii="黑体" w:hAnsi="宋体" w:eastAsia="黑体" w:cs="宋体"/>
                <w:kern w:val="0"/>
                <w:szCs w:val="21"/>
              </w:rPr>
              <w:t>　</w:t>
            </w:r>
          </w:p>
        </w:tc>
        <w:tc>
          <w:tcPr>
            <w:tcW w:w="1372" w:type="dxa"/>
            <w:tcBorders>
              <w:top w:val="nil"/>
              <w:left w:val="nil"/>
              <w:bottom w:val="single" w:color="auto" w:sz="4" w:space="0"/>
              <w:right w:val="single" w:color="auto" w:sz="4" w:space="0"/>
            </w:tcBorders>
            <w:vAlign w:val="center"/>
          </w:tcPr>
          <w:p>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center"/>
              <w:rPr>
                <w:rFonts w:ascii="黑体" w:hAnsi="宋体" w:eastAsia="黑体" w:cs="宋体"/>
                <w:kern w:val="0"/>
                <w:szCs w:val="21"/>
              </w:rPr>
            </w:pPr>
            <w:r>
              <w:rPr>
                <w:rFonts w:hint="eastAsia" w:ascii="黑体" w:hAnsi="宋体" w:eastAsia="黑体" w:cs="宋体"/>
                <w:kern w:val="0"/>
                <w:szCs w:val="21"/>
              </w:rPr>
              <w:t>230 转移性支出</w:t>
            </w:r>
          </w:p>
        </w:tc>
        <w:tc>
          <w:tcPr>
            <w:tcW w:w="1294" w:type="dxa"/>
            <w:tcBorders>
              <w:top w:val="nil"/>
              <w:left w:val="nil"/>
              <w:bottom w:val="single" w:color="auto" w:sz="4" w:space="0"/>
              <w:right w:val="single" w:color="auto" w:sz="4" w:space="0"/>
            </w:tcBorders>
            <w:vAlign w:val="center"/>
          </w:tcPr>
          <w:p>
            <w:pPr>
              <w:widowControl/>
              <w:jc w:val="right"/>
              <w:rPr>
                <w:rFonts w:ascii="黑体" w:hAnsi="宋体" w:eastAsia="黑体" w:cs="宋体"/>
                <w:color w:val="000000"/>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pPr>
              <w:widowControl/>
              <w:jc w:val="right"/>
              <w:rPr>
                <w:rFonts w:ascii="黑体" w:hAnsi="宋体" w:eastAsia="黑体" w:cs="宋体"/>
                <w:color w:val="000000"/>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收  入  总  计</w:t>
            </w:r>
          </w:p>
        </w:tc>
        <w:tc>
          <w:tcPr>
            <w:tcW w:w="1372" w:type="dxa"/>
            <w:tcBorders>
              <w:top w:val="nil"/>
              <w:left w:val="nil"/>
              <w:bottom w:val="single" w:color="auto" w:sz="4" w:space="0"/>
              <w:right w:val="single" w:color="auto" w:sz="4" w:space="0"/>
            </w:tcBorders>
            <w:vAlign w:val="center"/>
          </w:tcPr>
          <w:p>
            <w:pPr>
              <w:widowControl/>
              <w:jc w:val="right"/>
              <w:rPr>
                <w:rFonts w:ascii="黑体" w:hAnsi="宋体" w:eastAsia="黑体" w:cs="宋体"/>
                <w:color w:val="000000"/>
                <w:kern w:val="0"/>
                <w:szCs w:val="21"/>
              </w:rPr>
            </w:pPr>
            <w:r>
              <w:rPr>
                <w:rFonts w:ascii="黑体" w:hAnsi="宋体" w:eastAsia="黑体" w:cs="宋体"/>
                <w:kern w:val="0"/>
                <w:szCs w:val="21"/>
              </w:rPr>
              <w:t>274.56</w:t>
            </w:r>
            <w:r>
              <w:rPr>
                <w:rFonts w:hint="eastAsia" w:ascii="黑体" w:hAnsi="宋体" w:eastAsia="黑体" w:cs="宋体"/>
                <w:color w:val="000000"/>
                <w:kern w:val="0"/>
                <w:szCs w:val="21"/>
              </w:rPr>
              <w:t>　</w:t>
            </w:r>
          </w:p>
        </w:tc>
        <w:tc>
          <w:tcPr>
            <w:tcW w:w="2108" w:type="dxa"/>
            <w:tcBorders>
              <w:top w:val="nil"/>
              <w:left w:val="nil"/>
              <w:bottom w:val="single" w:color="auto" w:sz="4" w:space="0"/>
              <w:right w:val="single" w:color="auto" w:sz="4" w:space="0"/>
            </w:tcBorders>
            <w:vAlign w:val="center"/>
          </w:tcPr>
          <w:p>
            <w:pPr>
              <w:widowControl/>
              <w:jc w:val="left"/>
              <w:rPr>
                <w:rFonts w:ascii="黑体" w:hAnsi="宋体" w:eastAsia="黑体" w:cs="宋体"/>
                <w:kern w:val="0"/>
                <w:szCs w:val="21"/>
              </w:rPr>
            </w:pPr>
            <w:r>
              <w:rPr>
                <w:rFonts w:hint="eastAsia" w:ascii="黑体" w:hAnsi="宋体" w:eastAsia="黑体" w:cs="宋体"/>
                <w:kern w:val="0"/>
                <w:szCs w:val="21"/>
              </w:rPr>
              <w:t>支  出  总  计</w:t>
            </w:r>
          </w:p>
        </w:tc>
        <w:tc>
          <w:tcPr>
            <w:tcW w:w="1294"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ascii="黑体" w:hAnsi="宋体" w:eastAsia="黑体" w:cs="宋体"/>
                <w:kern w:val="0"/>
                <w:szCs w:val="21"/>
              </w:rPr>
              <w:t>274.56</w:t>
            </w:r>
            <w:r>
              <w:rPr>
                <w:rFonts w:hint="eastAsia" w:ascii="黑体" w:hAnsi="宋体" w:eastAsia="黑体" w:cs="宋体"/>
                <w:color w:val="000000"/>
                <w:kern w:val="0"/>
                <w:szCs w:val="21"/>
              </w:rPr>
              <w:t>　</w:t>
            </w:r>
          </w:p>
        </w:tc>
        <w:tc>
          <w:tcPr>
            <w:tcW w:w="1418"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ascii="黑体" w:hAnsi="宋体" w:eastAsia="黑体" w:cs="宋体"/>
                <w:kern w:val="0"/>
                <w:szCs w:val="21"/>
              </w:rPr>
              <w:t>274.56</w:t>
            </w:r>
            <w:r>
              <w:rPr>
                <w:rFonts w:hint="eastAsia" w:ascii="黑体" w:hAnsi="宋体" w:eastAsia="黑体" w:cs="宋体"/>
                <w:color w:val="000000"/>
                <w:kern w:val="0"/>
                <w:szCs w:val="21"/>
              </w:rPr>
              <w:t>　</w:t>
            </w:r>
          </w:p>
        </w:tc>
        <w:tc>
          <w:tcPr>
            <w:tcW w:w="1417" w:type="dxa"/>
            <w:tcBorders>
              <w:top w:val="nil"/>
              <w:left w:val="nil"/>
              <w:bottom w:val="single" w:color="auto" w:sz="4" w:space="0"/>
              <w:right w:val="single" w:color="auto" w:sz="4" w:space="0"/>
            </w:tcBorders>
            <w:vAlign w:val="center"/>
          </w:tcPr>
          <w:p>
            <w:pPr>
              <w:widowControl/>
              <w:jc w:val="right"/>
              <w:rPr>
                <w:rFonts w:ascii="黑体" w:hAnsi="宋体" w:eastAsia="黑体" w:cs="宋体"/>
                <w:kern w:val="0"/>
                <w:szCs w:val="21"/>
              </w:rPr>
            </w:pPr>
            <w:r>
              <w:rPr>
                <w:rFonts w:hint="eastAsia" w:ascii="黑体" w:hAnsi="宋体" w:eastAsia="黑体" w:cs="宋体"/>
                <w:kern w:val="0"/>
                <w:szCs w:val="21"/>
              </w:rPr>
              <w:t>　</w:t>
            </w:r>
          </w:p>
        </w:tc>
      </w:tr>
    </w:tbl>
    <w:p/>
    <w:p/>
    <w:p>
      <w:pPr>
        <w:widowControl/>
        <w:jc w:val="left"/>
        <w:outlineLvl w:val="1"/>
        <w:rPr>
          <w:rFonts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kern w:val="0"/>
          <w:sz w:val="32"/>
          <w:szCs w:val="32"/>
        </w:rPr>
      </w:pPr>
      <w:r>
        <w:rPr>
          <w:rFonts w:hint="eastAsia" w:ascii="仿宋_GB2312" w:hAnsi="宋体" w:eastAsia="仿宋_GB2312"/>
          <w:b/>
          <w:kern w:val="0"/>
          <w:sz w:val="32"/>
          <w:szCs w:val="32"/>
        </w:rPr>
        <w:t>表五：</w:t>
      </w:r>
    </w:p>
    <w:tbl>
      <w:tblPr>
        <w:tblStyle w:val="6"/>
        <w:tblW w:w="9087" w:type="dxa"/>
        <w:tblInd w:w="93" w:type="dxa"/>
        <w:tblLayout w:type="fixed"/>
        <w:tblCellMar>
          <w:top w:w="0" w:type="dxa"/>
          <w:left w:w="108" w:type="dxa"/>
          <w:bottom w:w="0" w:type="dxa"/>
          <w:right w:w="108" w:type="dxa"/>
        </w:tblCellMar>
      </w:tblPr>
      <w:tblGrid>
        <w:gridCol w:w="582"/>
        <w:gridCol w:w="426"/>
        <w:gridCol w:w="425"/>
        <w:gridCol w:w="909"/>
        <w:gridCol w:w="1687"/>
        <w:gridCol w:w="97"/>
        <w:gridCol w:w="394"/>
        <w:gridCol w:w="945"/>
        <w:gridCol w:w="220"/>
        <w:gridCol w:w="75"/>
        <w:gridCol w:w="1626"/>
        <w:gridCol w:w="501"/>
        <w:gridCol w:w="1200"/>
      </w:tblGrid>
      <w:tr>
        <w:tblPrEx>
          <w:tblLayout w:type="fixed"/>
          <w:tblCellMar>
            <w:top w:w="0" w:type="dxa"/>
            <w:left w:w="108" w:type="dxa"/>
            <w:bottom w:w="0" w:type="dxa"/>
            <w:right w:w="108" w:type="dxa"/>
          </w:tblCellMar>
        </w:tblPrEx>
        <w:trPr>
          <w:trHeight w:val="450" w:hRule="atLeast"/>
        </w:trPr>
        <w:tc>
          <w:tcPr>
            <w:tcW w:w="9087" w:type="dxa"/>
            <w:gridSpan w:val="13"/>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4126" w:type="dxa"/>
            <w:gridSpan w:val="6"/>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吉木萨尔县国库支付中心</w:t>
            </w:r>
          </w:p>
        </w:tc>
        <w:tc>
          <w:tcPr>
            <w:tcW w:w="394"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240"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3"/>
            <w:tcBorders>
              <w:top w:val="nil"/>
              <w:left w:val="nil"/>
              <w:bottom w:val="nil"/>
              <w:right w:val="nil"/>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4126" w:type="dxa"/>
            <w:gridSpan w:val="6"/>
            <w:tcBorders>
              <w:top w:val="single" w:color="auto" w:sz="4" w:space="0"/>
              <w:left w:val="single" w:color="auto" w:sz="4" w:space="0"/>
              <w:bottom w:val="single" w:color="auto" w:sz="4" w:space="0"/>
              <w:right w:val="single" w:color="000000" w:sz="4" w:space="0"/>
            </w:tcBorders>
            <w:vAlign w:val="center"/>
          </w:tcPr>
          <w:p>
            <w:pPr>
              <w:widowControl/>
              <w:jc w:val="center"/>
              <w:rPr>
                <w:rFonts w:ascii="黑体" w:hAnsi="宋体" w:eastAsia="黑体" w:cs="宋体"/>
                <w:b/>
                <w:bCs/>
                <w:color w:val="000000"/>
                <w:kern w:val="0"/>
                <w:sz w:val="22"/>
                <w:szCs w:val="22"/>
              </w:rPr>
            </w:pPr>
            <w:r>
              <w:rPr>
                <w:rFonts w:hint="eastAsia" w:ascii="黑体" w:hAnsi="宋体" w:eastAsia="黑体" w:cs="宋体"/>
                <w:b/>
                <w:bCs/>
                <w:color w:val="000000"/>
                <w:kern w:val="0"/>
                <w:sz w:val="22"/>
                <w:szCs w:val="22"/>
              </w:rPr>
              <w:t>项目</w:t>
            </w:r>
          </w:p>
        </w:tc>
        <w:tc>
          <w:tcPr>
            <w:tcW w:w="4961" w:type="dxa"/>
            <w:gridSpan w:val="7"/>
            <w:tcBorders>
              <w:top w:val="single" w:color="auto" w:sz="4" w:space="0"/>
              <w:left w:val="nil"/>
              <w:bottom w:val="single" w:color="auto" w:sz="4" w:space="0"/>
              <w:right w:val="single" w:color="000000" w:sz="4" w:space="0"/>
            </w:tcBorders>
            <w:vAlign w:val="center"/>
          </w:tcPr>
          <w:p>
            <w:pPr>
              <w:widowControl/>
              <w:jc w:val="center"/>
              <w:rPr>
                <w:rFonts w:ascii="黑体" w:hAnsi="宋体" w:eastAsia="黑体" w:cs="宋体"/>
                <w:b/>
                <w:bCs/>
                <w:color w:val="000000"/>
                <w:kern w:val="0"/>
                <w:sz w:val="22"/>
                <w:szCs w:val="22"/>
              </w:rPr>
            </w:pPr>
            <w:r>
              <w:rPr>
                <w:rFonts w:hint="eastAsia" w:ascii="黑体" w:hAnsi="宋体" w:eastAsia="黑体"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433"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功能分类科目编码</w:t>
            </w:r>
          </w:p>
        </w:tc>
        <w:tc>
          <w:tcPr>
            <w:tcW w:w="2693" w:type="dxa"/>
            <w:gridSpan w:val="3"/>
            <w:vMerge w:val="restart"/>
            <w:tcBorders>
              <w:top w:val="nil"/>
              <w:left w:val="single" w:color="auto" w:sz="4" w:space="0"/>
              <w:bottom w:val="single" w:color="000000" w:sz="4" w:space="0"/>
              <w:right w:val="single" w:color="auto" w:sz="4" w:space="0"/>
            </w:tcBorders>
            <w:vAlign w:val="center"/>
          </w:tcPr>
          <w:p>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功能分类科目名称</w:t>
            </w:r>
          </w:p>
        </w:tc>
        <w:tc>
          <w:tcPr>
            <w:tcW w:w="1559" w:type="dxa"/>
            <w:gridSpan w:val="3"/>
            <w:vMerge w:val="restart"/>
            <w:tcBorders>
              <w:top w:val="nil"/>
              <w:left w:val="single" w:color="auto" w:sz="4" w:space="0"/>
              <w:bottom w:val="single" w:color="000000" w:sz="4" w:space="0"/>
              <w:right w:val="single" w:color="auto" w:sz="4" w:space="0"/>
            </w:tcBorders>
            <w:vAlign w:val="center"/>
          </w:tcPr>
          <w:p>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基本支出</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类</w:t>
            </w:r>
          </w:p>
        </w:tc>
        <w:tc>
          <w:tcPr>
            <w:tcW w:w="426" w:type="dxa"/>
            <w:tcBorders>
              <w:top w:val="nil"/>
              <w:left w:val="nil"/>
              <w:bottom w:val="single" w:color="auto" w:sz="4" w:space="0"/>
              <w:right w:val="single" w:color="auto" w:sz="4" w:space="0"/>
            </w:tcBorders>
            <w:vAlign w:val="center"/>
          </w:tcPr>
          <w:p>
            <w:pPr>
              <w:widowControl/>
              <w:jc w:val="left"/>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款</w:t>
            </w:r>
          </w:p>
        </w:tc>
        <w:tc>
          <w:tcPr>
            <w:tcW w:w="425" w:type="dxa"/>
            <w:tcBorders>
              <w:top w:val="nil"/>
              <w:left w:val="nil"/>
              <w:bottom w:val="single" w:color="auto" w:sz="4" w:space="0"/>
              <w:right w:val="single" w:color="auto" w:sz="4" w:space="0"/>
            </w:tcBorders>
            <w:vAlign w:val="center"/>
          </w:tcPr>
          <w:p>
            <w:pPr>
              <w:widowControl/>
              <w:jc w:val="left"/>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项</w:t>
            </w:r>
          </w:p>
        </w:tc>
        <w:tc>
          <w:tcPr>
            <w:tcW w:w="2693"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ascii="黑体" w:hAnsi="宋体" w:eastAsia="黑体" w:cs="宋体"/>
                <w:b/>
                <w:bCs/>
                <w:color w:val="000000"/>
                <w:kern w:val="0"/>
                <w:sz w:val="20"/>
                <w:szCs w:val="20"/>
              </w:rPr>
            </w:pPr>
          </w:p>
        </w:tc>
        <w:tc>
          <w:tcPr>
            <w:tcW w:w="1559"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ascii="黑体" w:hAnsi="宋体" w:eastAsia="黑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黑体" w:hAnsi="宋体" w:eastAsia="黑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黑体" w:hAnsi="宋体" w:eastAsia="黑体" w:cs="宋体"/>
                <w:b/>
                <w:bCs/>
                <w:color w:val="000000"/>
                <w:kern w:val="0"/>
                <w:sz w:val="20"/>
                <w:szCs w:val="20"/>
              </w:rPr>
            </w:pPr>
          </w:p>
        </w:tc>
      </w:tr>
      <w:tr>
        <w:tblPrEx>
          <w:tblLayout w:type="fixed"/>
        </w:tblPrEx>
        <w:trPr>
          <w:trHeight w:val="450" w:hRule="atLeast"/>
        </w:trPr>
        <w:tc>
          <w:tcPr>
            <w:tcW w:w="582" w:type="dxa"/>
            <w:tcBorders>
              <w:top w:val="nil"/>
              <w:left w:val="single" w:color="auto" w:sz="4" w:space="0"/>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201　</w:t>
            </w:r>
          </w:p>
        </w:tc>
        <w:tc>
          <w:tcPr>
            <w:tcW w:w="426" w:type="dxa"/>
            <w:tcBorders>
              <w:top w:val="nil"/>
              <w:left w:val="nil"/>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06　</w:t>
            </w:r>
          </w:p>
        </w:tc>
        <w:tc>
          <w:tcPr>
            <w:tcW w:w="425" w:type="dxa"/>
            <w:tcBorders>
              <w:top w:val="nil"/>
              <w:left w:val="nil"/>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01　</w:t>
            </w:r>
          </w:p>
        </w:tc>
        <w:tc>
          <w:tcPr>
            <w:tcW w:w="2693" w:type="dxa"/>
            <w:gridSpan w:val="3"/>
            <w:tcBorders>
              <w:top w:val="nil"/>
              <w:left w:val="nil"/>
              <w:bottom w:val="single" w:color="auto" w:sz="4" w:space="0"/>
              <w:right w:val="single" w:color="auto" w:sz="4" w:space="0"/>
            </w:tcBorders>
            <w:vAlign w:val="center"/>
          </w:tcPr>
          <w:p>
            <w:pPr>
              <w:jc w:val="center"/>
              <w:rPr>
                <w:rFonts w:ascii="黑体" w:eastAsia="黑体"/>
                <w:color w:val="000000"/>
                <w:sz w:val="20"/>
                <w:szCs w:val="20"/>
              </w:rPr>
            </w:pPr>
          </w:p>
          <w:p>
            <w:pPr>
              <w:jc w:val="center"/>
              <w:rPr>
                <w:rFonts w:ascii="黑体" w:hAnsi="宋体" w:eastAsia="黑体" w:cs="宋体"/>
                <w:color w:val="000000"/>
                <w:sz w:val="20"/>
                <w:szCs w:val="20"/>
              </w:rPr>
            </w:pPr>
            <w:r>
              <w:rPr>
                <w:rFonts w:hint="eastAsia" w:ascii="黑体" w:eastAsia="黑体"/>
                <w:color w:val="000000"/>
                <w:sz w:val="20"/>
                <w:szCs w:val="20"/>
              </w:rPr>
              <w:t>行政运行　</w:t>
            </w:r>
          </w:p>
        </w:tc>
        <w:tc>
          <w:tcPr>
            <w:tcW w:w="1559" w:type="dxa"/>
            <w:gridSpan w:val="3"/>
            <w:tcBorders>
              <w:top w:val="nil"/>
              <w:left w:val="nil"/>
              <w:bottom w:val="single" w:color="auto" w:sz="4" w:space="0"/>
              <w:right w:val="single" w:color="auto" w:sz="4" w:space="0"/>
            </w:tcBorders>
            <w:vAlign w:val="center"/>
          </w:tcPr>
          <w:p>
            <w:pPr>
              <w:jc w:val="center"/>
              <w:rPr>
                <w:rFonts w:ascii="黑体" w:hAnsi="宋体" w:eastAsia="黑体" w:cs="宋体"/>
                <w:color w:val="000000"/>
                <w:sz w:val="20"/>
                <w:szCs w:val="20"/>
              </w:rPr>
            </w:pPr>
            <w:r>
              <w:rPr>
                <w:rFonts w:hint="eastAsia" w:ascii="仿宋_GB2312" w:hAnsi="宋体" w:eastAsia="仿宋_GB2312" w:cs="宋体"/>
                <w:kern w:val="0"/>
                <w:sz w:val="18"/>
                <w:szCs w:val="18"/>
              </w:rPr>
              <w:t>248.56</w:t>
            </w:r>
          </w:p>
        </w:tc>
        <w:tc>
          <w:tcPr>
            <w:tcW w:w="1701" w:type="dxa"/>
            <w:gridSpan w:val="2"/>
            <w:tcBorders>
              <w:top w:val="nil"/>
              <w:left w:val="nil"/>
              <w:bottom w:val="single" w:color="auto" w:sz="4" w:space="0"/>
              <w:right w:val="single" w:color="auto" w:sz="4" w:space="0"/>
            </w:tcBorders>
            <w:vAlign w:val="center"/>
          </w:tcPr>
          <w:p>
            <w:pPr>
              <w:jc w:val="center"/>
              <w:rPr>
                <w:rFonts w:ascii="黑体" w:hAnsi="宋体" w:eastAsia="黑体" w:cs="宋体"/>
                <w:color w:val="000000"/>
                <w:sz w:val="20"/>
                <w:szCs w:val="20"/>
              </w:rPr>
            </w:pPr>
            <w:r>
              <w:rPr>
                <w:rFonts w:hint="eastAsia" w:ascii="仿宋_GB2312" w:hAnsi="宋体" w:eastAsia="仿宋_GB2312" w:cs="宋体"/>
                <w:kern w:val="0"/>
                <w:sz w:val="18"/>
                <w:szCs w:val="18"/>
              </w:rPr>
              <w:t>248.56</w:t>
            </w:r>
          </w:p>
        </w:tc>
        <w:tc>
          <w:tcPr>
            <w:tcW w:w="1701" w:type="dxa"/>
            <w:gridSpan w:val="2"/>
            <w:tcBorders>
              <w:top w:val="nil"/>
              <w:left w:val="nil"/>
              <w:bottom w:val="single" w:color="auto" w:sz="4" w:space="0"/>
              <w:right w:val="single" w:color="auto" w:sz="4" w:space="0"/>
            </w:tcBorders>
            <w:vAlign w:val="center"/>
          </w:tcPr>
          <w:p>
            <w:pPr>
              <w:widowControl/>
              <w:jc w:val="left"/>
              <w:rPr>
                <w:rFonts w:ascii="黑体" w:hAnsi="宋体" w:eastAsia="黑体" w:cs="宋体"/>
                <w:b/>
                <w:color w:val="000000"/>
                <w:kern w:val="0"/>
                <w:sz w:val="20"/>
                <w:szCs w:val="20"/>
              </w:rPr>
            </w:pPr>
            <w:r>
              <w:rPr>
                <w:rFonts w:hint="eastAsia" w:ascii="黑体" w:hAnsi="宋体" w:eastAsia="黑体" w:cs="宋体"/>
                <w:b/>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208　</w:t>
            </w:r>
          </w:p>
        </w:tc>
        <w:tc>
          <w:tcPr>
            <w:tcW w:w="426" w:type="dxa"/>
            <w:tcBorders>
              <w:top w:val="nil"/>
              <w:left w:val="nil"/>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05　</w:t>
            </w:r>
          </w:p>
        </w:tc>
        <w:tc>
          <w:tcPr>
            <w:tcW w:w="425" w:type="dxa"/>
            <w:tcBorders>
              <w:top w:val="nil"/>
              <w:left w:val="nil"/>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02　</w:t>
            </w:r>
          </w:p>
        </w:tc>
        <w:tc>
          <w:tcPr>
            <w:tcW w:w="2693" w:type="dxa"/>
            <w:gridSpan w:val="3"/>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事业单位离退休　</w:t>
            </w:r>
          </w:p>
        </w:tc>
        <w:tc>
          <w:tcPr>
            <w:tcW w:w="1559" w:type="dxa"/>
            <w:gridSpan w:val="3"/>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5.61　</w:t>
            </w:r>
          </w:p>
        </w:tc>
        <w:tc>
          <w:tcPr>
            <w:tcW w:w="1701"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5.61　</w:t>
            </w:r>
          </w:p>
        </w:tc>
        <w:tc>
          <w:tcPr>
            <w:tcW w:w="1701" w:type="dxa"/>
            <w:gridSpan w:val="2"/>
            <w:tcBorders>
              <w:top w:val="nil"/>
              <w:left w:val="nil"/>
              <w:bottom w:val="single" w:color="auto" w:sz="4" w:space="0"/>
              <w:right w:val="single" w:color="auto" w:sz="4" w:space="0"/>
            </w:tcBorders>
            <w:vAlign w:val="center"/>
          </w:tcPr>
          <w:p>
            <w:pPr>
              <w:widowControl/>
              <w:jc w:val="left"/>
              <w:rPr>
                <w:rFonts w:ascii="黑体" w:hAnsi="宋体" w:eastAsia="黑体" w:cs="宋体"/>
                <w:color w:val="000000"/>
                <w:kern w:val="0"/>
                <w:sz w:val="20"/>
                <w:szCs w:val="20"/>
              </w:rPr>
            </w:pPr>
            <w:r>
              <w:rPr>
                <w:rFonts w:hint="eastAsia" w:ascii="黑体" w:hAnsi="宋体" w:eastAsia="黑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210　</w:t>
            </w:r>
          </w:p>
        </w:tc>
        <w:tc>
          <w:tcPr>
            <w:tcW w:w="426" w:type="dxa"/>
            <w:tcBorders>
              <w:top w:val="nil"/>
              <w:left w:val="nil"/>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05　</w:t>
            </w:r>
          </w:p>
        </w:tc>
        <w:tc>
          <w:tcPr>
            <w:tcW w:w="425" w:type="dxa"/>
            <w:tcBorders>
              <w:top w:val="nil"/>
              <w:left w:val="nil"/>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01　</w:t>
            </w:r>
          </w:p>
        </w:tc>
        <w:tc>
          <w:tcPr>
            <w:tcW w:w="2693" w:type="dxa"/>
            <w:gridSpan w:val="3"/>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行政单位医疗</w:t>
            </w:r>
          </w:p>
        </w:tc>
        <w:tc>
          <w:tcPr>
            <w:tcW w:w="1559" w:type="dxa"/>
            <w:gridSpan w:val="3"/>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11.46　</w:t>
            </w:r>
          </w:p>
        </w:tc>
        <w:tc>
          <w:tcPr>
            <w:tcW w:w="1701"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11.46　</w:t>
            </w:r>
          </w:p>
        </w:tc>
        <w:tc>
          <w:tcPr>
            <w:tcW w:w="1701" w:type="dxa"/>
            <w:gridSpan w:val="2"/>
            <w:tcBorders>
              <w:top w:val="nil"/>
              <w:left w:val="nil"/>
              <w:bottom w:val="single" w:color="auto" w:sz="4" w:space="0"/>
              <w:right w:val="single" w:color="auto" w:sz="4" w:space="0"/>
            </w:tcBorders>
            <w:vAlign w:val="center"/>
          </w:tcPr>
          <w:p>
            <w:pPr>
              <w:widowControl/>
              <w:jc w:val="left"/>
              <w:rPr>
                <w:rFonts w:ascii="黑体" w:hAnsi="宋体" w:eastAsia="黑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210　</w:t>
            </w:r>
          </w:p>
        </w:tc>
        <w:tc>
          <w:tcPr>
            <w:tcW w:w="426" w:type="dxa"/>
            <w:tcBorders>
              <w:top w:val="nil"/>
              <w:left w:val="nil"/>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05　</w:t>
            </w:r>
          </w:p>
        </w:tc>
        <w:tc>
          <w:tcPr>
            <w:tcW w:w="425" w:type="dxa"/>
            <w:tcBorders>
              <w:top w:val="nil"/>
              <w:left w:val="nil"/>
              <w:bottom w:val="single" w:color="auto" w:sz="4" w:space="0"/>
              <w:right w:val="single" w:color="auto" w:sz="4" w:space="0"/>
            </w:tcBorders>
            <w:vAlign w:val="center"/>
          </w:tcPr>
          <w:p>
            <w:pPr>
              <w:jc w:val="right"/>
              <w:rPr>
                <w:rFonts w:ascii="黑体" w:hAnsi="宋体" w:eastAsia="黑体" w:cs="宋体"/>
                <w:color w:val="000000"/>
                <w:sz w:val="20"/>
                <w:szCs w:val="20"/>
              </w:rPr>
            </w:pPr>
            <w:r>
              <w:rPr>
                <w:rFonts w:hint="eastAsia" w:ascii="黑体" w:eastAsia="黑体"/>
                <w:color w:val="000000"/>
                <w:sz w:val="20"/>
                <w:szCs w:val="20"/>
              </w:rPr>
              <w:t>03　</w:t>
            </w:r>
          </w:p>
        </w:tc>
        <w:tc>
          <w:tcPr>
            <w:tcW w:w="2693" w:type="dxa"/>
            <w:gridSpan w:val="3"/>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公务员医疗补助</w:t>
            </w:r>
          </w:p>
        </w:tc>
        <w:tc>
          <w:tcPr>
            <w:tcW w:w="1559" w:type="dxa"/>
            <w:gridSpan w:val="3"/>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8.91　</w:t>
            </w:r>
          </w:p>
        </w:tc>
        <w:tc>
          <w:tcPr>
            <w:tcW w:w="1701"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8.91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93" w:type="dxa"/>
            <w:gridSpan w:val="3"/>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gridSpan w:val="3"/>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93" w:type="dxa"/>
            <w:gridSpan w:val="3"/>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gridSpan w:val="3"/>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93" w:type="dxa"/>
            <w:gridSpan w:val="3"/>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gridSpan w:val="3"/>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93" w:type="dxa"/>
            <w:gridSpan w:val="3"/>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gridSpan w:val="3"/>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93" w:type="dxa"/>
            <w:gridSpan w:val="3"/>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gridSpan w:val="3"/>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93" w:type="dxa"/>
            <w:gridSpan w:val="3"/>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gridSpan w:val="3"/>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93" w:type="dxa"/>
            <w:gridSpan w:val="3"/>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gridSpan w:val="3"/>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93" w:type="dxa"/>
            <w:gridSpan w:val="3"/>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gridSpan w:val="3"/>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93" w:type="dxa"/>
            <w:gridSpan w:val="3"/>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gridSpan w:val="3"/>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2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2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693" w:type="dxa"/>
            <w:gridSpan w:val="3"/>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59" w:type="dxa"/>
            <w:gridSpan w:val="3"/>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93" w:type="dxa"/>
            <w:gridSpan w:val="3"/>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59" w:type="dxa"/>
            <w:gridSpan w:val="3"/>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2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2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693" w:type="dxa"/>
            <w:gridSpan w:val="3"/>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559" w:type="dxa"/>
            <w:gridSpan w:val="3"/>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ascii="黑体" w:hAnsi="宋体" w:eastAsia="黑体" w:cs="宋体"/>
                <w:kern w:val="0"/>
                <w:szCs w:val="21"/>
              </w:rPr>
              <w:t>274.56</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ascii="黑体" w:hAnsi="宋体" w:eastAsia="黑体" w:cs="宋体"/>
                <w:kern w:val="0"/>
                <w:szCs w:val="21"/>
              </w:rPr>
              <w:t>274.56</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9087" w:type="dxa"/>
            <w:gridSpan w:val="13"/>
            <w:tcBorders>
              <w:top w:val="nil"/>
              <w:left w:val="nil"/>
              <w:bottom w:val="nil"/>
              <w:right w:val="nil"/>
            </w:tcBorders>
            <w:vAlign w:val="center"/>
          </w:tcPr>
          <w:p>
            <w:pPr>
              <w:widowControl/>
              <w:rPr>
                <w:rFonts w:ascii="仿宋_GB2312" w:hAnsi="宋体" w:eastAsia="仿宋_GB2312" w:cs="宋体"/>
                <w:b/>
                <w:bCs/>
                <w:color w:val="000000"/>
                <w:kern w:val="0"/>
                <w:sz w:val="32"/>
                <w:szCs w:val="32"/>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shd w:val="clear" w:color="auto" w:fill="FFFFFF"/>
          </w:tcPr>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c>
        <w:tc>
          <w:tcPr>
            <w:tcW w:w="1687" w:type="dxa"/>
            <w:shd w:val="clear" w:color="auto" w:fill="FFFFFF"/>
          </w:tcPr>
          <w:p>
            <w:pPr>
              <w:widowControl/>
              <w:jc w:val="left"/>
              <w:outlineLvl w:val="1"/>
              <w:rPr>
                <w:rFonts w:ascii="仿宋_GB2312" w:hAnsi="宋体" w:eastAsia="仿宋_GB2312"/>
                <w:b/>
                <w:kern w:val="0"/>
                <w:sz w:val="32"/>
                <w:szCs w:val="32"/>
              </w:rPr>
            </w:pPr>
          </w:p>
        </w:tc>
        <w:tc>
          <w:tcPr>
            <w:tcW w:w="1436" w:type="dxa"/>
            <w:gridSpan w:val="3"/>
            <w:shd w:val="clear" w:color="auto" w:fill="FFFFFF"/>
          </w:tcPr>
          <w:p>
            <w:pPr>
              <w:widowControl/>
              <w:jc w:val="left"/>
              <w:outlineLvl w:val="1"/>
              <w:rPr>
                <w:rFonts w:ascii="仿宋_GB2312" w:hAnsi="宋体" w:eastAsia="仿宋_GB2312"/>
                <w:b/>
                <w:kern w:val="0"/>
                <w:sz w:val="32"/>
                <w:szCs w:val="32"/>
              </w:rPr>
            </w:pPr>
          </w:p>
        </w:tc>
        <w:tc>
          <w:tcPr>
            <w:tcW w:w="2422" w:type="dxa"/>
            <w:gridSpan w:val="4"/>
            <w:shd w:val="clear" w:color="auto" w:fill="FFFFFF"/>
          </w:tcPr>
          <w:p>
            <w:pPr>
              <w:widowControl/>
              <w:jc w:val="left"/>
              <w:outlineLvl w:val="1"/>
              <w:rPr>
                <w:rFonts w:ascii="仿宋_GB2312" w:hAnsi="宋体" w:eastAsia="仿宋_GB2312"/>
                <w:b/>
                <w:kern w:val="0"/>
                <w:sz w:val="32"/>
                <w:szCs w:val="32"/>
              </w:rPr>
            </w:pPr>
          </w:p>
        </w:tc>
      </w:tr>
      <w:tr>
        <w:tblPrEx>
          <w:tblLayout w:type="fixed"/>
          <w:tblCellMar>
            <w:top w:w="15" w:type="dxa"/>
            <w:left w:w="15" w:type="dxa"/>
            <w:bottom w:w="15" w:type="dxa"/>
            <w:right w:w="15" w:type="dxa"/>
          </w:tblCellMar>
        </w:tblPrEx>
        <w:trPr>
          <w:gridAfter w:val="1"/>
          <w:wAfter w:w="1200" w:type="dxa"/>
          <w:trHeight w:val="585" w:hRule="atLeast"/>
        </w:trPr>
        <w:tc>
          <w:tcPr>
            <w:tcW w:w="7887" w:type="dxa"/>
            <w:gridSpan w:val="12"/>
            <w:shd w:val="clear" w:color="auto" w:fill="FFFFFF"/>
            <w:vAlign w:val="center"/>
          </w:tcPr>
          <w:p>
            <w:pPr>
              <w:widowControl/>
              <w:ind w:firstLine="1767" w:firstLineChars="550"/>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一般公共预算基本支出情况表</w:t>
            </w: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shd w:val="clear" w:color="auto" w:fill="FFFFFF"/>
          </w:tcPr>
          <w:p>
            <w:pPr>
              <w:rPr>
                <w:b/>
              </w:rPr>
            </w:pPr>
            <w:r>
              <w:rPr>
                <w:rFonts w:hint="eastAsia" w:ascii="黑体" w:hAnsi="宋体" w:eastAsia="黑体"/>
                <w:b/>
                <w:kern w:val="0"/>
                <w:sz w:val="18"/>
                <w:szCs w:val="18"/>
              </w:rPr>
              <w:t>编制部门：吉木萨尔县国库支付中心</w:t>
            </w:r>
          </w:p>
        </w:tc>
        <w:tc>
          <w:tcPr>
            <w:tcW w:w="1687" w:type="dxa"/>
            <w:shd w:val="clear" w:color="auto" w:fill="FFFFFF"/>
          </w:tcPr>
          <w:p>
            <w:pPr>
              <w:rPr>
                <w:b/>
              </w:rPr>
            </w:pPr>
          </w:p>
        </w:tc>
        <w:tc>
          <w:tcPr>
            <w:tcW w:w="1436" w:type="dxa"/>
            <w:gridSpan w:val="3"/>
            <w:shd w:val="clear" w:color="auto" w:fill="FFFFFF"/>
          </w:tcPr>
          <w:p>
            <w:pPr>
              <w:rPr>
                <w:b/>
              </w:rPr>
            </w:pPr>
          </w:p>
        </w:tc>
        <w:tc>
          <w:tcPr>
            <w:tcW w:w="2422" w:type="dxa"/>
            <w:gridSpan w:val="4"/>
            <w:shd w:val="clear" w:color="auto" w:fill="FFFFFF"/>
            <w:vAlign w:val="bottom"/>
          </w:tcPr>
          <w:p>
            <w:pPr>
              <w:rPr>
                <w:b/>
              </w:rPr>
            </w:pPr>
            <w:r>
              <w:rPr>
                <w:rFonts w:hint="eastAsia"/>
                <w:b/>
              </w:rPr>
              <w:t>单位：万元</w:t>
            </w: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项目</w:t>
            </w:r>
          </w:p>
        </w:tc>
        <w:tc>
          <w:tcPr>
            <w:tcW w:w="5545" w:type="dxa"/>
            <w:gridSpan w:val="8"/>
            <w:tcBorders>
              <w:top w:val="single" w:color="000000" w:sz="4" w:space="0"/>
              <w:bottom w:val="single" w:color="000000" w:sz="4" w:space="0"/>
              <w:right w:val="single" w:color="000000" w:sz="4" w:space="0"/>
            </w:tcBorders>
            <w:shd w:val="clear" w:color="auto" w:fill="FFFFFF"/>
            <w:vAlign w:val="center"/>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一般公共预算基本支出</w:t>
            </w: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vMerge w:val="restart"/>
            <w:tcBorders>
              <w:left w:val="single" w:color="000000" w:sz="4" w:space="0"/>
              <w:bottom w:val="single" w:color="000000" w:sz="4" w:space="0"/>
              <w:right w:val="single" w:color="000000" w:sz="4" w:space="0"/>
            </w:tcBorders>
            <w:shd w:val="clear" w:color="auto" w:fill="FFFFFF"/>
            <w:vAlign w:val="center"/>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经济分类科目名称</w:t>
            </w:r>
          </w:p>
        </w:tc>
        <w:tc>
          <w:tcPr>
            <w:tcW w:w="1687" w:type="dxa"/>
            <w:vMerge w:val="restart"/>
            <w:tcBorders>
              <w:bottom w:val="single" w:color="000000" w:sz="4" w:space="0"/>
              <w:right w:val="single" w:color="000000" w:sz="4" w:space="0"/>
            </w:tcBorders>
            <w:shd w:val="clear" w:color="auto" w:fill="FFFFFF"/>
            <w:vAlign w:val="center"/>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小计</w:t>
            </w:r>
          </w:p>
        </w:tc>
        <w:tc>
          <w:tcPr>
            <w:tcW w:w="1436" w:type="dxa"/>
            <w:gridSpan w:val="3"/>
            <w:vMerge w:val="restart"/>
            <w:tcBorders>
              <w:bottom w:val="single" w:color="000000" w:sz="4" w:space="0"/>
              <w:right w:val="single" w:color="000000" w:sz="4" w:space="0"/>
            </w:tcBorders>
            <w:shd w:val="clear" w:color="auto" w:fill="FFFFFF"/>
            <w:vAlign w:val="center"/>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人员经费</w:t>
            </w:r>
          </w:p>
        </w:tc>
        <w:tc>
          <w:tcPr>
            <w:tcW w:w="2422" w:type="dxa"/>
            <w:gridSpan w:val="4"/>
            <w:vMerge w:val="restart"/>
            <w:tcBorders>
              <w:bottom w:val="single" w:color="000000" w:sz="4" w:space="0"/>
              <w:right w:val="single" w:color="000000" w:sz="4" w:space="0"/>
            </w:tcBorders>
            <w:shd w:val="clear" w:color="auto" w:fill="FFFFFF"/>
            <w:vAlign w:val="center"/>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公用经费</w:t>
            </w: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vMerge w:val="continue"/>
            <w:tcBorders>
              <w:left w:val="single" w:color="000000" w:sz="4" w:space="0"/>
              <w:bottom w:val="single" w:color="000000" w:sz="4" w:space="0"/>
              <w:right w:val="single" w:color="000000" w:sz="4" w:space="0"/>
            </w:tcBorders>
            <w:shd w:val="clear" w:color="auto" w:fill="FFFFFF"/>
            <w:vAlign w:val="center"/>
          </w:tcPr>
          <w:p>
            <w:pPr>
              <w:widowControl/>
              <w:jc w:val="center"/>
              <w:outlineLvl w:val="1"/>
              <w:rPr>
                <w:rFonts w:ascii="黑体" w:hAnsi="宋体" w:eastAsia="黑体"/>
                <w:b/>
                <w:kern w:val="0"/>
                <w:sz w:val="18"/>
                <w:szCs w:val="18"/>
              </w:rPr>
            </w:pPr>
          </w:p>
        </w:tc>
        <w:tc>
          <w:tcPr>
            <w:tcW w:w="1687" w:type="dxa"/>
            <w:vMerge w:val="continue"/>
            <w:tcBorders>
              <w:bottom w:val="single" w:color="000000" w:sz="4" w:space="0"/>
              <w:right w:val="single" w:color="000000" w:sz="4" w:space="0"/>
            </w:tcBorders>
            <w:shd w:val="clear" w:color="auto" w:fill="FFFFFF"/>
            <w:vAlign w:val="center"/>
          </w:tcPr>
          <w:p>
            <w:pPr>
              <w:widowControl/>
              <w:jc w:val="center"/>
              <w:outlineLvl w:val="1"/>
              <w:rPr>
                <w:rFonts w:ascii="黑体" w:hAnsi="宋体" w:eastAsia="黑体"/>
                <w:b/>
                <w:kern w:val="0"/>
                <w:sz w:val="18"/>
                <w:szCs w:val="18"/>
              </w:rPr>
            </w:pPr>
          </w:p>
        </w:tc>
        <w:tc>
          <w:tcPr>
            <w:tcW w:w="1436" w:type="dxa"/>
            <w:gridSpan w:val="3"/>
            <w:vMerge w:val="continue"/>
            <w:tcBorders>
              <w:bottom w:val="single" w:color="000000" w:sz="4" w:space="0"/>
              <w:right w:val="single" w:color="000000" w:sz="4" w:space="0"/>
            </w:tcBorders>
            <w:shd w:val="clear" w:color="auto" w:fill="FFFFFF"/>
            <w:vAlign w:val="center"/>
          </w:tcPr>
          <w:p>
            <w:pPr>
              <w:widowControl/>
              <w:jc w:val="center"/>
              <w:outlineLvl w:val="1"/>
              <w:rPr>
                <w:rFonts w:ascii="黑体" w:hAnsi="宋体" w:eastAsia="黑体"/>
                <w:b/>
                <w:kern w:val="0"/>
                <w:sz w:val="18"/>
                <w:szCs w:val="18"/>
              </w:rPr>
            </w:pPr>
          </w:p>
        </w:tc>
        <w:tc>
          <w:tcPr>
            <w:tcW w:w="2422" w:type="dxa"/>
            <w:gridSpan w:val="4"/>
            <w:vMerge w:val="continue"/>
            <w:tcBorders>
              <w:bottom w:val="single" w:color="000000" w:sz="4" w:space="0"/>
              <w:right w:val="single" w:color="000000" w:sz="4" w:space="0"/>
            </w:tcBorders>
            <w:shd w:val="clear" w:color="auto" w:fill="FFFFFF"/>
            <w:vAlign w:val="center"/>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总计</w:t>
            </w:r>
            <w:r>
              <w:rPr>
                <w:rFonts w:ascii="黑体" w:hAnsi="宋体" w:eastAsia="黑体"/>
                <w:b/>
                <w:kern w:val="0"/>
                <w:sz w:val="18"/>
                <w:szCs w:val="18"/>
              </w:rPr>
              <w:t>:</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274.56</w:t>
            </w: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235.17</w:t>
            </w: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39.39</w:t>
            </w: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3010101-</w:t>
            </w:r>
            <w:r>
              <w:rPr>
                <w:rFonts w:hint="eastAsia" w:ascii="黑体" w:hAnsi="宋体" w:eastAsia="黑体"/>
                <w:b/>
                <w:kern w:val="0"/>
                <w:sz w:val="18"/>
                <w:szCs w:val="18"/>
              </w:rPr>
              <w:t>职务工资</w:t>
            </w:r>
            <w:r>
              <w:rPr>
                <w:rFonts w:ascii="黑体" w:hAnsi="宋体" w:eastAsia="黑体"/>
                <w:b/>
                <w:kern w:val="0"/>
                <w:sz w:val="18"/>
                <w:szCs w:val="18"/>
              </w:rPr>
              <w:t>(</w:t>
            </w:r>
            <w:r>
              <w:rPr>
                <w:rFonts w:hint="eastAsia" w:ascii="黑体" w:hAnsi="宋体" w:eastAsia="黑体"/>
                <w:b/>
                <w:kern w:val="0"/>
                <w:sz w:val="18"/>
                <w:szCs w:val="18"/>
              </w:rPr>
              <w:t>岗位工资</w:t>
            </w:r>
            <w:r>
              <w:rPr>
                <w:rFonts w:ascii="黑体" w:hAnsi="宋体" w:eastAsia="黑体"/>
                <w:b/>
                <w:kern w:val="0"/>
                <w:sz w:val="18"/>
                <w:szCs w:val="18"/>
              </w:rPr>
              <w:t>)</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26.57</w:t>
            </w: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26.57</w:t>
            </w: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90"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3010102-</w:t>
            </w:r>
            <w:r>
              <w:rPr>
                <w:rFonts w:hint="eastAsia" w:ascii="黑体" w:hAnsi="宋体" w:eastAsia="黑体"/>
                <w:b/>
                <w:kern w:val="0"/>
                <w:sz w:val="18"/>
                <w:szCs w:val="18"/>
              </w:rPr>
              <w:t>级别工资</w:t>
            </w:r>
            <w:r>
              <w:rPr>
                <w:rFonts w:ascii="黑体" w:hAnsi="宋体" w:eastAsia="黑体"/>
                <w:b/>
                <w:kern w:val="0"/>
                <w:sz w:val="18"/>
                <w:szCs w:val="18"/>
              </w:rPr>
              <w:t>(</w:t>
            </w:r>
            <w:r>
              <w:rPr>
                <w:rFonts w:hint="eastAsia" w:ascii="黑体" w:hAnsi="宋体" w:eastAsia="黑体"/>
                <w:b/>
                <w:kern w:val="0"/>
                <w:sz w:val="18"/>
                <w:szCs w:val="18"/>
              </w:rPr>
              <w:t>薪级工资</w:t>
            </w:r>
            <w:r>
              <w:rPr>
                <w:rFonts w:ascii="黑体" w:hAnsi="宋体" w:eastAsia="黑体"/>
                <w:b/>
                <w:kern w:val="0"/>
                <w:sz w:val="18"/>
                <w:szCs w:val="18"/>
              </w:rPr>
              <w:t>)</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34.4</w:t>
            </w: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34.4</w:t>
            </w: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5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3010201-</w:t>
            </w:r>
            <w:r>
              <w:rPr>
                <w:rFonts w:hint="eastAsia" w:ascii="黑体" w:hAnsi="宋体" w:eastAsia="黑体"/>
                <w:b/>
                <w:kern w:val="0"/>
                <w:sz w:val="18"/>
                <w:szCs w:val="18"/>
              </w:rPr>
              <w:t>高定工资</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3.75</w:t>
            </w: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3.75</w:t>
            </w: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3010202-</w:t>
            </w:r>
            <w:r>
              <w:rPr>
                <w:rFonts w:hint="eastAsia" w:ascii="黑体" w:hAnsi="宋体" w:eastAsia="黑体"/>
                <w:b/>
                <w:kern w:val="0"/>
                <w:sz w:val="18"/>
                <w:szCs w:val="18"/>
              </w:rPr>
              <w:t>保留地区补贴</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1.25</w:t>
            </w: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3010203-</w:t>
            </w:r>
            <w:r>
              <w:rPr>
                <w:rFonts w:hint="eastAsia" w:ascii="黑体" w:hAnsi="宋体" w:eastAsia="黑体"/>
                <w:b/>
                <w:kern w:val="0"/>
                <w:sz w:val="18"/>
                <w:szCs w:val="18"/>
              </w:rPr>
              <w:t>保留地区补贴保留额</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3010204-</w:t>
            </w:r>
            <w:r>
              <w:rPr>
                <w:rFonts w:hint="eastAsia" w:ascii="黑体" w:hAnsi="宋体" w:eastAsia="黑体"/>
                <w:b/>
                <w:kern w:val="0"/>
                <w:sz w:val="18"/>
                <w:szCs w:val="18"/>
              </w:rPr>
              <w:t>艰苦边远地区津贴</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9.3</w:t>
            </w: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9.3</w:t>
            </w: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3010208-</w:t>
            </w:r>
            <w:r>
              <w:rPr>
                <w:rFonts w:hint="eastAsia" w:ascii="黑体" w:hAnsi="宋体" w:eastAsia="黑体"/>
                <w:b/>
                <w:kern w:val="0"/>
                <w:sz w:val="18"/>
                <w:szCs w:val="18"/>
              </w:rPr>
              <w:t>纳入绩效工资的活工资</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3010209-</w:t>
            </w:r>
            <w:r>
              <w:rPr>
                <w:rFonts w:hint="eastAsia" w:ascii="黑体" w:hAnsi="宋体" w:eastAsia="黑体"/>
                <w:b/>
                <w:kern w:val="0"/>
                <w:sz w:val="18"/>
                <w:szCs w:val="18"/>
              </w:rPr>
              <w:t>绩效工资</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3010210-</w:t>
            </w:r>
            <w:r>
              <w:rPr>
                <w:rFonts w:hint="eastAsia" w:ascii="黑体" w:hAnsi="宋体" w:eastAsia="黑体"/>
                <w:b/>
                <w:kern w:val="0"/>
                <w:sz w:val="18"/>
                <w:szCs w:val="18"/>
              </w:rPr>
              <w:t>岗位津贴补贴</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3010212-</w:t>
            </w:r>
            <w:r>
              <w:rPr>
                <w:rFonts w:hint="eastAsia" w:ascii="黑体" w:hAnsi="宋体" w:eastAsia="黑体"/>
                <w:b/>
                <w:kern w:val="0"/>
                <w:sz w:val="18"/>
                <w:szCs w:val="18"/>
              </w:rPr>
              <w:t>地方津贴补贴</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45.71</w:t>
            </w: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45.7</w:t>
            </w: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3010213-</w:t>
            </w:r>
            <w:r>
              <w:rPr>
                <w:rFonts w:hint="eastAsia" w:ascii="黑体" w:hAnsi="宋体" w:eastAsia="黑体"/>
                <w:b/>
                <w:kern w:val="0"/>
                <w:sz w:val="18"/>
                <w:szCs w:val="18"/>
              </w:rPr>
              <w:t>基层补贴</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3010216-</w:t>
            </w:r>
            <w:r>
              <w:rPr>
                <w:rFonts w:hint="eastAsia" w:ascii="黑体" w:hAnsi="宋体" w:eastAsia="黑体"/>
                <w:b/>
                <w:kern w:val="0"/>
                <w:sz w:val="18"/>
                <w:szCs w:val="18"/>
              </w:rPr>
              <w:t>冬季取暖补贴</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3010301-</w:t>
            </w:r>
            <w:r>
              <w:rPr>
                <w:rFonts w:hint="eastAsia" w:ascii="黑体" w:hAnsi="宋体" w:eastAsia="黑体"/>
                <w:b/>
                <w:kern w:val="0"/>
                <w:sz w:val="18"/>
                <w:szCs w:val="18"/>
              </w:rPr>
              <w:t>年终一次性奖金</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4.55</w:t>
            </w: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4.56</w:t>
            </w: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3010305-</w:t>
            </w:r>
            <w:r>
              <w:rPr>
                <w:rFonts w:hint="eastAsia" w:ascii="黑体" w:hAnsi="宋体" w:eastAsia="黑体"/>
                <w:b/>
                <w:kern w:val="0"/>
                <w:sz w:val="18"/>
                <w:szCs w:val="18"/>
              </w:rPr>
              <w:t>考核优秀奖</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0.24</w:t>
            </w: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0.24</w:t>
            </w: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3010306-</w:t>
            </w:r>
            <w:r>
              <w:rPr>
                <w:rFonts w:hint="eastAsia" w:ascii="黑体" w:hAnsi="宋体" w:eastAsia="黑体"/>
                <w:b/>
                <w:kern w:val="0"/>
                <w:sz w:val="18"/>
                <w:szCs w:val="18"/>
              </w:rPr>
              <w:t>绩效考核奖</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10</w:t>
            </w: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10</w:t>
            </w: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3010307-</w:t>
            </w:r>
            <w:r>
              <w:rPr>
                <w:rFonts w:hint="eastAsia" w:ascii="黑体" w:hAnsi="宋体" w:eastAsia="黑体"/>
                <w:b/>
                <w:kern w:val="0"/>
                <w:sz w:val="18"/>
                <w:szCs w:val="18"/>
              </w:rPr>
              <w:t>精神文明奖</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3010308-</w:t>
            </w:r>
            <w:r>
              <w:rPr>
                <w:rFonts w:hint="eastAsia" w:ascii="黑体" w:hAnsi="宋体" w:eastAsia="黑体"/>
                <w:b/>
                <w:kern w:val="0"/>
                <w:sz w:val="18"/>
                <w:szCs w:val="18"/>
              </w:rPr>
              <w:t>综合治理奖</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30108-</w:t>
            </w:r>
            <w:r>
              <w:rPr>
                <w:rFonts w:hint="eastAsia" w:ascii="黑体" w:hAnsi="宋体" w:eastAsia="黑体"/>
                <w:b/>
                <w:kern w:val="0"/>
                <w:sz w:val="18"/>
                <w:szCs w:val="18"/>
              </w:rPr>
              <w:t>机关事业单位基本养老保险缴费</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24.37</w:t>
            </w: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24.37</w:t>
            </w: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30109-</w:t>
            </w:r>
            <w:r>
              <w:rPr>
                <w:rFonts w:hint="eastAsia" w:ascii="黑体" w:hAnsi="宋体" w:eastAsia="黑体"/>
                <w:b/>
                <w:kern w:val="0"/>
                <w:sz w:val="18"/>
                <w:szCs w:val="18"/>
              </w:rPr>
              <w:t>职业年金缴费</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9.75</w:t>
            </w: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9.75</w:t>
            </w: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3011001-</w:t>
            </w:r>
            <w:r>
              <w:rPr>
                <w:rFonts w:hint="eastAsia" w:ascii="黑体" w:hAnsi="宋体" w:eastAsia="黑体"/>
                <w:b/>
                <w:kern w:val="0"/>
                <w:sz w:val="18"/>
                <w:szCs w:val="18"/>
              </w:rPr>
              <w:t>基本医疗保险</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11.46</w:t>
            </w: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11.46</w:t>
            </w: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30111-</w:t>
            </w:r>
            <w:r>
              <w:rPr>
                <w:rFonts w:hint="eastAsia" w:ascii="黑体" w:hAnsi="宋体" w:eastAsia="黑体"/>
                <w:b/>
                <w:kern w:val="0"/>
                <w:sz w:val="18"/>
                <w:szCs w:val="18"/>
              </w:rPr>
              <w:t>公务员医疗补助缴费</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8.91</w:t>
            </w: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3011201-</w:t>
            </w:r>
            <w:r>
              <w:rPr>
                <w:rFonts w:hint="eastAsia" w:ascii="黑体" w:hAnsi="宋体" w:eastAsia="黑体"/>
                <w:b/>
                <w:kern w:val="0"/>
                <w:sz w:val="18"/>
                <w:szCs w:val="18"/>
              </w:rPr>
              <w:t>失业保险</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0.085</w:t>
            </w: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0.085</w:t>
            </w: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3011202-</w:t>
            </w:r>
            <w:r>
              <w:rPr>
                <w:rFonts w:hint="eastAsia" w:ascii="黑体" w:hAnsi="宋体" w:eastAsia="黑体"/>
                <w:b/>
                <w:kern w:val="0"/>
                <w:sz w:val="18"/>
                <w:szCs w:val="18"/>
              </w:rPr>
              <w:t>工伤保险</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0.24</w:t>
            </w: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0.24</w:t>
            </w: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3011203-</w:t>
            </w:r>
            <w:r>
              <w:rPr>
                <w:rFonts w:hint="eastAsia" w:ascii="黑体" w:hAnsi="宋体" w:eastAsia="黑体"/>
                <w:b/>
                <w:kern w:val="0"/>
                <w:sz w:val="18"/>
                <w:szCs w:val="18"/>
                <w:lang w:eastAsia="zh-CN"/>
              </w:rPr>
              <w:t>SY</w:t>
            </w:r>
            <w:r>
              <w:rPr>
                <w:rFonts w:hint="eastAsia" w:ascii="黑体" w:hAnsi="宋体" w:eastAsia="黑体"/>
                <w:b/>
                <w:kern w:val="0"/>
                <w:sz w:val="18"/>
                <w:szCs w:val="18"/>
              </w:rPr>
              <w:t>保险</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0.61</w:t>
            </w: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0.61</w:t>
            </w: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30113-</w:t>
            </w:r>
            <w:r>
              <w:rPr>
                <w:rFonts w:hint="eastAsia" w:ascii="黑体" w:hAnsi="宋体" w:eastAsia="黑体"/>
                <w:b/>
                <w:kern w:val="0"/>
                <w:sz w:val="18"/>
                <w:szCs w:val="18"/>
              </w:rPr>
              <w:t>住房公积金</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30199-</w:t>
            </w:r>
            <w:r>
              <w:rPr>
                <w:rFonts w:hint="eastAsia" w:ascii="黑体" w:hAnsi="宋体" w:eastAsia="黑体"/>
                <w:b/>
                <w:kern w:val="0"/>
                <w:sz w:val="18"/>
                <w:szCs w:val="18"/>
              </w:rPr>
              <w:t>其他工资福利支出</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30201-</w:t>
            </w:r>
            <w:r>
              <w:rPr>
                <w:rFonts w:hint="eastAsia" w:ascii="黑体" w:hAnsi="宋体" w:eastAsia="黑体"/>
                <w:b/>
                <w:kern w:val="0"/>
                <w:sz w:val="18"/>
                <w:szCs w:val="18"/>
              </w:rPr>
              <w:t>办公费</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5.6</w:t>
            </w: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5.6</w:t>
            </w: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30208-</w:t>
            </w:r>
            <w:r>
              <w:rPr>
                <w:rFonts w:hint="eastAsia" w:ascii="黑体" w:hAnsi="宋体" w:eastAsia="黑体"/>
                <w:b/>
                <w:kern w:val="0"/>
                <w:sz w:val="18"/>
                <w:szCs w:val="18"/>
              </w:rPr>
              <w:t>取暖费</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30225培训费</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1.07</w:t>
            </w: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1.07</w:t>
            </w: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30226-</w:t>
            </w:r>
            <w:r>
              <w:rPr>
                <w:rFonts w:hint="eastAsia" w:ascii="黑体" w:hAnsi="宋体" w:eastAsia="黑体"/>
                <w:b/>
                <w:kern w:val="0"/>
                <w:sz w:val="18"/>
                <w:szCs w:val="18"/>
              </w:rPr>
              <w:t>劳务费</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30228-</w:t>
            </w:r>
            <w:r>
              <w:rPr>
                <w:rFonts w:hint="eastAsia" w:ascii="黑体" w:hAnsi="宋体" w:eastAsia="黑体"/>
                <w:b/>
                <w:kern w:val="0"/>
                <w:sz w:val="18"/>
                <w:szCs w:val="18"/>
              </w:rPr>
              <w:t>工会经费</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1.43</w:t>
            </w: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1.43</w:t>
            </w: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30229-</w:t>
            </w:r>
            <w:r>
              <w:rPr>
                <w:rFonts w:hint="eastAsia" w:ascii="黑体" w:hAnsi="宋体" w:eastAsia="黑体"/>
                <w:b/>
                <w:kern w:val="0"/>
                <w:sz w:val="18"/>
                <w:szCs w:val="18"/>
              </w:rPr>
              <w:t>福利费</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1.29</w:t>
            </w: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1.29</w:t>
            </w: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30227公务用车维护费</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30299-</w:t>
            </w:r>
            <w:r>
              <w:rPr>
                <w:rFonts w:hint="eastAsia" w:ascii="黑体" w:hAnsi="宋体" w:eastAsia="黑体"/>
                <w:b/>
                <w:kern w:val="0"/>
                <w:sz w:val="18"/>
                <w:szCs w:val="18"/>
              </w:rPr>
              <w:t>其他商品和服务支出</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30</w:t>
            </w: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30</w:t>
            </w: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3030203-</w:t>
            </w:r>
            <w:r>
              <w:rPr>
                <w:rFonts w:hint="eastAsia" w:ascii="黑体" w:hAnsi="宋体" w:eastAsia="黑体"/>
                <w:b/>
                <w:kern w:val="0"/>
                <w:sz w:val="18"/>
                <w:szCs w:val="18"/>
              </w:rPr>
              <w:t>退休人员福利费</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0.001</w:t>
            </w: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0.001</w:t>
            </w: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3030204-</w:t>
            </w:r>
            <w:r>
              <w:rPr>
                <w:rFonts w:hint="eastAsia" w:ascii="黑体" w:hAnsi="宋体" w:eastAsia="黑体"/>
                <w:b/>
                <w:kern w:val="0"/>
                <w:sz w:val="18"/>
                <w:szCs w:val="18"/>
              </w:rPr>
              <w:t>退休费</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3.24</w:t>
            </w: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3.24</w:t>
            </w: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303026津贴补贴</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2.21</w:t>
            </w: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2.21</w:t>
            </w: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3030205-</w:t>
            </w:r>
            <w:r>
              <w:rPr>
                <w:rFonts w:hint="eastAsia" w:ascii="黑体" w:hAnsi="宋体" w:eastAsia="黑体"/>
                <w:b/>
                <w:kern w:val="0"/>
                <w:sz w:val="18"/>
                <w:szCs w:val="18"/>
              </w:rPr>
              <w:t>冬季取暖补贴</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0.092</w:t>
            </w: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0.092</w:t>
            </w: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3030207-</w:t>
            </w:r>
            <w:r>
              <w:rPr>
                <w:rFonts w:hint="eastAsia" w:ascii="黑体" w:hAnsi="宋体" w:eastAsia="黑体"/>
                <w:b/>
                <w:kern w:val="0"/>
                <w:sz w:val="18"/>
                <w:szCs w:val="18"/>
              </w:rPr>
              <w:t>退休人员独生子女费</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3030302-</w:t>
            </w:r>
            <w:r>
              <w:rPr>
                <w:rFonts w:hint="eastAsia" w:ascii="黑体" w:hAnsi="宋体" w:eastAsia="黑体"/>
                <w:b/>
                <w:kern w:val="0"/>
                <w:sz w:val="18"/>
                <w:szCs w:val="18"/>
              </w:rPr>
              <w:t>交通费</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0.018</w:t>
            </w: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0.018</w:t>
            </w: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3030303-</w:t>
            </w:r>
            <w:r>
              <w:rPr>
                <w:rFonts w:hint="eastAsia" w:ascii="黑体" w:hAnsi="宋体" w:eastAsia="黑体"/>
                <w:b/>
                <w:kern w:val="0"/>
                <w:sz w:val="18"/>
                <w:szCs w:val="18"/>
              </w:rPr>
              <w:t>冬季取暖补贴</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3030506-</w:t>
            </w:r>
            <w:r>
              <w:rPr>
                <w:rFonts w:hint="eastAsia" w:ascii="黑体" w:hAnsi="宋体" w:eastAsia="黑体"/>
                <w:b/>
                <w:kern w:val="0"/>
                <w:sz w:val="18"/>
                <w:szCs w:val="18"/>
              </w:rPr>
              <w:t>遗属生活补助</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3039901-</w:t>
            </w:r>
            <w:r>
              <w:rPr>
                <w:rFonts w:hint="eastAsia" w:ascii="黑体" w:hAnsi="宋体" w:eastAsia="黑体"/>
                <w:b/>
                <w:kern w:val="0"/>
                <w:sz w:val="18"/>
                <w:szCs w:val="18"/>
              </w:rPr>
              <w:t>独生子女费</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r>
              <w:rPr>
                <w:rFonts w:ascii="黑体" w:hAnsi="宋体" w:eastAsia="黑体"/>
                <w:b/>
                <w:kern w:val="0"/>
                <w:sz w:val="18"/>
                <w:szCs w:val="18"/>
              </w:rPr>
              <w:t>3039903-</w:t>
            </w:r>
            <w:r>
              <w:rPr>
                <w:rFonts w:hint="eastAsia" w:ascii="黑体" w:hAnsi="宋体" w:eastAsia="黑体"/>
                <w:b/>
                <w:kern w:val="0"/>
                <w:sz w:val="18"/>
                <w:szCs w:val="18"/>
                <w:lang w:eastAsia="zh-CN"/>
              </w:rPr>
              <w:t>人员</w:t>
            </w:r>
            <w:r>
              <w:rPr>
                <w:rFonts w:hint="eastAsia" w:ascii="黑体" w:hAnsi="宋体" w:eastAsia="黑体"/>
                <w:b/>
                <w:kern w:val="0"/>
                <w:sz w:val="18"/>
                <w:szCs w:val="18"/>
              </w:rPr>
              <w:t>补助</w:t>
            </w: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tcBorders>
              <w:left w:val="single" w:color="000000" w:sz="4" w:space="0"/>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1687" w:type="dxa"/>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1436" w:type="dxa"/>
            <w:gridSpan w:val="3"/>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c>
          <w:tcPr>
            <w:tcW w:w="2422" w:type="dxa"/>
            <w:gridSpan w:val="4"/>
            <w:tcBorders>
              <w:bottom w:val="single" w:color="000000" w:sz="4" w:space="0"/>
              <w:right w:val="single" w:color="000000" w:sz="4" w:space="0"/>
            </w:tcBorders>
            <w:shd w:val="clear" w:color="auto" w:fill="FFFFFF"/>
          </w:tcPr>
          <w:p>
            <w:pPr>
              <w:widowControl/>
              <w:jc w:val="center"/>
              <w:outlineLvl w:val="1"/>
              <w:rPr>
                <w:rFonts w:ascii="黑体" w:hAnsi="宋体" w:eastAsia="黑体"/>
                <w:b/>
                <w:kern w:val="0"/>
                <w:sz w:val="18"/>
                <w:szCs w:val="18"/>
              </w:rPr>
            </w:pPr>
          </w:p>
        </w:tc>
      </w:tr>
      <w:tr>
        <w:tblPrEx>
          <w:tblLayout w:type="fixed"/>
          <w:tblCellMar>
            <w:top w:w="15" w:type="dxa"/>
            <w:left w:w="15" w:type="dxa"/>
            <w:bottom w:w="15" w:type="dxa"/>
            <w:right w:w="15" w:type="dxa"/>
          </w:tblCellMar>
        </w:tblPrEx>
        <w:trPr>
          <w:gridAfter w:val="1"/>
          <w:wAfter w:w="1200" w:type="dxa"/>
          <w:trHeight w:val="345" w:hRule="atLeast"/>
        </w:trPr>
        <w:tc>
          <w:tcPr>
            <w:tcW w:w="2342" w:type="dxa"/>
            <w:gridSpan w:val="4"/>
            <w:shd w:val="clear" w:color="auto" w:fill="FFFFFF"/>
          </w:tcPr>
          <w:p>
            <w:pPr>
              <w:widowControl/>
              <w:jc w:val="center"/>
              <w:outlineLvl w:val="1"/>
              <w:rPr>
                <w:rFonts w:ascii="黑体" w:hAnsi="宋体" w:eastAsia="黑体"/>
                <w:b/>
                <w:kern w:val="0"/>
                <w:sz w:val="18"/>
                <w:szCs w:val="18"/>
              </w:rPr>
            </w:pPr>
          </w:p>
        </w:tc>
        <w:tc>
          <w:tcPr>
            <w:tcW w:w="1687" w:type="dxa"/>
            <w:shd w:val="clear" w:color="auto" w:fill="FFFFFF"/>
          </w:tcPr>
          <w:p>
            <w:pPr>
              <w:widowControl/>
              <w:jc w:val="center"/>
              <w:outlineLvl w:val="1"/>
              <w:rPr>
                <w:rFonts w:ascii="黑体" w:hAnsi="宋体" w:eastAsia="黑体"/>
                <w:b/>
                <w:kern w:val="0"/>
                <w:sz w:val="18"/>
                <w:szCs w:val="18"/>
              </w:rPr>
            </w:pPr>
          </w:p>
        </w:tc>
        <w:tc>
          <w:tcPr>
            <w:tcW w:w="1436" w:type="dxa"/>
            <w:gridSpan w:val="3"/>
            <w:shd w:val="clear" w:color="auto" w:fill="FFFFFF"/>
          </w:tcPr>
          <w:p>
            <w:pPr>
              <w:widowControl/>
              <w:jc w:val="center"/>
              <w:outlineLvl w:val="1"/>
              <w:rPr>
                <w:rFonts w:ascii="黑体" w:hAnsi="宋体" w:eastAsia="黑体"/>
                <w:b/>
                <w:kern w:val="0"/>
                <w:sz w:val="18"/>
                <w:szCs w:val="18"/>
              </w:rPr>
            </w:pPr>
          </w:p>
        </w:tc>
        <w:tc>
          <w:tcPr>
            <w:tcW w:w="2422" w:type="dxa"/>
            <w:gridSpan w:val="4"/>
            <w:shd w:val="clear" w:color="auto" w:fill="FFFFFF"/>
          </w:tcPr>
          <w:p>
            <w:pPr>
              <w:widowControl/>
              <w:jc w:val="center"/>
              <w:outlineLvl w:val="1"/>
              <w:rPr>
                <w:rFonts w:ascii="黑体" w:hAnsi="宋体" w:eastAsia="黑体"/>
                <w:b/>
                <w:kern w:val="0"/>
                <w:sz w:val="18"/>
                <w:szCs w:val="18"/>
              </w:rPr>
            </w:pPr>
          </w:p>
        </w:tc>
      </w:tr>
    </w:tbl>
    <w:p/>
    <w:p>
      <w:bookmarkStart w:id="1" w:name="_GoBack"/>
      <w:bookmarkEnd w:id="1"/>
    </w:p>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6"/>
        <w:tblW w:w="9520" w:type="dxa"/>
        <w:tblInd w:w="0" w:type="dxa"/>
        <w:tblLayout w:type="fixed"/>
        <w:tblCellMar>
          <w:top w:w="0" w:type="dxa"/>
          <w:left w:w="108" w:type="dxa"/>
          <w:bottom w:w="0" w:type="dxa"/>
          <w:right w:w="108" w:type="dxa"/>
        </w:tblCellMar>
      </w:tblPr>
      <w:tblGrid>
        <w:gridCol w:w="97"/>
        <w:gridCol w:w="300"/>
        <w:gridCol w:w="397"/>
        <w:gridCol w:w="397"/>
        <w:gridCol w:w="851"/>
        <w:gridCol w:w="1456"/>
        <w:gridCol w:w="725"/>
        <w:gridCol w:w="189"/>
        <w:gridCol w:w="448"/>
        <w:gridCol w:w="536"/>
        <w:gridCol w:w="11"/>
        <w:gridCol w:w="641"/>
        <w:gridCol w:w="652"/>
        <w:gridCol w:w="389"/>
        <w:gridCol w:w="189"/>
        <w:gridCol w:w="419"/>
        <w:gridCol w:w="578"/>
        <w:gridCol w:w="420"/>
        <w:gridCol w:w="420"/>
        <w:gridCol w:w="405"/>
      </w:tblGrid>
      <w:tr>
        <w:tblPrEx>
          <w:tblLayout w:type="fixed"/>
          <w:tblCellMar>
            <w:top w:w="0" w:type="dxa"/>
            <w:left w:w="108" w:type="dxa"/>
            <w:bottom w:w="0" w:type="dxa"/>
            <w:right w:w="108" w:type="dxa"/>
          </w:tblCellMar>
        </w:tblPrEx>
        <w:trPr>
          <w:gridBefore w:val="1"/>
          <w:wBefore w:w="97" w:type="dxa"/>
          <w:trHeight w:val="375" w:hRule="atLeast"/>
        </w:trPr>
        <w:tc>
          <w:tcPr>
            <w:tcW w:w="9423" w:type="dxa"/>
            <w:gridSpan w:val="19"/>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wBefore w:w="97" w:type="dxa"/>
          <w:trHeight w:val="405" w:hRule="atLeast"/>
        </w:trPr>
        <w:tc>
          <w:tcPr>
            <w:tcW w:w="4315" w:type="dxa"/>
            <w:gridSpan w:val="7"/>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吉木萨尔县国库支付中心</w:t>
            </w:r>
          </w:p>
        </w:tc>
        <w:tc>
          <w:tcPr>
            <w:tcW w:w="995"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31" w:type="dxa"/>
            <w:gridSpan w:val="6"/>
            <w:tcBorders>
              <w:top w:val="nil"/>
              <w:left w:val="nil"/>
              <w:bottom w:val="nil"/>
              <w:right w:val="nil"/>
            </w:tcBorders>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vAlign w:val="center"/>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科 目 编 码</w:t>
            </w:r>
          </w:p>
        </w:tc>
        <w:tc>
          <w:tcPr>
            <w:tcW w:w="851" w:type="dxa"/>
            <w:vMerge w:val="restart"/>
            <w:vAlign w:val="center"/>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科目</w:t>
            </w:r>
          </w:p>
        </w:tc>
        <w:tc>
          <w:tcPr>
            <w:tcW w:w="1456" w:type="dxa"/>
            <w:vMerge w:val="restart"/>
            <w:vAlign w:val="center"/>
          </w:tcPr>
          <w:p>
            <w:pPr>
              <w:jc w:val="center"/>
              <w:rPr>
                <w:rFonts w:ascii="黑体" w:hAnsi="Calibri" w:eastAsia="黑体"/>
                <w:b/>
                <w:sz w:val="24"/>
              </w:rPr>
            </w:pPr>
            <w:r>
              <w:rPr>
                <w:rFonts w:hint="eastAsia" w:ascii="黑体" w:hAnsi="宋体" w:eastAsia="黑体"/>
                <w:b/>
                <w:kern w:val="0"/>
                <w:sz w:val="24"/>
              </w:rPr>
              <w:t>项目名称</w:t>
            </w:r>
          </w:p>
        </w:tc>
        <w:tc>
          <w:tcPr>
            <w:tcW w:w="725" w:type="dxa"/>
            <w:vMerge w:val="restart"/>
            <w:vAlign w:val="center"/>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项目支出合计</w:t>
            </w:r>
          </w:p>
        </w:tc>
        <w:tc>
          <w:tcPr>
            <w:tcW w:w="637" w:type="dxa"/>
            <w:gridSpan w:val="2"/>
            <w:vMerge w:val="restart"/>
            <w:vAlign w:val="center"/>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工资福利支出</w:t>
            </w:r>
          </w:p>
        </w:tc>
        <w:tc>
          <w:tcPr>
            <w:tcW w:w="536" w:type="dxa"/>
            <w:vMerge w:val="restart"/>
            <w:vAlign w:val="center"/>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商品和服务支出</w:t>
            </w:r>
          </w:p>
        </w:tc>
        <w:tc>
          <w:tcPr>
            <w:tcW w:w="652" w:type="dxa"/>
            <w:gridSpan w:val="2"/>
            <w:vMerge w:val="restart"/>
            <w:vAlign w:val="center"/>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对个人和家庭的补助</w:t>
            </w:r>
          </w:p>
        </w:tc>
        <w:tc>
          <w:tcPr>
            <w:tcW w:w="652" w:type="dxa"/>
            <w:vMerge w:val="restart"/>
            <w:vAlign w:val="center"/>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债务利息及费用支出</w:t>
            </w:r>
          </w:p>
        </w:tc>
        <w:tc>
          <w:tcPr>
            <w:tcW w:w="578" w:type="dxa"/>
            <w:gridSpan w:val="2"/>
            <w:vMerge w:val="restart"/>
            <w:vAlign w:val="center"/>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资本性支出（基本建设）</w:t>
            </w:r>
          </w:p>
        </w:tc>
        <w:tc>
          <w:tcPr>
            <w:tcW w:w="419" w:type="dxa"/>
            <w:vMerge w:val="restart"/>
            <w:vAlign w:val="center"/>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资本性支出</w:t>
            </w:r>
          </w:p>
        </w:tc>
        <w:tc>
          <w:tcPr>
            <w:tcW w:w="578" w:type="dxa"/>
            <w:vMerge w:val="restart"/>
            <w:vAlign w:val="center"/>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对企业补助（基本建设）</w:t>
            </w:r>
          </w:p>
        </w:tc>
        <w:tc>
          <w:tcPr>
            <w:tcW w:w="420" w:type="dxa"/>
            <w:vMerge w:val="restart"/>
            <w:vAlign w:val="center"/>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对企业补助</w:t>
            </w:r>
          </w:p>
        </w:tc>
        <w:tc>
          <w:tcPr>
            <w:tcW w:w="420" w:type="dxa"/>
            <w:vMerge w:val="restart"/>
            <w:vAlign w:val="center"/>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对社会保障基金补助</w:t>
            </w:r>
          </w:p>
        </w:tc>
        <w:tc>
          <w:tcPr>
            <w:tcW w:w="405" w:type="dxa"/>
            <w:vMerge w:val="restart"/>
            <w:vAlign w:val="center"/>
          </w:tcPr>
          <w:p>
            <w:pPr>
              <w:widowControl/>
              <w:jc w:val="center"/>
              <w:outlineLvl w:val="1"/>
              <w:rPr>
                <w:rFonts w:ascii="黑体" w:hAnsi="宋体" w:eastAsia="黑体"/>
                <w:b/>
                <w:kern w:val="0"/>
                <w:sz w:val="18"/>
                <w:szCs w:val="18"/>
              </w:rPr>
            </w:pPr>
            <w:r>
              <w:rPr>
                <w:rFonts w:hint="eastAsia" w:ascii="黑体" w:hAnsi="宋体" w:eastAsia="黑体"/>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vAlign w:val="center"/>
          </w:tcPr>
          <w:p>
            <w:pPr>
              <w:widowControl/>
              <w:jc w:val="left"/>
              <w:outlineLvl w:val="1"/>
              <w:rPr>
                <w:rFonts w:ascii="黑体" w:hAnsi="宋体" w:eastAsia="黑体"/>
                <w:b/>
                <w:kern w:val="0"/>
                <w:sz w:val="18"/>
                <w:szCs w:val="18"/>
              </w:rPr>
            </w:pPr>
            <w:r>
              <w:rPr>
                <w:rFonts w:hint="eastAsia" w:ascii="黑体" w:hAnsi="宋体" w:eastAsia="黑体"/>
                <w:b/>
                <w:kern w:val="0"/>
                <w:sz w:val="18"/>
                <w:szCs w:val="18"/>
              </w:rPr>
              <w:t>类</w:t>
            </w:r>
          </w:p>
        </w:tc>
        <w:tc>
          <w:tcPr>
            <w:tcW w:w="397" w:type="dxa"/>
            <w:tcBorders>
              <w:bottom w:val="single" w:color="auto" w:sz="4" w:space="0"/>
            </w:tcBorders>
            <w:vAlign w:val="center"/>
          </w:tcPr>
          <w:p>
            <w:pPr>
              <w:widowControl/>
              <w:jc w:val="left"/>
              <w:outlineLvl w:val="1"/>
              <w:rPr>
                <w:rFonts w:ascii="黑体" w:hAnsi="宋体" w:eastAsia="黑体"/>
                <w:b/>
                <w:kern w:val="0"/>
                <w:sz w:val="18"/>
                <w:szCs w:val="18"/>
              </w:rPr>
            </w:pPr>
            <w:r>
              <w:rPr>
                <w:rFonts w:hint="eastAsia" w:ascii="黑体" w:hAnsi="宋体" w:eastAsia="黑体"/>
                <w:b/>
                <w:kern w:val="0"/>
                <w:sz w:val="18"/>
                <w:szCs w:val="18"/>
              </w:rPr>
              <w:t>款</w:t>
            </w:r>
          </w:p>
        </w:tc>
        <w:tc>
          <w:tcPr>
            <w:tcW w:w="397" w:type="dxa"/>
            <w:tcBorders>
              <w:bottom w:val="single" w:color="auto" w:sz="4" w:space="0"/>
            </w:tcBorders>
            <w:vAlign w:val="center"/>
          </w:tcPr>
          <w:p>
            <w:pPr>
              <w:widowControl/>
              <w:jc w:val="left"/>
              <w:outlineLvl w:val="1"/>
              <w:rPr>
                <w:rFonts w:ascii="黑体" w:hAnsi="宋体" w:eastAsia="黑体"/>
                <w:b/>
                <w:kern w:val="0"/>
                <w:sz w:val="18"/>
                <w:szCs w:val="18"/>
              </w:rPr>
            </w:pPr>
            <w:r>
              <w:rPr>
                <w:rFonts w:hint="eastAsia" w:ascii="黑体" w:hAnsi="宋体" w:eastAsia="黑体"/>
                <w:b/>
                <w:kern w:val="0"/>
                <w:sz w:val="18"/>
                <w:szCs w:val="18"/>
              </w:rPr>
              <w:t>项</w:t>
            </w:r>
          </w:p>
        </w:tc>
        <w:tc>
          <w:tcPr>
            <w:tcW w:w="851" w:type="dxa"/>
            <w:vMerge w:val="continue"/>
            <w:tcBorders>
              <w:bottom w:val="single" w:color="auto" w:sz="4" w:space="0"/>
            </w:tcBorders>
            <w:vAlign w:val="center"/>
          </w:tcPr>
          <w:p>
            <w:pPr>
              <w:widowControl/>
              <w:jc w:val="left"/>
              <w:outlineLvl w:val="1"/>
              <w:rPr>
                <w:rFonts w:ascii="黑体" w:hAnsi="宋体" w:eastAsia="黑体"/>
                <w:b/>
                <w:kern w:val="0"/>
                <w:sz w:val="18"/>
                <w:szCs w:val="18"/>
              </w:rPr>
            </w:pPr>
          </w:p>
        </w:tc>
        <w:tc>
          <w:tcPr>
            <w:tcW w:w="1456" w:type="dxa"/>
            <w:vMerge w:val="continue"/>
            <w:tcBorders>
              <w:bottom w:val="single" w:color="auto" w:sz="4" w:space="0"/>
            </w:tcBorders>
          </w:tcPr>
          <w:p>
            <w:pPr>
              <w:widowControl/>
              <w:jc w:val="left"/>
              <w:outlineLvl w:val="1"/>
              <w:rPr>
                <w:rFonts w:ascii="黑体" w:hAnsi="宋体" w:eastAsia="黑体"/>
                <w:b/>
                <w:kern w:val="0"/>
                <w:sz w:val="18"/>
                <w:szCs w:val="18"/>
              </w:rPr>
            </w:pPr>
          </w:p>
        </w:tc>
        <w:tc>
          <w:tcPr>
            <w:tcW w:w="725" w:type="dxa"/>
            <w:vMerge w:val="continue"/>
            <w:tcBorders>
              <w:bottom w:val="single" w:color="auto" w:sz="4" w:space="0"/>
            </w:tcBorders>
          </w:tcPr>
          <w:p>
            <w:pPr>
              <w:widowControl/>
              <w:jc w:val="left"/>
              <w:outlineLvl w:val="1"/>
              <w:rPr>
                <w:rFonts w:ascii="黑体" w:hAnsi="宋体" w:eastAsia="黑体"/>
                <w:b/>
                <w:kern w:val="0"/>
                <w:sz w:val="18"/>
                <w:szCs w:val="18"/>
              </w:rPr>
            </w:pPr>
          </w:p>
        </w:tc>
        <w:tc>
          <w:tcPr>
            <w:tcW w:w="637" w:type="dxa"/>
            <w:gridSpan w:val="2"/>
            <w:vMerge w:val="continue"/>
            <w:tcBorders>
              <w:bottom w:val="single" w:color="auto" w:sz="4" w:space="0"/>
            </w:tcBorders>
          </w:tcPr>
          <w:p>
            <w:pPr>
              <w:widowControl/>
              <w:jc w:val="left"/>
              <w:outlineLvl w:val="1"/>
              <w:rPr>
                <w:rFonts w:ascii="黑体" w:hAnsi="宋体" w:eastAsia="黑体"/>
                <w:b/>
                <w:kern w:val="0"/>
                <w:sz w:val="18"/>
                <w:szCs w:val="18"/>
              </w:rPr>
            </w:pPr>
          </w:p>
        </w:tc>
        <w:tc>
          <w:tcPr>
            <w:tcW w:w="536" w:type="dxa"/>
            <w:vMerge w:val="continue"/>
            <w:tcBorders>
              <w:bottom w:val="single" w:color="auto" w:sz="4" w:space="0"/>
            </w:tcBorders>
          </w:tcPr>
          <w:p>
            <w:pPr>
              <w:widowControl/>
              <w:jc w:val="left"/>
              <w:outlineLvl w:val="1"/>
              <w:rPr>
                <w:rFonts w:ascii="黑体" w:hAnsi="宋体" w:eastAsia="黑体"/>
                <w:b/>
                <w:kern w:val="0"/>
                <w:sz w:val="18"/>
                <w:szCs w:val="18"/>
              </w:rPr>
            </w:pPr>
          </w:p>
        </w:tc>
        <w:tc>
          <w:tcPr>
            <w:tcW w:w="652" w:type="dxa"/>
            <w:gridSpan w:val="2"/>
            <w:vMerge w:val="continue"/>
            <w:tcBorders>
              <w:bottom w:val="single" w:color="auto" w:sz="4" w:space="0"/>
            </w:tcBorders>
          </w:tcPr>
          <w:p>
            <w:pPr>
              <w:widowControl/>
              <w:jc w:val="left"/>
              <w:outlineLvl w:val="1"/>
              <w:rPr>
                <w:rFonts w:ascii="黑体" w:hAnsi="宋体" w:eastAsia="黑体"/>
                <w:b/>
                <w:kern w:val="0"/>
                <w:sz w:val="18"/>
                <w:szCs w:val="18"/>
              </w:rPr>
            </w:pPr>
          </w:p>
        </w:tc>
        <w:tc>
          <w:tcPr>
            <w:tcW w:w="652" w:type="dxa"/>
            <w:vMerge w:val="continue"/>
            <w:tcBorders>
              <w:bottom w:val="single" w:color="auto" w:sz="4" w:space="0"/>
            </w:tcBorders>
          </w:tcPr>
          <w:p>
            <w:pPr>
              <w:widowControl/>
              <w:jc w:val="left"/>
              <w:outlineLvl w:val="1"/>
              <w:rPr>
                <w:rFonts w:ascii="黑体" w:hAnsi="宋体" w:eastAsia="黑体"/>
                <w:b/>
                <w:kern w:val="0"/>
                <w:sz w:val="18"/>
                <w:szCs w:val="18"/>
              </w:rPr>
            </w:pPr>
          </w:p>
        </w:tc>
        <w:tc>
          <w:tcPr>
            <w:tcW w:w="578" w:type="dxa"/>
            <w:gridSpan w:val="2"/>
            <w:vMerge w:val="continue"/>
            <w:tcBorders>
              <w:bottom w:val="single" w:color="auto" w:sz="4" w:space="0"/>
            </w:tcBorders>
          </w:tcPr>
          <w:p>
            <w:pPr>
              <w:widowControl/>
              <w:jc w:val="left"/>
              <w:outlineLvl w:val="1"/>
              <w:rPr>
                <w:rFonts w:ascii="黑体" w:hAnsi="宋体" w:eastAsia="黑体"/>
                <w:b/>
                <w:kern w:val="0"/>
                <w:sz w:val="18"/>
                <w:szCs w:val="18"/>
              </w:rPr>
            </w:pPr>
          </w:p>
        </w:tc>
        <w:tc>
          <w:tcPr>
            <w:tcW w:w="419" w:type="dxa"/>
            <w:vMerge w:val="continue"/>
            <w:tcBorders>
              <w:bottom w:val="single" w:color="auto" w:sz="4" w:space="0"/>
            </w:tcBorders>
          </w:tcPr>
          <w:p>
            <w:pPr>
              <w:widowControl/>
              <w:jc w:val="left"/>
              <w:outlineLvl w:val="1"/>
              <w:rPr>
                <w:rFonts w:ascii="黑体" w:hAnsi="宋体" w:eastAsia="黑体"/>
                <w:b/>
                <w:kern w:val="0"/>
                <w:sz w:val="18"/>
                <w:szCs w:val="18"/>
              </w:rPr>
            </w:pPr>
          </w:p>
        </w:tc>
        <w:tc>
          <w:tcPr>
            <w:tcW w:w="578" w:type="dxa"/>
            <w:vMerge w:val="continue"/>
            <w:tcBorders>
              <w:bottom w:val="single" w:color="auto" w:sz="4" w:space="0"/>
            </w:tcBorders>
          </w:tcPr>
          <w:p>
            <w:pPr>
              <w:widowControl/>
              <w:jc w:val="left"/>
              <w:outlineLvl w:val="1"/>
              <w:rPr>
                <w:rFonts w:ascii="黑体" w:hAnsi="宋体" w:eastAsia="黑体"/>
                <w:b/>
                <w:kern w:val="0"/>
                <w:sz w:val="18"/>
                <w:szCs w:val="18"/>
              </w:rPr>
            </w:pPr>
          </w:p>
        </w:tc>
        <w:tc>
          <w:tcPr>
            <w:tcW w:w="420" w:type="dxa"/>
            <w:vMerge w:val="continue"/>
            <w:tcBorders>
              <w:bottom w:val="single" w:color="auto" w:sz="4" w:space="0"/>
            </w:tcBorders>
          </w:tcPr>
          <w:p>
            <w:pPr>
              <w:widowControl/>
              <w:jc w:val="left"/>
              <w:outlineLvl w:val="1"/>
              <w:rPr>
                <w:rFonts w:ascii="黑体" w:hAnsi="宋体" w:eastAsia="黑体"/>
                <w:b/>
                <w:kern w:val="0"/>
                <w:sz w:val="18"/>
                <w:szCs w:val="18"/>
              </w:rPr>
            </w:pPr>
          </w:p>
        </w:tc>
        <w:tc>
          <w:tcPr>
            <w:tcW w:w="420" w:type="dxa"/>
            <w:vMerge w:val="continue"/>
            <w:tcBorders>
              <w:bottom w:val="single" w:color="auto" w:sz="4" w:space="0"/>
            </w:tcBorders>
          </w:tcPr>
          <w:p>
            <w:pPr>
              <w:widowControl/>
              <w:jc w:val="left"/>
              <w:outlineLvl w:val="1"/>
              <w:rPr>
                <w:rFonts w:ascii="黑体" w:hAnsi="宋体" w:eastAsia="黑体"/>
                <w:b/>
                <w:kern w:val="0"/>
                <w:sz w:val="18"/>
                <w:szCs w:val="18"/>
              </w:rPr>
            </w:pPr>
          </w:p>
        </w:tc>
        <w:tc>
          <w:tcPr>
            <w:tcW w:w="405" w:type="dxa"/>
            <w:vMerge w:val="continue"/>
            <w:tcBorders>
              <w:bottom w:val="single" w:color="auto" w:sz="4" w:space="0"/>
            </w:tcBorders>
          </w:tcPr>
          <w:p>
            <w:pPr>
              <w:widowControl/>
              <w:jc w:val="left"/>
              <w:outlineLvl w:val="1"/>
              <w:rPr>
                <w:rFonts w:ascii="黑体" w:hAnsi="宋体" w:eastAsia="黑体"/>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397" w:type="dxa"/>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397" w:type="dxa"/>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851" w:type="dxa"/>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1456" w:type="dxa"/>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725" w:type="dxa"/>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37" w:type="dxa"/>
            <w:gridSpan w:val="2"/>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36" w:type="dxa"/>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52" w:type="dxa"/>
            <w:gridSpan w:val="2"/>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52" w:type="dxa"/>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78" w:type="dxa"/>
            <w:gridSpan w:val="2"/>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19" w:type="dxa"/>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78" w:type="dxa"/>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20" w:type="dxa"/>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20" w:type="dxa"/>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05" w:type="dxa"/>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85" w:hRule="atLeast"/>
        </w:trPr>
        <w:tc>
          <w:tcPr>
            <w:tcW w:w="397" w:type="dxa"/>
            <w:gridSpan w:val="2"/>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397" w:type="dxa"/>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397" w:type="dxa"/>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851" w:type="dxa"/>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1456" w:type="dxa"/>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725" w:type="dxa"/>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37" w:type="dxa"/>
            <w:gridSpan w:val="2"/>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36" w:type="dxa"/>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52" w:type="dxa"/>
            <w:gridSpan w:val="2"/>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52" w:type="dxa"/>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78" w:type="dxa"/>
            <w:gridSpan w:val="2"/>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19" w:type="dxa"/>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78" w:type="dxa"/>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20" w:type="dxa"/>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20" w:type="dxa"/>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05" w:type="dxa"/>
          </w:tcPr>
          <w:p>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p>
        </w:tc>
        <w:tc>
          <w:tcPr>
            <w:tcW w:w="397" w:type="dxa"/>
          </w:tcPr>
          <w:p>
            <w:pPr>
              <w:widowControl/>
              <w:jc w:val="left"/>
              <w:outlineLvl w:val="1"/>
              <w:rPr>
                <w:rFonts w:ascii="仿宋_GB2312" w:hAnsi="宋体" w:eastAsia="仿宋_GB2312"/>
                <w:kern w:val="0"/>
                <w:sz w:val="32"/>
                <w:szCs w:val="32"/>
              </w:rPr>
            </w:pPr>
          </w:p>
        </w:tc>
        <w:tc>
          <w:tcPr>
            <w:tcW w:w="397" w:type="dxa"/>
          </w:tcPr>
          <w:p>
            <w:pPr>
              <w:widowControl/>
              <w:jc w:val="left"/>
              <w:outlineLvl w:val="1"/>
              <w:rPr>
                <w:rFonts w:ascii="仿宋_GB2312" w:hAnsi="宋体" w:eastAsia="仿宋_GB2312"/>
                <w:kern w:val="0"/>
                <w:sz w:val="32"/>
                <w:szCs w:val="32"/>
              </w:rPr>
            </w:pPr>
          </w:p>
        </w:tc>
        <w:tc>
          <w:tcPr>
            <w:tcW w:w="851" w:type="dxa"/>
          </w:tcPr>
          <w:p>
            <w:pPr>
              <w:widowControl/>
              <w:jc w:val="left"/>
              <w:outlineLvl w:val="1"/>
              <w:rPr>
                <w:rFonts w:ascii="仿宋_GB2312" w:hAnsi="宋体" w:eastAsia="仿宋_GB2312"/>
                <w:kern w:val="0"/>
                <w:sz w:val="32"/>
                <w:szCs w:val="32"/>
              </w:rPr>
            </w:pPr>
          </w:p>
        </w:tc>
        <w:tc>
          <w:tcPr>
            <w:tcW w:w="1456" w:type="dxa"/>
          </w:tcPr>
          <w:p>
            <w:pPr>
              <w:widowControl/>
              <w:jc w:val="left"/>
              <w:outlineLvl w:val="1"/>
              <w:rPr>
                <w:rFonts w:ascii="仿宋_GB2312" w:hAnsi="宋体" w:eastAsia="仿宋_GB2312"/>
                <w:kern w:val="0"/>
                <w:sz w:val="32"/>
                <w:szCs w:val="32"/>
              </w:rPr>
            </w:pPr>
          </w:p>
        </w:tc>
        <w:tc>
          <w:tcPr>
            <w:tcW w:w="725" w:type="dxa"/>
          </w:tcPr>
          <w:p>
            <w:pPr>
              <w:widowControl/>
              <w:jc w:val="left"/>
              <w:outlineLvl w:val="1"/>
              <w:rPr>
                <w:rFonts w:ascii="仿宋_GB2312" w:hAnsi="宋体" w:eastAsia="仿宋_GB2312"/>
                <w:kern w:val="0"/>
                <w:sz w:val="32"/>
                <w:szCs w:val="32"/>
              </w:rPr>
            </w:pPr>
          </w:p>
        </w:tc>
        <w:tc>
          <w:tcPr>
            <w:tcW w:w="637" w:type="dxa"/>
            <w:gridSpan w:val="2"/>
          </w:tcPr>
          <w:p>
            <w:pPr>
              <w:widowControl/>
              <w:jc w:val="left"/>
              <w:outlineLvl w:val="1"/>
              <w:rPr>
                <w:rFonts w:ascii="仿宋_GB2312" w:hAnsi="宋体" w:eastAsia="仿宋_GB2312"/>
                <w:kern w:val="0"/>
                <w:sz w:val="32"/>
                <w:szCs w:val="32"/>
              </w:rPr>
            </w:pPr>
          </w:p>
        </w:tc>
        <w:tc>
          <w:tcPr>
            <w:tcW w:w="536" w:type="dxa"/>
          </w:tcPr>
          <w:p>
            <w:pPr>
              <w:widowControl/>
              <w:jc w:val="left"/>
              <w:outlineLvl w:val="1"/>
              <w:rPr>
                <w:rFonts w:ascii="仿宋_GB2312" w:hAnsi="宋体" w:eastAsia="仿宋_GB2312"/>
                <w:kern w:val="0"/>
                <w:sz w:val="32"/>
                <w:szCs w:val="32"/>
              </w:rPr>
            </w:pPr>
          </w:p>
        </w:tc>
        <w:tc>
          <w:tcPr>
            <w:tcW w:w="652" w:type="dxa"/>
            <w:gridSpan w:val="2"/>
          </w:tcPr>
          <w:p>
            <w:pPr>
              <w:widowControl/>
              <w:jc w:val="left"/>
              <w:outlineLvl w:val="1"/>
              <w:rPr>
                <w:rFonts w:ascii="仿宋_GB2312" w:hAnsi="宋体" w:eastAsia="仿宋_GB2312"/>
                <w:kern w:val="0"/>
                <w:sz w:val="32"/>
                <w:szCs w:val="32"/>
              </w:rPr>
            </w:pPr>
          </w:p>
        </w:tc>
        <w:tc>
          <w:tcPr>
            <w:tcW w:w="652" w:type="dxa"/>
          </w:tcPr>
          <w:p>
            <w:pPr>
              <w:widowControl/>
              <w:jc w:val="left"/>
              <w:outlineLvl w:val="1"/>
              <w:rPr>
                <w:rFonts w:ascii="仿宋_GB2312" w:hAnsi="宋体" w:eastAsia="仿宋_GB2312"/>
                <w:kern w:val="0"/>
                <w:sz w:val="32"/>
                <w:szCs w:val="32"/>
              </w:rPr>
            </w:pPr>
          </w:p>
        </w:tc>
        <w:tc>
          <w:tcPr>
            <w:tcW w:w="578" w:type="dxa"/>
            <w:gridSpan w:val="2"/>
          </w:tcPr>
          <w:p>
            <w:pPr>
              <w:widowControl/>
              <w:jc w:val="left"/>
              <w:outlineLvl w:val="1"/>
              <w:rPr>
                <w:rFonts w:ascii="仿宋_GB2312" w:hAnsi="宋体" w:eastAsia="仿宋_GB2312"/>
                <w:kern w:val="0"/>
                <w:sz w:val="32"/>
                <w:szCs w:val="32"/>
              </w:rPr>
            </w:pPr>
          </w:p>
        </w:tc>
        <w:tc>
          <w:tcPr>
            <w:tcW w:w="419" w:type="dxa"/>
          </w:tcPr>
          <w:p>
            <w:pPr>
              <w:widowControl/>
              <w:jc w:val="left"/>
              <w:outlineLvl w:val="1"/>
              <w:rPr>
                <w:rFonts w:ascii="仿宋_GB2312" w:hAnsi="宋体" w:eastAsia="仿宋_GB2312"/>
                <w:kern w:val="0"/>
                <w:sz w:val="32"/>
                <w:szCs w:val="32"/>
              </w:rPr>
            </w:pPr>
          </w:p>
        </w:tc>
        <w:tc>
          <w:tcPr>
            <w:tcW w:w="578" w:type="dxa"/>
          </w:tcPr>
          <w:p>
            <w:pPr>
              <w:widowControl/>
              <w:jc w:val="left"/>
              <w:outlineLvl w:val="1"/>
              <w:rPr>
                <w:rFonts w:ascii="仿宋_GB2312" w:hAnsi="宋体" w:eastAsia="仿宋_GB2312"/>
                <w:kern w:val="0"/>
                <w:sz w:val="32"/>
                <w:szCs w:val="32"/>
              </w:rPr>
            </w:pPr>
          </w:p>
        </w:tc>
        <w:tc>
          <w:tcPr>
            <w:tcW w:w="420" w:type="dxa"/>
          </w:tcPr>
          <w:p>
            <w:pPr>
              <w:widowControl/>
              <w:jc w:val="left"/>
              <w:outlineLvl w:val="1"/>
              <w:rPr>
                <w:rFonts w:ascii="仿宋_GB2312" w:hAnsi="宋体" w:eastAsia="仿宋_GB2312"/>
                <w:kern w:val="0"/>
                <w:sz w:val="32"/>
                <w:szCs w:val="32"/>
              </w:rPr>
            </w:pPr>
          </w:p>
        </w:tc>
        <w:tc>
          <w:tcPr>
            <w:tcW w:w="420" w:type="dxa"/>
          </w:tcPr>
          <w:p>
            <w:pPr>
              <w:widowControl/>
              <w:jc w:val="left"/>
              <w:outlineLvl w:val="1"/>
              <w:rPr>
                <w:rFonts w:ascii="仿宋_GB2312" w:hAnsi="宋体" w:eastAsia="仿宋_GB2312"/>
                <w:kern w:val="0"/>
                <w:sz w:val="32"/>
                <w:szCs w:val="32"/>
              </w:rPr>
            </w:pPr>
          </w:p>
        </w:tc>
        <w:tc>
          <w:tcPr>
            <w:tcW w:w="405" w:type="dxa"/>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25" w:type="dxa"/>
            <w:vAlign w:val="center"/>
          </w:tcPr>
          <w:p>
            <w:pPr>
              <w:widowControl/>
              <w:jc w:val="center"/>
              <w:outlineLvl w:val="1"/>
              <w:rPr>
                <w:rFonts w:ascii="仿宋_GB2312" w:hAnsi="宋体" w:eastAsia="仿宋_GB2312"/>
                <w:kern w:val="0"/>
                <w:szCs w:val="21"/>
              </w:rPr>
            </w:pPr>
          </w:p>
        </w:tc>
        <w:tc>
          <w:tcPr>
            <w:tcW w:w="63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
    <w:p/>
    <w:p/>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  吉木萨尔县国库支付中心                       单位：</w:t>
      </w:r>
      <w:r>
        <w:rPr>
          <w:rFonts w:hint="eastAsia" w:ascii="仿宋_GB2312" w:hAnsi="宋体" w:eastAsia="仿宋_GB2312" w:cs="宋体"/>
          <w:color w:val="000000"/>
          <w:kern w:val="0"/>
          <w:sz w:val="24"/>
        </w:rPr>
        <w:t>万元</w:t>
      </w:r>
    </w:p>
    <w:tbl>
      <w:tblPr>
        <w:tblStyle w:val="6"/>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2</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0</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2</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0</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2</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0</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kern w:val="0"/>
          <w:sz w:val="32"/>
          <w:szCs w:val="32"/>
        </w:rPr>
      </w:pPr>
    </w:p>
    <w:p/>
    <w:p/>
    <w:p/>
    <w:p/>
    <w:p/>
    <w:p/>
    <w:p/>
    <w:p/>
    <w:p/>
    <w:p/>
    <w:p/>
    <w:p/>
    <w:p/>
    <w:p/>
    <w:p/>
    <w:p>
      <w:pPr>
        <w:widowControl/>
        <w:outlineLvl w:val="1"/>
        <w:rPr>
          <w:rFonts w:ascii="仿宋_GB2312" w:hAnsi="宋体" w:eastAsia="仿宋_GB2312"/>
          <w:b/>
          <w:kern w:val="0"/>
          <w:sz w:val="32"/>
          <w:szCs w:val="32"/>
        </w:rPr>
      </w:pPr>
    </w:p>
    <w:p>
      <w:pPr>
        <w:widowControl/>
        <w:outlineLvl w:val="1"/>
        <w:rPr>
          <w:rFonts w:ascii="仿宋_GB2312" w:hAnsi="宋体" w:eastAsia="仿宋_GB2312"/>
          <w:b/>
          <w:kern w:val="0"/>
          <w:sz w:val="32"/>
          <w:szCs w:val="32"/>
        </w:rPr>
      </w:pPr>
    </w:p>
    <w:p>
      <w:pPr>
        <w:widowControl/>
        <w:outlineLvl w:val="1"/>
        <w:rPr>
          <w:rFonts w:hint="eastAsia" w:ascii="仿宋_GB2312" w:hAnsi="宋体" w:eastAsia="仿宋_GB2312"/>
          <w:b/>
          <w:kern w:val="0"/>
          <w:sz w:val="32"/>
          <w:szCs w:val="32"/>
        </w:rPr>
      </w:pPr>
    </w:p>
    <w:p>
      <w:pPr>
        <w:widowControl/>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编制单位：吉木萨尔县国库支付中心                            单位：</w:t>
      </w:r>
      <w:r>
        <w:rPr>
          <w:rFonts w:hint="eastAsia" w:ascii="仿宋_GB2312" w:hAnsi="宋体" w:eastAsia="仿宋_GB2312" w:cs="宋体"/>
          <w:color w:val="000000"/>
          <w:kern w:val="0"/>
          <w:sz w:val="24"/>
        </w:rPr>
        <w:t>万元</w:t>
      </w:r>
    </w:p>
    <w:tbl>
      <w:tblPr>
        <w:tblStyle w:val="6"/>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rPr>
          <w:rFonts w:ascii="仿宋_GB2312" w:hAnsi="宋体" w:eastAsia="仿宋_GB2312"/>
          <w:kern w:val="0"/>
          <w:sz w:val="32"/>
          <w:szCs w:val="32"/>
        </w:rPr>
      </w:pPr>
      <w:r>
        <w:rPr>
          <w:rFonts w:hint="eastAsia" w:ascii="仿宋_GB2312" w:hAnsi="宋体" w:eastAsia="仿宋_GB2312"/>
          <w:kern w:val="0"/>
          <w:sz w:val="32"/>
          <w:szCs w:val="32"/>
        </w:rPr>
        <w:t>备注：无内容应公开空表并说明情况。</w:t>
      </w:r>
    </w:p>
    <w:p>
      <w:pPr>
        <w:rPr>
          <w:rFonts w:ascii="仿宋_GB2312" w:hAnsi="宋体" w:eastAsia="仿宋_GB2312"/>
          <w:kern w:val="0"/>
          <w:sz w:val="32"/>
          <w:szCs w:val="32"/>
        </w:rPr>
      </w:pPr>
    </w:p>
    <w:p>
      <w:pPr>
        <w:widowControl/>
        <w:spacing w:beforeLines="50"/>
        <w:jc w:val="center"/>
        <w:outlineLvl w:val="1"/>
        <w:rPr>
          <w:rFonts w:hint="eastAsia" w:ascii="黑体" w:hAnsi="黑体" w:eastAsia="黑体"/>
          <w:b/>
          <w:kern w:val="0"/>
          <w:sz w:val="32"/>
          <w:szCs w:val="32"/>
        </w:rPr>
      </w:pPr>
    </w:p>
    <w:p>
      <w:pPr>
        <w:widowControl/>
        <w:spacing w:beforeLines="50"/>
        <w:jc w:val="center"/>
        <w:outlineLvl w:val="1"/>
        <w:rPr>
          <w:rFonts w:hint="eastAsia" w:ascii="黑体" w:hAnsi="黑体" w:eastAsia="黑体"/>
          <w:b/>
          <w:kern w:val="0"/>
          <w:sz w:val="32"/>
          <w:szCs w:val="32"/>
        </w:rPr>
      </w:pPr>
    </w:p>
    <w:p>
      <w:pPr>
        <w:widowControl/>
        <w:spacing w:beforeLines="50"/>
        <w:jc w:val="center"/>
        <w:outlineLvl w:val="1"/>
        <w:rPr>
          <w:rFonts w:ascii="黑体" w:hAnsi="黑体" w:eastAsia="黑体"/>
          <w:b/>
          <w:kern w:val="0"/>
          <w:sz w:val="32"/>
          <w:szCs w:val="32"/>
        </w:rPr>
      </w:pPr>
      <w:r>
        <w:rPr>
          <w:rFonts w:hint="eastAsia" w:ascii="黑体" w:hAnsi="黑体" w:eastAsia="黑体"/>
          <w:b/>
          <w:kern w:val="0"/>
          <w:sz w:val="32"/>
          <w:szCs w:val="32"/>
        </w:rPr>
        <w:t>第三部分2016年吉木萨尔县国库支付中心预算情况说明</w:t>
      </w:r>
    </w:p>
    <w:p>
      <w:pPr>
        <w:widowControl/>
        <w:spacing w:line="580" w:lineRule="exact"/>
        <w:ind w:firstLine="640"/>
        <w:jc w:val="left"/>
        <w:rPr>
          <w:rFonts w:ascii="黑体" w:hAnsi="宋体" w:eastAsia="黑体" w:cs="宋体"/>
          <w:b/>
          <w:kern w:val="0"/>
          <w:sz w:val="32"/>
          <w:szCs w:val="32"/>
        </w:rPr>
      </w:pPr>
      <w:r>
        <w:rPr>
          <w:rFonts w:hint="eastAsia" w:ascii="黑体" w:hAnsi="黑体" w:eastAsia="黑体" w:cs="宋体"/>
          <w:b/>
          <w:bCs/>
          <w:kern w:val="0"/>
          <w:sz w:val="32"/>
          <w:szCs w:val="32"/>
        </w:rPr>
        <w:t>一、</w:t>
      </w:r>
      <w:r>
        <w:rPr>
          <w:rFonts w:hint="eastAsia" w:ascii="黑体" w:hAnsi="宋体" w:eastAsia="黑体" w:cs="宋体"/>
          <w:b/>
          <w:kern w:val="0"/>
          <w:sz w:val="32"/>
          <w:szCs w:val="32"/>
        </w:rPr>
        <w:t>关于吉木萨尔县国库支付中心2016年收支预算情况的总体说明</w:t>
      </w:r>
    </w:p>
    <w:p>
      <w:pPr>
        <w:widowControl/>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按照全口径预算的原则，吉木萨尔县国库支付中心2016年所有收入和支出均纳入部门预算管理。收支总预算</w:t>
      </w:r>
      <w:r>
        <w:rPr>
          <w:rFonts w:ascii="仿宋_GB2312" w:hAnsi="宋体" w:eastAsia="仿宋_GB2312" w:cs="宋体"/>
          <w:kern w:val="0"/>
          <w:sz w:val="32"/>
          <w:szCs w:val="32"/>
        </w:rPr>
        <w:t>274.56</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支出预算包括：一般公共服务支出、社会保障和就业支出、医疗卫生支出。</w:t>
      </w:r>
    </w:p>
    <w:p>
      <w:pPr>
        <w:widowControl/>
        <w:spacing w:line="580" w:lineRule="exact"/>
        <w:ind w:firstLine="643" w:firstLineChars="200"/>
        <w:jc w:val="left"/>
        <w:rPr>
          <w:rFonts w:ascii="黑体" w:hAnsi="宋体" w:eastAsia="黑体" w:cs="宋体"/>
          <w:b/>
          <w:kern w:val="0"/>
          <w:sz w:val="32"/>
          <w:szCs w:val="32"/>
        </w:rPr>
      </w:pPr>
      <w:r>
        <w:rPr>
          <w:rFonts w:hint="eastAsia" w:ascii="黑体" w:hAnsi="宋体" w:eastAsia="黑体" w:cs="宋体"/>
          <w:b/>
          <w:kern w:val="0"/>
          <w:sz w:val="32"/>
          <w:szCs w:val="32"/>
        </w:rPr>
        <w:t>二、关于吉木萨尔县国库支付中心2016年收入预算情况说明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吉木萨尔县国库支付中心收入预算</w:t>
      </w:r>
      <w:r>
        <w:rPr>
          <w:rFonts w:ascii="仿宋_GB2312" w:hAnsi="宋体" w:eastAsia="仿宋_GB2312" w:cs="宋体"/>
          <w:kern w:val="0"/>
          <w:sz w:val="32"/>
          <w:szCs w:val="32"/>
        </w:rPr>
        <w:t>274.56</w:t>
      </w:r>
      <w:r>
        <w:rPr>
          <w:rFonts w:hint="eastAsia" w:ascii="仿宋_GB2312" w:hAnsi="宋体" w:eastAsia="仿宋_GB2312" w:cs="宋体"/>
          <w:kern w:val="0"/>
          <w:sz w:val="32"/>
          <w:szCs w:val="32"/>
        </w:rPr>
        <w:t>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w:t>
      </w:r>
      <w:r>
        <w:rPr>
          <w:rFonts w:ascii="仿宋_GB2312" w:hAnsi="宋体" w:eastAsia="仿宋_GB2312" w:cs="宋体"/>
          <w:kern w:val="0"/>
          <w:sz w:val="32"/>
          <w:szCs w:val="32"/>
        </w:rPr>
        <w:t>274.56</w:t>
      </w:r>
      <w:r>
        <w:rPr>
          <w:rFonts w:hint="eastAsia" w:ascii="仿宋_GB2312" w:hAnsi="宋体" w:eastAsia="仿宋_GB2312" w:cs="宋体"/>
          <w:kern w:val="0"/>
          <w:sz w:val="32"/>
          <w:szCs w:val="32"/>
        </w:rPr>
        <w:t>万元，占100%，比上年预算数增加59.32万元，主要原因是增加人员经费（</w:t>
      </w:r>
      <w:r>
        <w:rPr>
          <w:rFonts w:hint="eastAsia" w:ascii="仿宋_GB2312" w:hAnsi="宋体" w:eastAsia="仿宋_GB2312" w:cs="宋体"/>
          <w:kern w:val="0"/>
          <w:sz w:val="32"/>
          <w:szCs w:val="32"/>
          <w:lang w:eastAsia="zh-CN"/>
        </w:rPr>
        <w:t>人员</w:t>
      </w:r>
      <w:r>
        <w:rPr>
          <w:rFonts w:hint="eastAsia" w:ascii="仿宋_GB2312" w:hAnsi="宋体" w:eastAsia="仿宋_GB2312" w:cs="宋体"/>
          <w:kern w:val="0"/>
          <w:sz w:val="32"/>
          <w:szCs w:val="32"/>
        </w:rPr>
        <w:t xml:space="preserve">费）、业务经费。    </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政府性基金预算未安排。或0万元， 占0 %，比上年增加（减少）0万元，主要原因是主要原因是增加人员经费（</w:t>
      </w:r>
      <w:r>
        <w:rPr>
          <w:rFonts w:hint="eastAsia" w:ascii="仿宋_GB2312" w:hAnsi="宋体" w:eastAsia="仿宋_GB2312" w:cs="宋体"/>
          <w:kern w:val="0"/>
          <w:sz w:val="32"/>
          <w:szCs w:val="32"/>
          <w:lang w:eastAsia="zh-CN"/>
        </w:rPr>
        <w:t>人员</w:t>
      </w:r>
      <w:r>
        <w:rPr>
          <w:rFonts w:hint="eastAsia" w:ascii="仿宋_GB2312" w:hAnsi="宋体" w:eastAsia="仿宋_GB2312" w:cs="宋体"/>
          <w:kern w:val="0"/>
          <w:sz w:val="32"/>
          <w:szCs w:val="32"/>
        </w:rPr>
        <w:t>费）、业务经费。</w:t>
      </w:r>
    </w:p>
    <w:p>
      <w:pPr>
        <w:widowControl/>
        <w:spacing w:line="580" w:lineRule="exact"/>
        <w:ind w:left="160" w:leftChars="76" w:firstLine="480" w:firstLineChars="150"/>
        <w:jc w:val="left"/>
        <w:rPr>
          <w:rFonts w:ascii="仿宋_GB2312" w:hAnsi="宋体" w:eastAsia="仿宋_GB2312" w:cs="宋体"/>
          <w:kern w:val="0"/>
          <w:sz w:val="32"/>
          <w:szCs w:val="32"/>
        </w:rPr>
      </w:pPr>
      <w:r>
        <w:rPr>
          <w:rFonts w:hint="eastAsia" w:ascii="仿宋_GB2312" w:hAnsi="宋体" w:eastAsia="仿宋_GB2312" w:cs="宋体"/>
          <w:kern w:val="0"/>
          <w:sz w:val="32"/>
          <w:szCs w:val="32"/>
        </w:rPr>
        <w:t>财政专户管理资金0万元， 占0 %，比上年增加（减少）0万元，主要原因是预算未安排；</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事业收入0万元， 占0 %，比上年增加（减少）0万元，主要原因是预算未安排；</w:t>
      </w:r>
    </w:p>
    <w:p>
      <w:pPr>
        <w:widowControl/>
        <w:spacing w:line="580" w:lineRule="exact"/>
        <w:ind w:left="160" w:leftChars="76" w:firstLine="480" w:firstLineChars="15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事业单位经营收入0万元， 占0 %，比上年增加（减少）0万元，主要原因是预算未安排；</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其他收入0万元， 占0 %，比上年增加（减少）0万元，主要原因是预算未安排；</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用事业基金弥补收支差额0万元， 占0 %，比上年增加（减少）0万元，主要原因是预算未安排。       </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单位上年结余（不包括国库集中支付额度结余）0万元， 占0 %，比上年增加（减少）0万元，主要原因是预算未安排。</w:t>
      </w:r>
    </w:p>
    <w:p>
      <w:pPr>
        <w:widowControl/>
        <w:spacing w:line="580" w:lineRule="exact"/>
        <w:ind w:firstLine="643" w:firstLineChars="200"/>
        <w:jc w:val="left"/>
        <w:rPr>
          <w:rFonts w:ascii="黑体" w:hAnsi="宋体" w:eastAsia="黑体" w:cs="宋体"/>
          <w:b/>
          <w:kern w:val="0"/>
          <w:sz w:val="32"/>
          <w:szCs w:val="32"/>
        </w:rPr>
      </w:pPr>
      <w:r>
        <w:rPr>
          <w:rFonts w:hint="eastAsia" w:ascii="黑体" w:hAnsi="宋体" w:eastAsia="黑体" w:cs="宋体"/>
          <w:b/>
          <w:kern w:val="0"/>
          <w:sz w:val="32"/>
          <w:szCs w:val="32"/>
        </w:rPr>
        <w:t>三、关于吉木萨尔县国库支付中心2016年支出预算情况说明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国库支付中心2016年支出预算274.56万元，其中：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基本支出274.56万元，占100%，比上年预算数增加59.32万元，主要原因是增加人员经费（</w:t>
      </w:r>
      <w:r>
        <w:rPr>
          <w:rFonts w:hint="eastAsia" w:ascii="仿宋_GB2312" w:hAnsi="宋体" w:eastAsia="仿宋_GB2312" w:cs="宋体"/>
          <w:kern w:val="0"/>
          <w:sz w:val="32"/>
          <w:szCs w:val="32"/>
          <w:lang w:eastAsia="zh-CN"/>
        </w:rPr>
        <w:t>人员</w:t>
      </w:r>
      <w:r>
        <w:rPr>
          <w:rFonts w:hint="eastAsia" w:ascii="仿宋_GB2312" w:hAnsi="宋体" w:eastAsia="仿宋_GB2312" w:cs="宋体"/>
          <w:kern w:val="0"/>
          <w:sz w:val="32"/>
          <w:szCs w:val="32"/>
        </w:rPr>
        <w:t>费）、业务经费。</w:t>
      </w:r>
    </w:p>
    <w:p>
      <w:pPr>
        <w:widowControl/>
        <w:spacing w:line="580" w:lineRule="exact"/>
        <w:ind w:firstLine="640"/>
        <w:jc w:val="left"/>
        <w:rPr>
          <w:rFonts w:ascii="黑体" w:hAnsi="黑体" w:eastAsia="黑体" w:cs="宋体"/>
          <w:b/>
          <w:bCs/>
          <w:kern w:val="0"/>
          <w:sz w:val="32"/>
          <w:szCs w:val="32"/>
        </w:rPr>
      </w:pPr>
      <w:r>
        <w:rPr>
          <w:rFonts w:hint="eastAsia" w:ascii="黑体" w:hAnsi="黑体" w:eastAsia="黑体" w:cs="宋体"/>
          <w:b/>
          <w:bCs/>
          <w:kern w:val="0"/>
          <w:sz w:val="32"/>
          <w:szCs w:val="32"/>
        </w:rPr>
        <w:t>四、关于吉木萨尔县国库支付中心2016年财政拨款收支预算情况的总体说明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2016年财政拨款收支总预算274.56万元。收入全部为一般公共预算拨款，无政府性基金预算拨款。</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20506支出248.56万元，主要用于人员工资、行政运行及业务开展；</w:t>
      </w:r>
    </w:p>
    <w:p>
      <w:pPr>
        <w:spacing w:line="580" w:lineRule="exact"/>
        <w:ind w:left="525" w:leftChars="250"/>
        <w:rPr>
          <w:rFonts w:ascii="仿宋_GB2312" w:hAnsi="宋体" w:eastAsia="仿宋_GB2312" w:cs="宋体"/>
          <w:kern w:val="0"/>
          <w:sz w:val="32"/>
          <w:szCs w:val="32"/>
        </w:rPr>
      </w:pPr>
      <w:r>
        <w:rPr>
          <w:rFonts w:hint="eastAsia" w:ascii="仿宋_GB2312" w:hAnsi="宋体" w:eastAsia="仿宋_GB2312" w:cs="宋体"/>
          <w:kern w:val="0"/>
          <w:sz w:val="32"/>
          <w:szCs w:val="32"/>
        </w:rPr>
        <w:t>21005支出20.37万元，主要用于社会保障及医疗；20805支出5.61万元，主要退休人员工资及单位养老及职业年金支出。</w:t>
      </w:r>
    </w:p>
    <w:p>
      <w:pPr>
        <w:widowControl/>
        <w:spacing w:line="580" w:lineRule="exact"/>
        <w:ind w:firstLine="640"/>
        <w:jc w:val="left"/>
        <w:rPr>
          <w:rFonts w:ascii="黑体" w:hAnsi="宋体" w:eastAsia="黑体" w:cs="宋体"/>
          <w:b/>
          <w:kern w:val="0"/>
          <w:sz w:val="32"/>
          <w:szCs w:val="32"/>
        </w:rPr>
      </w:pPr>
      <w:r>
        <w:rPr>
          <w:rFonts w:hint="eastAsia" w:ascii="黑体" w:hAnsi="宋体" w:eastAsia="黑体" w:cs="宋体"/>
          <w:b/>
          <w:kern w:val="0"/>
          <w:sz w:val="32"/>
          <w:szCs w:val="32"/>
        </w:rPr>
        <w:t>五、关于吉木萨尔县国库支付中心2016年一般公共预算当年拨款情况说明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吉木萨尔县国库支付中心2016年一般公共预算拨款基本支出,</w:t>
      </w:r>
      <w:r>
        <w:rPr>
          <w:rFonts w:ascii="仿宋_GB2312" w:hAnsi="宋体" w:eastAsia="仿宋_GB2312" w:cs="宋体"/>
          <w:kern w:val="0"/>
          <w:sz w:val="32"/>
          <w:szCs w:val="32"/>
        </w:rPr>
        <w:t>274.56</w:t>
      </w:r>
      <w:r>
        <w:rPr>
          <w:rFonts w:hint="eastAsia" w:ascii="仿宋_GB2312" w:hAnsi="宋体" w:eastAsia="仿宋_GB2312" w:cs="宋体"/>
          <w:kern w:val="0"/>
          <w:sz w:val="32"/>
          <w:szCs w:val="32"/>
        </w:rPr>
        <w:t>万元，比上年执行数增加32.9万元，增长13.61%。主要原因是：增加人员经费（</w:t>
      </w:r>
      <w:r>
        <w:rPr>
          <w:rFonts w:hint="eastAsia" w:ascii="仿宋_GB2312" w:hAnsi="宋体" w:eastAsia="仿宋_GB2312" w:cs="宋体"/>
          <w:kern w:val="0"/>
          <w:sz w:val="32"/>
          <w:szCs w:val="32"/>
          <w:lang w:eastAsia="zh-CN"/>
        </w:rPr>
        <w:t>人员</w:t>
      </w:r>
      <w:r>
        <w:rPr>
          <w:rFonts w:hint="eastAsia" w:ascii="仿宋_GB2312" w:hAnsi="宋体" w:eastAsia="仿宋_GB2312" w:cs="宋体"/>
          <w:kern w:val="0"/>
          <w:sz w:val="32"/>
          <w:szCs w:val="32"/>
        </w:rPr>
        <w:t>费）、业务经费。</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80" w:lineRule="exact"/>
        <w:ind w:firstLine="640"/>
        <w:rPr>
          <w:rFonts w:ascii="仿宋_GB2312" w:hAnsi="宋体" w:eastAsia="仿宋_GB2312" w:cs="宋体"/>
          <w:kern w:val="0"/>
          <w:sz w:val="32"/>
          <w:szCs w:val="32"/>
        </w:rPr>
      </w:pPr>
      <w:r>
        <w:rPr>
          <w:rFonts w:hint="eastAsia" w:ascii="仿宋_GB2312" w:eastAsia="仿宋_GB2312"/>
          <w:sz w:val="32"/>
          <w:szCs w:val="32"/>
        </w:rPr>
        <w:t>1.201类支出248.56</w:t>
      </w:r>
      <w:r>
        <w:rPr>
          <w:rFonts w:hint="eastAsia" w:ascii="仿宋_GB2312" w:hAnsi="宋体" w:eastAsia="仿宋_GB2312" w:cs="宋体"/>
          <w:kern w:val="0"/>
          <w:sz w:val="32"/>
          <w:szCs w:val="32"/>
        </w:rPr>
        <w:t>万元，占90.53%。</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w:t>
      </w:r>
      <w:r>
        <w:rPr>
          <w:rFonts w:ascii="仿宋_GB2312" w:hAnsi="宋体" w:eastAsia="仿宋_GB2312" w:cs="宋体"/>
          <w:kern w:val="0"/>
          <w:sz w:val="32"/>
          <w:szCs w:val="32"/>
        </w:rPr>
        <w:t>.</w:t>
      </w:r>
      <w:r>
        <w:rPr>
          <w:rFonts w:hint="eastAsia" w:ascii="仿宋_GB2312" w:hAnsi="宋体" w:eastAsia="仿宋_GB2312" w:cs="宋体"/>
          <w:kern w:val="0"/>
          <w:sz w:val="32"/>
          <w:szCs w:val="32"/>
        </w:rPr>
        <w:t>208类支出5.61万元，占2.04%。</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3</w:t>
      </w:r>
      <w:r>
        <w:rPr>
          <w:rFonts w:ascii="仿宋_GB2312" w:hAnsi="宋体" w:eastAsia="仿宋_GB2312" w:cs="宋体"/>
          <w:kern w:val="0"/>
          <w:sz w:val="32"/>
          <w:szCs w:val="32"/>
        </w:rPr>
        <w:t>.</w:t>
      </w:r>
      <w:r>
        <w:rPr>
          <w:rFonts w:hint="eastAsia" w:ascii="仿宋_GB2312" w:hAnsi="宋体" w:eastAsia="仿宋_GB2312" w:cs="宋体"/>
          <w:kern w:val="0"/>
          <w:sz w:val="32"/>
          <w:szCs w:val="32"/>
        </w:rPr>
        <w:t>210类支出20.37万元，占7.43%</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1.2010601</w:t>
      </w:r>
      <w:r>
        <w:rPr>
          <w:rFonts w:ascii="仿宋_GB2312" w:hAnsi="宋体" w:eastAsia="仿宋_GB2312" w:cs="宋体"/>
          <w:kern w:val="0"/>
          <w:sz w:val="32"/>
          <w:szCs w:val="32"/>
        </w:rPr>
        <w:t>:</w:t>
      </w:r>
      <w:r>
        <w:rPr>
          <w:rFonts w:hint="eastAsia" w:ascii="仿宋_GB2312" w:hAnsi="宋体" w:eastAsia="仿宋_GB2312" w:cs="宋体"/>
          <w:kern w:val="0"/>
          <w:sz w:val="32"/>
          <w:szCs w:val="32"/>
        </w:rPr>
        <w:t>2016</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248.56</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比上年执行数增加29.69万元，增长13.57%。主要原因是：增加人员经费（</w:t>
      </w:r>
      <w:r>
        <w:rPr>
          <w:rFonts w:hint="eastAsia" w:ascii="仿宋_GB2312" w:hAnsi="宋体" w:eastAsia="仿宋_GB2312" w:cs="宋体"/>
          <w:kern w:val="0"/>
          <w:sz w:val="32"/>
          <w:szCs w:val="32"/>
          <w:lang w:eastAsia="zh-CN"/>
        </w:rPr>
        <w:t>人员</w:t>
      </w:r>
      <w:r>
        <w:rPr>
          <w:rFonts w:hint="eastAsia" w:ascii="仿宋_GB2312" w:hAnsi="宋体" w:eastAsia="仿宋_GB2312" w:cs="宋体"/>
          <w:kern w:val="0"/>
          <w:sz w:val="32"/>
          <w:szCs w:val="32"/>
        </w:rPr>
        <w:t xml:space="preserve">费）、业务经费。         </w:t>
      </w:r>
    </w:p>
    <w:p>
      <w:pPr>
        <w:spacing w:line="580" w:lineRule="exact"/>
        <w:ind w:firstLine="640"/>
        <w:rPr>
          <w:rFonts w:ascii="仿宋_GB2312" w:hAnsi="宋体" w:eastAsia="仿宋_GB2312" w:cs="宋体"/>
          <w:kern w:val="0"/>
          <w:sz w:val="32"/>
          <w:szCs w:val="32"/>
        </w:rPr>
      </w:pPr>
      <w:r>
        <w:rPr>
          <w:rFonts w:hint="eastAsia" w:ascii="楷体_GB2312" w:hAnsi="宋体" w:eastAsia="楷体_GB2312" w:cs="宋体"/>
          <w:kern w:val="0"/>
          <w:sz w:val="32"/>
          <w:szCs w:val="32"/>
        </w:rPr>
        <w:t>2.</w:t>
      </w:r>
      <w:r>
        <w:rPr>
          <w:rFonts w:hint="eastAsia" w:ascii="仿宋_GB2312" w:hAnsi="宋体" w:eastAsia="仿宋_GB2312" w:cs="宋体"/>
          <w:kern w:val="0"/>
          <w:sz w:val="32"/>
          <w:szCs w:val="32"/>
        </w:rPr>
        <w:t xml:space="preserve"> 2080502</w:t>
      </w:r>
      <w:r>
        <w:rPr>
          <w:rFonts w:ascii="仿宋_GB2312" w:hAnsi="宋体" w:eastAsia="仿宋_GB2312" w:cs="宋体"/>
          <w:kern w:val="0"/>
          <w:sz w:val="32"/>
          <w:szCs w:val="32"/>
        </w:rPr>
        <w:t>:</w:t>
      </w:r>
      <w:r>
        <w:rPr>
          <w:rFonts w:hint="eastAsia" w:ascii="仿宋_GB2312" w:hAnsi="宋体" w:eastAsia="仿宋_GB2312" w:cs="宋体"/>
          <w:kern w:val="0"/>
          <w:sz w:val="32"/>
          <w:szCs w:val="32"/>
        </w:rPr>
        <w:t>2016</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5.61</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比上年执行数减少0.48万元，下降7.89%。主要原因是：上年执行数含退休人员不发年终一次性奖金。</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3. 2101101</w:t>
      </w:r>
      <w:r>
        <w:rPr>
          <w:rFonts w:ascii="仿宋_GB2312" w:hAnsi="宋体" w:eastAsia="仿宋_GB2312" w:cs="宋体"/>
          <w:kern w:val="0"/>
          <w:sz w:val="32"/>
          <w:szCs w:val="32"/>
        </w:rPr>
        <w:t>:</w:t>
      </w:r>
      <w:r>
        <w:rPr>
          <w:rFonts w:hint="eastAsia" w:ascii="仿宋_GB2312" w:hAnsi="宋体" w:eastAsia="仿宋_GB2312" w:cs="宋体"/>
          <w:kern w:val="0"/>
          <w:sz w:val="32"/>
          <w:szCs w:val="32"/>
        </w:rPr>
        <w:t>2016</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11.46</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比上年执行数增加2.04万元，增加21.65%。主要原因是：人员工资提高，缴费基数增大，经费增加。</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4. 2101103</w:t>
      </w:r>
      <w:r>
        <w:rPr>
          <w:rFonts w:ascii="仿宋_GB2312" w:hAnsi="宋体" w:eastAsia="仿宋_GB2312" w:cs="宋体"/>
          <w:kern w:val="0"/>
          <w:sz w:val="32"/>
          <w:szCs w:val="32"/>
        </w:rPr>
        <w:t>:</w:t>
      </w:r>
      <w:r>
        <w:rPr>
          <w:rFonts w:hint="eastAsia" w:ascii="仿宋_GB2312" w:hAnsi="宋体" w:eastAsia="仿宋_GB2312" w:cs="宋体"/>
          <w:kern w:val="0"/>
          <w:sz w:val="32"/>
          <w:szCs w:val="32"/>
        </w:rPr>
        <w:t>2016</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8.91</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比上年执行数增加1.58万元，增长21.55%。主要原因是：人员工资提高，缴费基数增大，经费增加。</w:t>
      </w:r>
    </w:p>
    <w:p>
      <w:pPr>
        <w:widowControl/>
        <w:spacing w:line="580" w:lineRule="exact"/>
        <w:ind w:firstLine="640"/>
        <w:jc w:val="left"/>
        <w:rPr>
          <w:rFonts w:ascii="黑体" w:hAnsi="宋体" w:eastAsia="黑体" w:cs="宋体"/>
          <w:b/>
          <w:kern w:val="0"/>
          <w:sz w:val="32"/>
          <w:szCs w:val="32"/>
        </w:rPr>
      </w:pPr>
      <w:r>
        <w:rPr>
          <w:rFonts w:hint="eastAsia" w:ascii="黑体" w:hAnsi="宋体" w:eastAsia="黑体" w:cs="宋体"/>
          <w:b/>
          <w:kern w:val="0"/>
          <w:sz w:val="32"/>
          <w:szCs w:val="32"/>
        </w:rPr>
        <w:t>六、关于吉木萨尔县国库支付中心2016年一般公共预算基本支出情况说明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吉木萨尔县国库支付中心2016年一般公共预算基本支出</w:t>
      </w:r>
      <w:r>
        <w:rPr>
          <w:rFonts w:ascii="仿宋_GB2312" w:hAnsi="宋体" w:eastAsia="仿宋_GB2312" w:cs="宋体"/>
          <w:kern w:val="0"/>
          <w:sz w:val="32"/>
          <w:szCs w:val="32"/>
        </w:rPr>
        <w:t>274.56</w:t>
      </w:r>
      <w:r>
        <w:rPr>
          <w:rFonts w:hint="eastAsia" w:ascii="仿宋_GB2312" w:hAnsi="宋体" w:eastAsia="仿宋_GB2312" w:cs="宋体"/>
          <w:kern w:val="0"/>
          <w:sz w:val="32"/>
          <w:szCs w:val="32"/>
        </w:rPr>
        <w:t>万元， 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235.17万元，主要包括：基本工资、津贴补贴、奖金、绩效工资、机关事业单位基本养老保险缴费、职业年金缴费、职工基本医疗保险缴费、公务员医疗补助缴费、其他社会保障缴费、住房公积金、其他工资福利支出、退休费、其他对个人和家庭的补助等。</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公用经费39.39万元，主要包括：办公费、培训费、工会经费、福利费、公务用车运行维护费、其他商品和服务支出等。</w:t>
      </w:r>
    </w:p>
    <w:p>
      <w:pPr>
        <w:widowControl/>
        <w:spacing w:line="580" w:lineRule="exact"/>
        <w:ind w:firstLine="640"/>
        <w:jc w:val="left"/>
        <w:rPr>
          <w:rFonts w:ascii="黑体" w:hAnsi="宋体" w:eastAsia="黑体" w:cs="宋体"/>
          <w:b/>
          <w:kern w:val="0"/>
          <w:sz w:val="32"/>
          <w:szCs w:val="32"/>
        </w:rPr>
      </w:pPr>
      <w:r>
        <w:rPr>
          <w:rFonts w:hint="eastAsia" w:ascii="黑体" w:hAnsi="宋体" w:eastAsia="黑体" w:cs="宋体"/>
          <w:b/>
          <w:kern w:val="0"/>
          <w:sz w:val="32"/>
          <w:szCs w:val="32"/>
        </w:rPr>
        <w:t>七、关于吉木萨尔县国库支付中心2016年项目支出情况说明</w:t>
      </w:r>
    </w:p>
    <w:p>
      <w:pPr>
        <w:widowControl/>
        <w:spacing w:line="580" w:lineRule="exact"/>
        <w:ind w:firstLine="640"/>
        <w:jc w:val="left"/>
        <w:rPr>
          <w:rFonts w:ascii="仿宋_GB2312" w:hAnsi="黑体" w:eastAsia="仿宋_GB2312"/>
          <w:sz w:val="32"/>
          <w:szCs w:val="32"/>
        </w:rPr>
      </w:pPr>
      <w:r>
        <w:rPr>
          <w:rFonts w:hint="eastAsia" w:ascii="仿宋_GB2312" w:hAnsi="黑体" w:eastAsia="仿宋_GB2312"/>
          <w:sz w:val="32"/>
          <w:szCs w:val="32"/>
        </w:rPr>
        <w:t>本单位2016年无项目支出预算，项目支出情况表为空表。</w:t>
      </w:r>
    </w:p>
    <w:p>
      <w:pPr>
        <w:widowControl/>
        <w:spacing w:line="580" w:lineRule="exact"/>
        <w:ind w:firstLine="642"/>
        <w:jc w:val="left"/>
        <w:rPr>
          <w:rFonts w:ascii="黑体" w:hAnsi="宋体" w:eastAsia="黑体" w:cs="宋体"/>
          <w:b/>
          <w:kern w:val="0"/>
          <w:sz w:val="32"/>
          <w:szCs w:val="32"/>
        </w:rPr>
      </w:pPr>
      <w:r>
        <w:rPr>
          <w:rFonts w:hint="eastAsia" w:ascii="黑体" w:hAnsi="宋体" w:eastAsia="黑体" w:cs="宋体"/>
          <w:b/>
          <w:kern w:val="0"/>
          <w:sz w:val="32"/>
          <w:szCs w:val="32"/>
        </w:rPr>
        <w:t>八、关于吉木萨尔县国库支付中心2016年一般公共预算“三公”经费预算情况说明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吉木萨尔县国库支付中心2016年“三公”经费财政拨款预算数为0万元，其中：因公出国（境）费0万元，公务用车购置0万元，公务用车运行费0万元，公务接待费0万元。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2016年“三公”经费财政拨款预算比上年增加（减少）    0万元，其中：因公出国（境）费增加（减少）0万元，主要原因是未安排预算；公务用车购置费为0，未安排预算。[或公务用车购置费增加（减少）0万元，主要原因是未安排预算；公务用车运行费增加（减少）0万元，主要原因是严格执行中央八项规定，“三公”经费只降不增   ；公务接待费增加（减少）0万元，主要原因是未安排预算。    </w:t>
      </w:r>
    </w:p>
    <w:p>
      <w:pPr>
        <w:widowControl/>
        <w:spacing w:line="580" w:lineRule="exact"/>
        <w:ind w:firstLine="643" w:firstLineChars="200"/>
        <w:jc w:val="left"/>
        <w:rPr>
          <w:rFonts w:ascii="黑体" w:hAnsi="宋体" w:eastAsia="黑体" w:cs="宋体"/>
          <w:b/>
          <w:kern w:val="0"/>
          <w:sz w:val="32"/>
          <w:szCs w:val="32"/>
        </w:rPr>
      </w:pPr>
      <w:r>
        <w:rPr>
          <w:rFonts w:hint="eastAsia" w:ascii="黑体" w:hAnsi="宋体" w:eastAsia="黑体" w:cs="宋体"/>
          <w:b/>
          <w:kern w:val="0"/>
          <w:sz w:val="32"/>
          <w:szCs w:val="32"/>
        </w:rPr>
        <w:t>九、关于吉木萨尔县按国库支付中心2016年政府性基金预算拨款情况说明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吉木萨尔县国库支付中心2016年没有使用政府性基金预算拨款安排的支出，政府性基金预算支出情况表为空表。</w:t>
      </w:r>
    </w:p>
    <w:p>
      <w:pPr>
        <w:widowControl/>
        <w:spacing w:line="580" w:lineRule="exact"/>
        <w:ind w:firstLine="640"/>
        <w:jc w:val="left"/>
        <w:rPr>
          <w:rFonts w:ascii="黑体" w:hAnsi="宋体" w:eastAsia="黑体" w:cs="宋体"/>
          <w:b/>
          <w:kern w:val="0"/>
          <w:sz w:val="32"/>
          <w:szCs w:val="32"/>
        </w:rPr>
      </w:pPr>
      <w:r>
        <w:rPr>
          <w:rFonts w:hint="eastAsia" w:ascii="黑体" w:hAnsi="宋体" w:eastAsia="黑体" w:cs="宋体"/>
          <w:b/>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2016年，吉木萨尔县国库支付中心本级及下属0家行政单位、  0家参公管理事业单位和0家事业单位的机关运行经费财政拨款预算39.39万元，比上年预算数增加1.24万元，增长3.25%。主要原因是人员工资提高，基数增大，经费增加。     </w:t>
      </w:r>
    </w:p>
    <w:p>
      <w:pPr>
        <w:widowControl/>
        <w:spacing w:line="580" w:lineRule="exact"/>
        <w:ind w:firstLine="321" w:firstLineChars="100"/>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2016年，吉木萨尔县国库支付中心及下属单位政府采购预算0 万元，其中：政府采购货物预算0 万元，政府采购工程预算0 万元，政府采购服务预算0 万元。</w:t>
      </w:r>
    </w:p>
    <w:p>
      <w:pPr>
        <w:widowControl/>
        <w:spacing w:line="580" w:lineRule="exact"/>
        <w:ind w:firstLine="640"/>
        <w:jc w:val="left"/>
        <w:rPr>
          <w:rFonts w:ascii="仿宋_GB2312" w:hAnsi="仿宋_GB2312" w:eastAsia="仿宋_GB2312"/>
          <w:sz w:val="32"/>
        </w:rPr>
      </w:pPr>
      <w:r>
        <w:rPr>
          <w:rFonts w:hint="eastAsia" w:ascii="仿宋_GB2312" w:hAnsi="仿宋_GB2312" w:eastAsia="仿宋_GB2312"/>
          <w:sz w:val="32"/>
        </w:rPr>
        <w:t>2016年度本部门面向中小企业预留政府采购项目预算金额0 万元。</w:t>
      </w:r>
    </w:p>
    <w:p>
      <w:pPr>
        <w:widowControl/>
        <w:spacing w:line="580" w:lineRule="exact"/>
        <w:ind w:firstLine="321" w:firstLineChars="100"/>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截至2016年底，吉木萨尔县国库支付中心及下属各预算单位占用使用国有资产总体情况为：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1.房屋0平方米，价值0万元。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2.车辆0辆，价值0万元；其中：一般公务用车0辆，价值0万元；执法执勤用车0辆，价值0万元；其他车辆0  辆，价值0万元。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单位价值50万万元以上大型设备0台（套），单位价值100万万元以上大型设备0台（套）。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2016年部门预算未安排购置车辆经费（或安排购置车辆经费0万万元），安排购置50万万元以上大型设备0台（套），单位价值100万万元以上大型设备0台（套）</w:t>
      </w:r>
    </w:p>
    <w:p>
      <w:pPr>
        <w:widowControl/>
        <w:spacing w:line="580" w:lineRule="exact"/>
        <w:jc w:val="left"/>
        <w:rPr>
          <w:rFonts w:ascii="楷体_GB2312" w:hAnsi="宋体" w:eastAsia="楷体_GB2312" w:cs="宋体"/>
          <w:b/>
          <w:kern w:val="0"/>
          <w:sz w:val="32"/>
          <w:szCs w:val="32"/>
        </w:rPr>
      </w:pPr>
    </w:p>
    <w:p>
      <w:pPr>
        <w:widowControl/>
        <w:spacing w:line="580" w:lineRule="exact"/>
        <w:jc w:val="left"/>
        <w:rPr>
          <w:rFonts w:ascii="楷体_GB2312" w:hAnsi="宋体" w:eastAsia="楷体_GB2312" w:cs="宋体"/>
          <w:b/>
          <w:kern w:val="0"/>
          <w:sz w:val="32"/>
          <w:szCs w:val="32"/>
        </w:rPr>
      </w:pPr>
    </w:p>
    <w:p>
      <w:pPr>
        <w:widowControl/>
        <w:spacing w:line="580" w:lineRule="exact"/>
        <w:jc w:val="left"/>
        <w:rPr>
          <w:rFonts w:ascii="楷体_GB2312" w:hAnsi="宋体" w:eastAsia="楷体_GB2312" w:cs="宋体"/>
          <w:b/>
          <w:kern w:val="0"/>
          <w:sz w:val="32"/>
          <w:szCs w:val="32"/>
        </w:rPr>
      </w:pPr>
    </w:p>
    <w:p>
      <w:pPr>
        <w:widowControl/>
        <w:spacing w:line="580" w:lineRule="exact"/>
        <w:jc w:val="left"/>
        <w:rPr>
          <w:rFonts w:ascii="楷体_GB2312" w:hAnsi="宋体" w:eastAsia="楷体_GB2312" w:cs="宋体"/>
          <w:b/>
          <w:kern w:val="0"/>
          <w:sz w:val="32"/>
          <w:szCs w:val="32"/>
        </w:rPr>
      </w:pPr>
    </w:p>
    <w:p>
      <w:pPr>
        <w:widowControl/>
        <w:spacing w:line="580" w:lineRule="exact"/>
        <w:jc w:val="left"/>
        <w:rPr>
          <w:rFonts w:ascii="楷体_GB2312" w:hAnsi="宋体" w:eastAsia="楷体_GB2312" w:cs="宋体"/>
          <w:b/>
          <w:kern w:val="0"/>
          <w:sz w:val="32"/>
          <w:szCs w:val="32"/>
        </w:rPr>
      </w:pPr>
    </w:p>
    <w:p>
      <w:pPr>
        <w:widowControl/>
        <w:spacing w:line="580" w:lineRule="exact"/>
        <w:jc w:val="left"/>
        <w:rPr>
          <w:rFonts w:ascii="楷体_GB2312" w:hAnsi="宋体" w:eastAsia="楷体_GB2312" w:cs="宋体"/>
          <w:b/>
          <w:kern w:val="0"/>
          <w:sz w:val="32"/>
          <w:szCs w:val="32"/>
        </w:rPr>
      </w:pPr>
    </w:p>
    <w:p>
      <w:pPr>
        <w:widowControl/>
        <w:spacing w:line="580" w:lineRule="exact"/>
        <w:jc w:val="left"/>
        <w:rPr>
          <w:rFonts w:ascii="楷体_GB2312" w:hAnsi="宋体" w:eastAsia="楷体_GB2312" w:cs="宋体"/>
          <w:b/>
          <w:kern w:val="0"/>
          <w:sz w:val="32"/>
          <w:szCs w:val="32"/>
        </w:rPr>
      </w:pPr>
    </w:p>
    <w:p>
      <w:pPr>
        <w:widowControl/>
        <w:spacing w:line="580" w:lineRule="exact"/>
        <w:jc w:val="left"/>
        <w:rPr>
          <w:rFonts w:ascii="楷体_GB2312" w:hAnsi="宋体" w:eastAsia="楷体_GB2312" w:cs="宋体"/>
          <w:b/>
          <w:kern w:val="0"/>
          <w:sz w:val="32"/>
          <w:szCs w:val="32"/>
        </w:rPr>
      </w:pPr>
    </w:p>
    <w:p>
      <w:pPr>
        <w:widowControl/>
        <w:spacing w:line="580" w:lineRule="exact"/>
        <w:jc w:val="left"/>
        <w:rPr>
          <w:rFonts w:ascii="楷体_GB2312" w:hAnsi="宋体" w:eastAsia="楷体_GB2312" w:cs="宋体"/>
          <w:b/>
          <w:kern w:val="0"/>
          <w:sz w:val="32"/>
          <w:szCs w:val="32"/>
        </w:rPr>
      </w:pPr>
    </w:p>
    <w:p>
      <w:pPr>
        <w:widowControl/>
        <w:spacing w:line="580" w:lineRule="exact"/>
        <w:jc w:val="left"/>
        <w:rPr>
          <w:rFonts w:ascii="楷体_GB2312" w:hAnsi="宋体" w:eastAsia="楷体_GB2312" w:cs="宋体"/>
          <w:b/>
          <w:kern w:val="0"/>
          <w:sz w:val="32"/>
          <w:szCs w:val="32"/>
        </w:rPr>
      </w:pPr>
    </w:p>
    <w:p>
      <w:pPr>
        <w:widowControl/>
        <w:spacing w:line="580" w:lineRule="exact"/>
        <w:jc w:val="left"/>
        <w:rPr>
          <w:rFonts w:ascii="楷体_GB2312" w:hAnsi="宋体" w:eastAsia="楷体_GB2312" w:cs="宋体"/>
          <w:b/>
          <w:kern w:val="0"/>
          <w:sz w:val="32"/>
          <w:szCs w:val="32"/>
        </w:rPr>
      </w:pPr>
    </w:p>
    <w:p>
      <w:pPr>
        <w:widowControl/>
        <w:spacing w:line="580" w:lineRule="exact"/>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2016年度，本年度实行绩效管理的项目0个，涉及预算金额0 万元。具体情况见下表（按项目分别填报）：</w:t>
      </w:r>
    </w:p>
    <w:p>
      <w:pPr>
        <w:spacing w:line="500" w:lineRule="exact"/>
        <w:jc w:val="center"/>
        <w:rPr>
          <w:rFonts w:ascii="宋体" w:hAnsi="宋体" w:cs="宋体"/>
          <w:b/>
          <w:kern w:val="0"/>
          <w:sz w:val="36"/>
          <w:szCs w:val="36"/>
        </w:rPr>
      </w:pPr>
    </w:p>
    <w:p>
      <w:pPr>
        <w:spacing w:line="500" w:lineRule="exact"/>
        <w:jc w:val="center"/>
        <w:rPr>
          <w:rFonts w:ascii="宋体" w:hAnsi="宋体" w:cs="宋体"/>
          <w:b/>
          <w:kern w:val="0"/>
          <w:sz w:val="36"/>
          <w:szCs w:val="36"/>
        </w:rPr>
      </w:pPr>
      <w:r>
        <w:rPr>
          <w:rFonts w:hint="eastAsia" w:ascii="宋体" w:hAnsi="宋体" w:cs="宋体"/>
          <w:b/>
          <w:kern w:val="0"/>
          <w:sz w:val="36"/>
          <w:szCs w:val="36"/>
        </w:rPr>
        <w:t>财政支出绩效目标申报表</w:t>
      </w:r>
    </w:p>
    <w:p>
      <w:pPr>
        <w:spacing w:line="500" w:lineRule="exact"/>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（2016年度）</w:t>
      </w:r>
    </w:p>
    <w:p>
      <w:pPr>
        <w:rPr>
          <w:rFonts w:ascii="仿宋_GB2312" w:hAnsi="宋体" w:eastAsia="仿宋_GB2312" w:cs="宋体"/>
          <w:kern w:val="0"/>
          <w:sz w:val="32"/>
          <w:szCs w:val="32"/>
        </w:rPr>
      </w:pPr>
      <w:r>
        <w:rPr>
          <w:rFonts w:hint="eastAsia" w:ascii="仿宋_GB2312" w:hAnsi="宋体" w:eastAsia="仿宋_GB2312" w:cs="宋体"/>
          <w:kern w:val="0"/>
          <w:sz w:val="32"/>
          <w:szCs w:val="32"/>
        </w:rPr>
        <w:t>填报单位：吉木萨尔县国库支付中心</w:t>
      </w:r>
    </w:p>
    <w:tbl>
      <w:tblPr>
        <w:tblStyle w:val="6"/>
        <w:tblW w:w="9229" w:type="dxa"/>
        <w:tblInd w:w="93" w:type="dxa"/>
        <w:tblLayout w:type="fixed"/>
        <w:tblCellMar>
          <w:top w:w="0" w:type="dxa"/>
          <w:left w:w="108" w:type="dxa"/>
          <w:bottom w:w="0" w:type="dxa"/>
          <w:right w:w="108" w:type="dxa"/>
        </w:tblCellMar>
      </w:tblPr>
      <w:tblGrid>
        <w:gridCol w:w="1960"/>
        <w:gridCol w:w="2166"/>
        <w:gridCol w:w="74"/>
        <w:gridCol w:w="1780"/>
        <w:gridCol w:w="222"/>
        <w:gridCol w:w="476"/>
        <w:gridCol w:w="1559"/>
        <w:gridCol w:w="992"/>
      </w:tblGrid>
      <w:tr>
        <w:tblPrEx>
          <w:tblLayout w:type="fixed"/>
          <w:tblCellMar>
            <w:top w:w="0" w:type="dxa"/>
            <w:left w:w="108" w:type="dxa"/>
            <w:bottom w:w="0" w:type="dxa"/>
            <w:right w:w="108" w:type="dxa"/>
          </w:tblCellMar>
        </w:tblPrEx>
        <w:trPr>
          <w:trHeight w:val="556" w:hRule="atLeast"/>
        </w:trPr>
        <w:tc>
          <w:tcPr>
            <w:tcW w:w="19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项目名称</w:t>
            </w:r>
          </w:p>
        </w:tc>
        <w:tc>
          <w:tcPr>
            <w:tcW w:w="2166"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1854"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项目属性</w:t>
            </w:r>
          </w:p>
        </w:tc>
        <w:tc>
          <w:tcPr>
            <w:tcW w:w="324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新增项目□    延续项目□</w:t>
            </w:r>
          </w:p>
        </w:tc>
      </w:tr>
      <w:tr>
        <w:tblPrEx>
          <w:tblLayout w:type="fixed"/>
          <w:tblCellMar>
            <w:top w:w="0" w:type="dxa"/>
            <w:left w:w="108" w:type="dxa"/>
            <w:bottom w:w="0" w:type="dxa"/>
            <w:right w:w="108" w:type="dxa"/>
          </w:tblCellMar>
        </w:tblPrEx>
        <w:trPr>
          <w:trHeight w:val="564" w:hRule="atLeast"/>
        </w:trPr>
        <w:tc>
          <w:tcPr>
            <w:tcW w:w="196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主管部门</w:t>
            </w:r>
          </w:p>
        </w:tc>
        <w:tc>
          <w:tcPr>
            <w:tcW w:w="216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1854"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项目实施单位</w:t>
            </w:r>
          </w:p>
        </w:tc>
        <w:tc>
          <w:tcPr>
            <w:tcW w:w="324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r>
      <w:tr>
        <w:tblPrEx>
          <w:tblLayout w:type="fixed"/>
          <w:tblCellMar>
            <w:top w:w="0" w:type="dxa"/>
            <w:left w:w="108" w:type="dxa"/>
            <w:bottom w:w="0" w:type="dxa"/>
            <w:right w:w="108" w:type="dxa"/>
          </w:tblCellMar>
        </w:tblPrEx>
        <w:trPr>
          <w:trHeight w:val="420" w:hRule="atLeast"/>
        </w:trPr>
        <w:tc>
          <w:tcPr>
            <w:tcW w:w="196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项目起止时间</w:t>
            </w:r>
          </w:p>
        </w:tc>
        <w:tc>
          <w:tcPr>
            <w:tcW w:w="216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1854"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项目负责人</w:t>
            </w:r>
          </w:p>
        </w:tc>
        <w:tc>
          <w:tcPr>
            <w:tcW w:w="698"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联系电话</w:t>
            </w:r>
          </w:p>
        </w:tc>
        <w:tc>
          <w:tcPr>
            <w:tcW w:w="9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r>
      <w:tr>
        <w:tblPrEx>
          <w:tblLayout w:type="fixed"/>
          <w:tblCellMar>
            <w:top w:w="0" w:type="dxa"/>
            <w:left w:w="108" w:type="dxa"/>
            <w:bottom w:w="0" w:type="dxa"/>
            <w:right w:w="108" w:type="dxa"/>
          </w:tblCellMar>
        </w:tblPrEx>
        <w:trPr>
          <w:trHeight w:val="420" w:hRule="atLeast"/>
        </w:trPr>
        <w:tc>
          <w:tcPr>
            <w:tcW w:w="1960" w:type="dxa"/>
            <w:vMerge w:val="restart"/>
            <w:tcBorders>
              <w:top w:val="nil"/>
              <w:left w:val="single" w:color="auto" w:sz="4" w:space="0"/>
              <w:bottom w:val="nil"/>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项目资金（万万元）</w:t>
            </w:r>
          </w:p>
        </w:tc>
        <w:tc>
          <w:tcPr>
            <w:tcW w:w="7269" w:type="dxa"/>
            <w:gridSpan w:val="7"/>
            <w:tcBorders>
              <w:top w:val="single" w:color="auto" w:sz="4" w:space="0"/>
              <w:left w:val="nil"/>
              <w:bottom w:val="single" w:color="auto" w:sz="4" w:space="0"/>
              <w:right w:val="single" w:color="000000"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资金总额</w:t>
            </w:r>
          </w:p>
        </w:tc>
      </w:tr>
      <w:tr>
        <w:tblPrEx>
          <w:tblLayout w:type="fixed"/>
          <w:tblCellMar>
            <w:top w:w="0" w:type="dxa"/>
            <w:left w:w="108" w:type="dxa"/>
            <w:bottom w:w="0" w:type="dxa"/>
            <w:right w:w="108" w:type="dxa"/>
          </w:tblCellMar>
        </w:tblPrEx>
        <w:trPr>
          <w:trHeight w:val="420" w:hRule="atLeast"/>
        </w:trPr>
        <w:tc>
          <w:tcPr>
            <w:tcW w:w="1960"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kern w:val="0"/>
                <w:sz w:val="24"/>
              </w:rPr>
            </w:pPr>
          </w:p>
        </w:tc>
        <w:tc>
          <w:tcPr>
            <w:tcW w:w="7269" w:type="dxa"/>
            <w:gridSpan w:val="7"/>
            <w:tcBorders>
              <w:top w:val="single" w:color="auto" w:sz="4" w:space="0"/>
              <w:left w:val="nil"/>
              <w:bottom w:val="single" w:color="auto" w:sz="4" w:space="0"/>
              <w:right w:val="single" w:color="000000"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财政拨款</w:t>
            </w:r>
          </w:p>
        </w:tc>
      </w:tr>
      <w:tr>
        <w:tblPrEx>
          <w:tblLayout w:type="fixed"/>
        </w:tblPrEx>
        <w:trPr>
          <w:trHeight w:val="420" w:hRule="atLeast"/>
        </w:trPr>
        <w:tc>
          <w:tcPr>
            <w:tcW w:w="1960"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kern w:val="0"/>
                <w:sz w:val="24"/>
              </w:rPr>
            </w:pPr>
          </w:p>
        </w:tc>
        <w:tc>
          <w:tcPr>
            <w:tcW w:w="7269" w:type="dxa"/>
            <w:gridSpan w:val="7"/>
            <w:tcBorders>
              <w:top w:val="single" w:color="auto" w:sz="4" w:space="0"/>
              <w:left w:val="nil"/>
              <w:bottom w:val="single" w:color="auto" w:sz="4" w:space="0"/>
              <w:right w:val="single" w:color="000000"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自有资金</w:t>
            </w:r>
          </w:p>
        </w:tc>
      </w:tr>
      <w:tr>
        <w:tblPrEx>
          <w:tblLayout w:type="fixed"/>
          <w:tblCellMar>
            <w:top w:w="0" w:type="dxa"/>
            <w:left w:w="108" w:type="dxa"/>
            <w:bottom w:w="0" w:type="dxa"/>
            <w:right w:w="108" w:type="dxa"/>
          </w:tblCellMar>
        </w:tblPrEx>
        <w:trPr>
          <w:trHeight w:val="420" w:hRule="atLeast"/>
        </w:trPr>
        <w:tc>
          <w:tcPr>
            <w:tcW w:w="1960"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kern w:val="0"/>
                <w:sz w:val="24"/>
              </w:rPr>
            </w:pPr>
          </w:p>
        </w:tc>
        <w:tc>
          <w:tcPr>
            <w:tcW w:w="7269" w:type="dxa"/>
            <w:gridSpan w:val="7"/>
            <w:tcBorders>
              <w:top w:val="single" w:color="auto" w:sz="4" w:space="0"/>
              <w:left w:val="nil"/>
              <w:bottom w:val="single" w:color="auto" w:sz="4" w:space="0"/>
              <w:right w:val="single" w:color="000000"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经营性收入</w:t>
            </w:r>
          </w:p>
        </w:tc>
      </w:tr>
      <w:tr>
        <w:tblPrEx>
          <w:tblLayout w:type="fixed"/>
          <w:tblCellMar>
            <w:top w:w="0" w:type="dxa"/>
            <w:left w:w="108" w:type="dxa"/>
            <w:bottom w:w="0" w:type="dxa"/>
            <w:right w:w="108" w:type="dxa"/>
          </w:tblCellMar>
        </w:tblPrEx>
        <w:trPr>
          <w:trHeight w:val="420" w:hRule="atLeast"/>
        </w:trPr>
        <w:tc>
          <w:tcPr>
            <w:tcW w:w="1960"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kern w:val="0"/>
                <w:sz w:val="24"/>
              </w:rPr>
            </w:pPr>
          </w:p>
        </w:tc>
        <w:tc>
          <w:tcPr>
            <w:tcW w:w="7269" w:type="dxa"/>
            <w:gridSpan w:val="7"/>
            <w:tcBorders>
              <w:top w:val="single" w:color="auto" w:sz="4" w:space="0"/>
              <w:left w:val="nil"/>
              <w:bottom w:val="single" w:color="auto" w:sz="4" w:space="0"/>
              <w:right w:val="single" w:color="000000"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其他收入</w:t>
            </w:r>
          </w:p>
        </w:tc>
      </w:tr>
      <w:tr>
        <w:tblPrEx>
          <w:tblLayout w:type="fixed"/>
          <w:tblCellMar>
            <w:top w:w="0" w:type="dxa"/>
            <w:left w:w="108" w:type="dxa"/>
            <w:bottom w:w="0" w:type="dxa"/>
            <w:right w:w="108" w:type="dxa"/>
          </w:tblCellMar>
        </w:tblPrEx>
        <w:trPr>
          <w:trHeight w:val="420" w:hRule="atLeast"/>
        </w:trPr>
        <w:tc>
          <w:tcPr>
            <w:tcW w:w="1960"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kern w:val="0"/>
                <w:sz w:val="24"/>
              </w:rPr>
            </w:pPr>
          </w:p>
        </w:tc>
        <w:tc>
          <w:tcPr>
            <w:tcW w:w="7269" w:type="dxa"/>
            <w:gridSpan w:val="7"/>
            <w:tcBorders>
              <w:top w:val="single" w:color="auto" w:sz="4" w:space="0"/>
              <w:left w:val="nil"/>
              <w:bottom w:val="single" w:color="auto" w:sz="4" w:space="0"/>
              <w:right w:val="single" w:color="000000"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其他</w:t>
            </w:r>
          </w:p>
        </w:tc>
      </w:tr>
      <w:tr>
        <w:tblPrEx>
          <w:tblLayout w:type="fixed"/>
          <w:tblCellMar>
            <w:top w:w="0" w:type="dxa"/>
            <w:left w:w="108" w:type="dxa"/>
            <w:bottom w:w="0" w:type="dxa"/>
            <w:right w:w="108" w:type="dxa"/>
          </w:tblCellMar>
        </w:tblPrEx>
        <w:trPr>
          <w:trHeight w:val="1488" w:hRule="atLeast"/>
        </w:trPr>
        <w:tc>
          <w:tcPr>
            <w:tcW w:w="19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单位职能阐述</w:t>
            </w:r>
          </w:p>
        </w:tc>
        <w:tc>
          <w:tcPr>
            <w:tcW w:w="7269" w:type="dxa"/>
            <w:gridSpan w:val="7"/>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p>
            <w:pPr>
              <w:rPr>
                <w:rFonts w:ascii="仿宋_GB2312" w:hAnsi="宋体" w:eastAsia="仿宋_GB2312" w:cs="宋体"/>
                <w:sz w:val="24"/>
              </w:rPr>
            </w:pPr>
          </w:p>
          <w:p>
            <w:pPr>
              <w:rPr>
                <w:rFonts w:ascii="仿宋_GB2312" w:hAnsi="宋体" w:eastAsia="仿宋_GB2312" w:cs="宋体"/>
                <w:sz w:val="24"/>
              </w:rPr>
            </w:pPr>
          </w:p>
        </w:tc>
      </w:tr>
      <w:tr>
        <w:tblPrEx>
          <w:tblLayout w:type="fixed"/>
          <w:tblCellMar>
            <w:top w:w="0" w:type="dxa"/>
            <w:left w:w="108" w:type="dxa"/>
            <w:bottom w:w="0" w:type="dxa"/>
            <w:right w:w="108" w:type="dxa"/>
          </w:tblCellMar>
        </w:tblPrEx>
        <w:trPr>
          <w:trHeight w:val="1385" w:hRule="atLeast"/>
        </w:trPr>
        <w:tc>
          <w:tcPr>
            <w:tcW w:w="196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项目概况</w:t>
            </w:r>
          </w:p>
        </w:tc>
        <w:tc>
          <w:tcPr>
            <w:tcW w:w="7269" w:type="dxa"/>
            <w:gridSpan w:val="7"/>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r>
      <w:tr>
        <w:tblPrEx>
          <w:tblLayout w:type="fixed"/>
        </w:tblPrEx>
        <w:trPr>
          <w:trHeight w:val="420" w:hRule="atLeast"/>
        </w:trPr>
        <w:tc>
          <w:tcPr>
            <w:tcW w:w="19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项目立项情况</w:t>
            </w:r>
          </w:p>
        </w:tc>
        <w:tc>
          <w:tcPr>
            <w:tcW w:w="2240"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项目立项的依据</w:t>
            </w:r>
          </w:p>
        </w:tc>
        <w:tc>
          <w:tcPr>
            <w:tcW w:w="5029"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r>
      <w:tr>
        <w:tblPrEx>
          <w:tblLayout w:type="fixed"/>
          <w:tblCellMar>
            <w:top w:w="0" w:type="dxa"/>
            <w:left w:w="108" w:type="dxa"/>
            <w:bottom w:w="0" w:type="dxa"/>
            <w:right w:w="108" w:type="dxa"/>
          </w:tblCellMar>
        </w:tblPrEx>
        <w:trPr>
          <w:trHeight w:val="420" w:hRule="atLeast"/>
        </w:trPr>
        <w:tc>
          <w:tcPr>
            <w:tcW w:w="19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rPr>
            </w:pPr>
          </w:p>
        </w:tc>
        <w:tc>
          <w:tcPr>
            <w:tcW w:w="2240"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项目申报的可行性</w:t>
            </w:r>
          </w:p>
        </w:tc>
        <w:tc>
          <w:tcPr>
            <w:tcW w:w="5029"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r>
      <w:tr>
        <w:tblPrEx>
          <w:tblLayout w:type="fixed"/>
          <w:tblCellMar>
            <w:top w:w="0" w:type="dxa"/>
            <w:left w:w="108" w:type="dxa"/>
            <w:bottom w:w="0" w:type="dxa"/>
            <w:right w:w="108" w:type="dxa"/>
          </w:tblCellMar>
        </w:tblPrEx>
        <w:trPr>
          <w:trHeight w:val="420" w:hRule="atLeast"/>
        </w:trPr>
        <w:tc>
          <w:tcPr>
            <w:tcW w:w="19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rPr>
            </w:pPr>
          </w:p>
        </w:tc>
        <w:tc>
          <w:tcPr>
            <w:tcW w:w="2240"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项目申报的必要性</w:t>
            </w:r>
          </w:p>
        </w:tc>
        <w:tc>
          <w:tcPr>
            <w:tcW w:w="5029"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r>
      <w:tr>
        <w:tblPrEx>
          <w:tblLayout w:type="fixed"/>
          <w:tblCellMar>
            <w:top w:w="0" w:type="dxa"/>
            <w:left w:w="108" w:type="dxa"/>
            <w:bottom w:w="0" w:type="dxa"/>
            <w:right w:w="108" w:type="dxa"/>
          </w:tblCellMar>
        </w:tblPrEx>
        <w:trPr>
          <w:trHeight w:val="490" w:hRule="atLeast"/>
        </w:trPr>
        <w:tc>
          <w:tcPr>
            <w:tcW w:w="19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项目实施进度计划</w:t>
            </w:r>
          </w:p>
        </w:tc>
        <w:tc>
          <w:tcPr>
            <w:tcW w:w="2240"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项目实施内容</w:t>
            </w:r>
          </w:p>
        </w:tc>
        <w:tc>
          <w:tcPr>
            <w:tcW w:w="2002" w:type="dxa"/>
            <w:gridSpan w:val="2"/>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开始时间</w:t>
            </w:r>
          </w:p>
        </w:tc>
        <w:tc>
          <w:tcPr>
            <w:tcW w:w="3027" w:type="dxa"/>
            <w:gridSpan w:val="3"/>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完成时间</w:t>
            </w:r>
          </w:p>
        </w:tc>
      </w:tr>
      <w:tr>
        <w:tblPrEx>
          <w:tblLayout w:type="fixed"/>
          <w:tblCellMar>
            <w:top w:w="0" w:type="dxa"/>
            <w:left w:w="108" w:type="dxa"/>
            <w:bottom w:w="0" w:type="dxa"/>
            <w:right w:w="108" w:type="dxa"/>
          </w:tblCellMar>
        </w:tblPrEx>
        <w:trPr>
          <w:trHeight w:val="420" w:hRule="atLeast"/>
        </w:trPr>
        <w:tc>
          <w:tcPr>
            <w:tcW w:w="19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rPr>
            </w:pPr>
          </w:p>
        </w:tc>
        <w:tc>
          <w:tcPr>
            <w:tcW w:w="2240"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w:t>
            </w:r>
          </w:p>
        </w:tc>
        <w:tc>
          <w:tcPr>
            <w:tcW w:w="2002" w:type="dxa"/>
            <w:gridSpan w:val="2"/>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3027" w:type="dxa"/>
            <w:gridSpan w:val="3"/>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r>
      <w:tr>
        <w:tblPrEx>
          <w:tblLayout w:type="fixed"/>
          <w:tblCellMar>
            <w:top w:w="0" w:type="dxa"/>
            <w:left w:w="108" w:type="dxa"/>
            <w:bottom w:w="0" w:type="dxa"/>
            <w:right w:w="108" w:type="dxa"/>
          </w:tblCellMar>
        </w:tblPrEx>
        <w:trPr>
          <w:trHeight w:val="420" w:hRule="atLeast"/>
        </w:trPr>
        <w:tc>
          <w:tcPr>
            <w:tcW w:w="19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rPr>
            </w:pPr>
          </w:p>
        </w:tc>
        <w:tc>
          <w:tcPr>
            <w:tcW w:w="2240"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2、</w:t>
            </w:r>
          </w:p>
        </w:tc>
        <w:tc>
          <w:tcPr>
            <w:tcW w:w="2002" w:type="dxa"/>
            <w:gridSpan w:val="2"/>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3027" w:type="dxa"/>
            <w:gridSpan w:val="3"/>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r>
      <w:tr>
        <w:tblPrEx>
          <w:tblLayout w:type="fixed"/>
        </w:tblPrEx>
        <w:trPr>
          <w:trHeight w:val="457" w:hRule="atLeast"/>
        </w:trPr>
        <w:tc>
          <w:tcPr>
            <w:tcW w:w="19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rPr>
            </w:pPr>
          </w:p>
        </w:tc>
        <w:tc>
          <w:tcPr>
            <w:tcW w:w="2240"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w:t>
            </w:r>
          </w:p>
        </w:tc>
        <w:tc>
          <w:tcPr>
            <w:tcW w:w="2002" w:type="dxa"/>
            <w:gridSpan w:val="2"/>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3027" w:type="dxa"/>
            <w:gridSpan w:val="3"/>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r>
    </w:tbl>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beforeLines="50"/>
        <w:jc w:val="center"/>
        <w:outlineLvl w:val="1"/>
        <w:rPr>
          <w:rFonts w:ascii="黑体" w:hAnsi="黑体" w:eastAsia="黑体"/>
          <w:b/>
          <w:kern w:val="0"/>
          <w:sz w:val="32"/>
          <w:szCs w:val="32"/>
        </w:rPr>
      </w:pPr>
    </w:p>
    <w:p>
      <w:pPr>
        <w:widowControl/>
        <w:spacing w:beforeLines="50"/>
        <w:jc w:val="center"/>
        <w:outlineLvl w:val="1"/>
        <w:rPr>
          <w:rFonts w:ascii="黑体" w:hAnsi="黑体" w:eastAsia="黑体"/>
          <w:b/>
          <w:kern w:val="0"/>
          <w:sz w:val="32"/>
          <w:szCs w:val="32"/>
        </w:rPr>
      </w:pPr>
    </w:p>
    <w:p>
      <w:pPr>
        <w:widowControl/>
        <w:spacing w:beforeLines="50"/>
        <w:jc w:val="center"/>
        <w:outlineLvl w:val="1"/>
        <w:rPr>
          <w:rFonts w:ascii="黑体" w:hAnsi="黑体" w:eastAsia="黑体"/>
          <w:b/>
          <w:kern w:val="0"/>
          <w:sz w:val="32"/>
          <w:szCs w:val="32"/>
        </w:rPr>
      </w:pPr>
    </w:p>
    <w:p>
      <w:pPr>
        <w:widowControl/>
        <w:spacing w:beforeLines="50"/>
        <w:jc w:val="center"/>
        <w:outlineLvl w:val="1"/>
        <w:rPr>
          <w:rFonts w:ascii="黑体" w:hAnsi="黑体" w:eastAsia="黑体"/>
          <w:b/>
          <w:kern w:val="0"/>
          <w:sz w:val="32"/>
          <w:szCs w:val="32"/>
        </w:rPr>
      </w:pPr>
    </w:p>
    <w:p>
      <w:pPr>
        <w:widowControl/>
        <w:spacing w:beforeLines="50"/>
        <w:jc w:val="center"/>
        <w:outlineLvl w:val="1"/>
        <w:rPr>
          <w:rFonts w:ascii="黑体" w:hAnsi="黑体" w:eastAsia="黑体"/>
          <w:b/>
          <w:kern w:val="0"/>
          <w:sz w:val="32"/>
          <w:szCs w:val="32"/>
        </w:rPr>
      </w:pPr>
    </w:p>
    <w:p>
      <w:pPr>
        <w:widowControl/>
        <w:spacing w:beforeLines="50"/>
        <w:jc w:val="center"/>
        <w:outlineLvl w:val="1"/>
        <w:rPr>
          <w:rFonts w:ascii="黑体" w:hAnsi="黑体" w:eastAsia="黑体"/>
          <w:b/>
          <w:kern w:val="0"/>
          <w:sz w:val="32"/>
          <w:szCs w:val="32"/>
        </w:rPr>
      </w:pPr>
    </w:p>
    <w:p>
      <w:pPr>
        <w:widowControl/>
        <w:spacing w:beforeLines="50"/>
        <w:jc w:val="center"/>
        <w:outlineLvl w:val="1"/>
        <w:rPr>
          <w:rFonts w:ascii="黑体" w:hAnsi="黑体" w:eastAsia="黑体"/>
          <w:b/>
          <w:kern w:val="0"/>
          <w:sz w:val="32"/>
          <w:szCs w:val="32"/>
        </w:rPr>
      </w:pPr>
    </w:p>
    <w:p>
      <w:pPr>
        <w:widowControl/>
        <w:spacing w:beforeLines="50"/>
        <w:jc w:val="center"/>
        <w:outlineLvl w:val="1"/>
        <w:rPr>
          <w:rFonts w:ascii="黑体" w:hAnsi="黑体" w:eastAsia="黑体"/>
          <w:b/>
          <w:kern w:val="0"/>
          <w:sz w:val="32"/>
          <w:szCs w:val="32"/>
        </w:rPr>
      </w:pPr>
    </w:p>
    <w:p>
      <w:pPr>
        <w:widowControl/>
        <w:spacing w:beforeLines="50"/>
        <w:jc w:val="center"/>
        <w:outlineLvl w:val="1"/>
        <w:rPr>
          <w:rFonts w:ascii="黑体" w:hAnsi="黑体" w:eastAsia="黑体"/>
          <w:b/>
          <w:kern w:val="0"/>
          <w:sz w:val="32"/>
          <w:szCs w:val="32"/>
        </w:rPr>
      </w:pPr>
    </w:p>
    <w:p>
      <w:pPr>
        <w:widowControl/>
        <w:spacing w:beforeLines="50"/>
        <w:jc w:val="center"/>
        <w:outlineLvl w:val="1"/>
        <w:rPr>
          <w:rFonts w:ascii="黑体" w:hAnsi="黑体" w:eastAsia="黑体"/>
          <w:b/>
          <w:kern w:val="0"/>
          <w:sz w:val="32"/>
          <w:szCs w:val="32"/>
        </w:rPr>
      </w:pPr>
    </w:p>
    <w:p>
      <w:pPr>
        <w:widowControl/>
        <w:spacing w:beforeLines="50"/>
        <w:jc w:val="center"/>
        <w:outlineLvl w:val="1"/>
        <w:rPr>
          <w:rFonts w:ascii="黑体" w:hAnsi="黑体" w:eastAsia="黑体"/>
          <w:b/>
          <w:kern w:val="0"/>
          <w:sz w:val="32"/>
          <w:szCs w:val="32"/>
        </w:rPr>
      </w:pPr>
    </w:p>
    <w:p>
      <w:pPr>
        <w:widowControl/>
        <w:spacing w:beforeLines="50"/>
        <w:jc w:val="center"/>
        <w:outlineLvl w:val="1"/>
        <w:rPr>
          <w:rFonts w:ascii="黑体" w:hAnsi="黑体" w:eastAsia="黑体"/>
          <w:b/>
          <w:kern w:val="0"/>
          <w:sz w:val="32"/>
          <w:szCs w:val="32"/>
        </w:rPr>
      </w:pPr>
      <w:r>
        <w:rPr>
          <w:rFonts w:hint="eastAsia" w:ascii="黑体" w:hAnsi="黑体" w:eastAsia="黑体"/>
          <w:b/>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三、财政专户管理资金：</w:t>
      </w:r>
      <w:r>
        <w:rPr>
          <w:rFonts w:hint="eastAsia" w:ascii="仿宋_GB2312" w:eastAsia="仿宋_GB2312"/>
          <w:sz w:val="32"/>
          <w:szCs w:val="32"/>
        </w:rPr>
        <w:t>包括专户管理行政事业性收费（主要是教育收费）、其他非税收入。</w:t>
      </w:r>
    </w:p>
    <w:p>
      <w:pPr>
        <w:spacing w:line="550" w:lineRule="exact"/>
        <w:ind w:firstLine="642"/>
        <w:rPr>
          <w:rFonts w:ascii="仿宋_GB2312" w:eastAsia="仿宋_GB2312"/>
          <w:sz w:val="32"/>
          <w:szCs w:val="32"/>
        </w:rPr>
      </w:pPr>
      <w:r>
        <w:rPr>
          <w:rFonts w:hint="eastAsia" w:ascii="黑体" w:hAnsi="黑体" w:eastAsia="黑体"/>
          <w:sz w:val="32"/>
          <w:szCs w:val="32"/>
        </w:rPr>
        <w:t>四、其他资金：</w:t>
      </w:r>
      <w:r>
        <w:rPr>
          <w:rFonts w:hint="eastAsia" w:ascii="仿宋_GB2312" w:eastAsia="仿宋_GB2312"/>
          <w:sz w:val="32"/>
          <w:szCs w:val="32"/>
        </w:rPr>
        <w:t>包括事业收入、经营收入、其他收入等。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五、基本支出：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六、项目支出：</w:t>
      </w:r>
      <w:r>
        <w:rPr>
          <w:rFonts w:hint="eastAsia" w:ascii="仿宋_GB2312" w:eastAsia="仿宋_GB2312"/>
          <w:sz w:val="32"/>
          <w:szCs w:val="32"/>
        </w:rPr>
        <w:t>部门支出预算的组成部分，是自治区本级部门为完成其特定的行政任务或事业发展目标，在基本支出预算之外编制的年度项目支出计划。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七、“三公”经费：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rPr>
        <w:t>八、机关运行经费：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吉木萨尔县国库支付中心</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2016</w:t>
      </w:r>
      <w:r>
        <w:rPr>
          <w:rFonts w:ascii="仿宋_GB2312" w:hAnsi="宋体" w:eastAsia="仿宋_GB2312" w:cs="宋体"/>
          <w:kern w:val="0"/>
          <w:sz w:val="32"/>
          <w:szCs w:val="32"/>
        </w:rPr>
        <w:t>年</w:t>
      </w:r>
      <w:r>
        <w:rPr>
          <w:rFonts w:hint="eastAsia" w:ascii="仿宋_GB2312" w:hAnsi="宋体" w:eastAsia="仿宋_GB2312" w:cs="宋体"/>
          <w:kern w:val="0"/>
          <w:sz w:val="32"/>
          <w:szCs w:val="32"/>
        </w:rPr>
        <w:t>3</w:t>
      </w:r>
      <w:r>
        <w:rPr>
          <w:rFonts w:ascii="仿宋_GB2312" w:hAnsi="宋体" w:eastAsia="仿宋_GB2312" w:cs="宋体"/>
          <w:kern w:val="0"/>
          <w:sz w:val="32"/>
          <w:szCs w:val="32"/>
        </w:rPr>
        <w:t>月</w:t>
      </w:r>
      <w:r>
        <w:rPr>
          <w:rFonts w:hint="eastAsia" w:ascii="仿宋_GB2312" w:hAnsi="宋体" w:eastAsia="仿宋_GB2312" w:cs="宋体"/>
          <w:kern w:val="0"/>
          <w:sz w:val="32"/>
          <w:szCs w:val="32"/>
        </w:rPr>
        <w:t>25</w:t>
      </w:r>
      <w:r>
        <w:rPr>
          <w:rFonts w:ascii="仿宋_GB2312" w:hAnsi="宋体" w:eastAsia="仿宋_GB2312" w:cs="宋体"/>
          <w:kern w:val="0"/>
          <w:sz w:val="32"/>
          <w:szCs w:val="32"/>
        </w:rPr>
        <w:t>日</w:t>
      </w:r>
    </w:p>
    <w:p>
      <w:pPr>
        <w:rPr>
          <w:rFonts w:ascii="仿宋_GB2312" w:hAnsi="宋体" w:eastAsia="仿宋_GB2312"/>
          <w:kern w:val="0"/>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D4B03"/>
    <w:rsid w:val="00022F00"/>
    <w:rsid w:val="00023569"/>
    <w:rsid w:val="000238BF"/>
    <w:rsid w:val="0003235D"/>
    <w:rsid w:val="000338CF"/>
    <w:rsid w:val="0009042E"/>
    <w:rsid w:val="000C1E7A"/>
    <w:rsid w:val="000E08CB"/>
    <w:rsid w:val="00105E5B"/>
    <w:rsid w:val="00124E63"/>
    <w:rsid w:val="001269F2"/>
    <w:rsid w:val="00150272"/>
    <w:rsid w:val="00152910"/>
    <w:rsid w:val="00173FCF"/>
    <w:rsid w:val="001811A8"/>
    <w:rsid w:val="001873D3"/>
    <w:rsid w:val="00193B4B"/>
    <w:rsid w:val="001B489F"/>
    <w:rsid w:val="001B7F13"/>
    <w:rsid w:val="00204569"/>
    <w:rsid w:val="00207678"/>
    <w:rsid w:val="00230DB0"/>
    <w:rsid w:val="002328D4"/>
    <w:rsid w:val="002348B4"/>
    <w:rsid w:val="002732DB"/>
    <w:rsid w:val="00276105"/>
    <w:rsid w:val="00286A4E"/>
    <w:rsid w:val="002A3628"/>
    <w:rsid w:val="002A4013"/>
    <w:rsid w:val="002B3252"/>
    <w:rsid w:val="002D5ADC"/>
    <w:rsid w:val="002E53E8"/>
    <w:rsid w:val="002E631A"/>
    <w:rsid w:val="00300FE0"/>
    <w:rsid w:val="00313830"/>
    <w:rsid w:val="00320863"/>
    <w:rsid w:val="0032567E"/>
    <w:rsid w:val="00334B06"/>
    <w:rsid w:val="003736A9"/>
    <w:rsid w:val="00375697"/>
    <w:rsid w:val="00377077"/>
    <w:rsid w:val="00391BEE"/>
    <w:rsid w:val="00394FBF"/>
    <w:rsid w:val="003A396C"/>
    <w:rsid w:val="003A55D4"/>
    <w:rsid w:val="003B3968"/>
    <w:rsid w:val="003E392A"/>
    <w:rsid w:val="003F476B"/>
    <w:rsid w:val="0040107A"/>
    <w:rsid w:val="00404910"/>
    <w:rsid w:val="004304F5"/>
    <w:rsid w:val="0044475F"/>
    <w:rsid w:val="0046479B"/>
    <w:rsid w:val="00472BB7"/>
    <w:rsid w:val="004D002E"/>
    <w:rsid w:val="004D4B03"/>
    <w:rsid w:val="00502561"/>
    <w:rsid w:val="00521E38"/>
    <w:rsid w:val="005258B1"/>
    <w:rsid w:val="00580AF2"/>
    <w:rsid w:val="00581C85"/>
    <w:rsid w:val="005C3AC1"/>
    <w:rsid w:val="00600CD0"/>
    <w:rsid w:val="006104D3"/>
    <w:rsid w:val="006138B0"/>
    <w:rsid w:val="006457BE"/>
    <w:rsid w:val="006558AE"/>
    <w:rsid w:val="00655CBD"/>
    <w:rsid w:val="006A38C8"/>
    <w:rsid w:val="006B203D"/>
    <w:rsid w:val="006B2C18"/>
    <w:rsid w:val="006B5516"/>
    <w:rsid w:val="006B7247"/>
    <w:rsid w:val="006C1EEA"/>
    <w:rsid w:val="006C2BD2"/>
    <w:rsid w:val="006D7DED"/>
    <w:rsid w:val="006E4403"/>
    <w:rsid w:val="006F0D32"/>
    <w:rsid w:val="006F2E02"/>
    <w:rsid w:val="007025C9"/>
    <w:rsid w:val="0074284E"/>
    <w:rsid w:val="00753DDB"/>
    <w:rsid w:val="0076538C"/>
    <w:rsid w:val="00766558"/>
    <w:rsid w:val="00771C4D"/>
    <w:rsid w:val="007969B2"/>
    <w:rsid w:val="007A639C"/>
    <w:rsid w:val="007C4DDD"/>
    <w:rsid w:val="007D4837"/>
    <w:rsid w:val="007E7ED6"/>
    <w:rsid w:val="007F08D7"/>
    <w:rsid w:val="00803507"/>
    <w:rsid w:val="00826996"/>
    <w:rsid w:val="00847E44"/>
    <w:rsid w:val="008641B2"/>
    <w:rsid w:val="008642F8"/>
    <w:rsid w:val="008748D0"/>
    <w:rsid w:val="008A281B"/>
    <w:rsid w:val="008E0F6E"/>
    <w:rsid w:val="00911FA0"/>
    <w:rsid w:val="00934734"/>
    <w:rsid w:val="00943100"/>
    <w:rsid w:val="00944675"/>
    <w:rsid w:val="00950637"/>
    <w:rsid w:val="00954031"/>
    <w:rsid w:val="009619A2"/>
    <w:rsid w:val="009752E5"/>
    <w:rsid w:val="00980D00"/>
    <w:rsid w:val="00987368"/>
    <w:rsid w:val="00997692"/>
    <w:rsid w:val="009A142A"/>
    <w:rsid w:val="009B0C21"/>
    <w:rsid w:val="009B0E05"/>
    <w:rsid w:val="009B37EC"/>
    <w:rsid w:val="009B434A"/>
    <w:rsid w:val="009B63A2"/>
    <w:rsid w:val="009B6751"/>
    <w:rsid w:val="009D1ED8"/>
    <w:rsid w:val="009E1D2A"/>
    <w:rsid w:val="009E7CDE"/>
    <w:rsid w:val="00A33682"/>
    <w:rsid w:val="00A529FA"/>
    <w:rsid w:val="00A57B80"/>
    <w:rsid w:val="00A844AD"/>
    <w:rsid w:val="00A947EC"/>
    <w:rsid w:val="00AA21B3"/>
    <w:rsid w:val="00AA4A9B"/>
    <w:rsid w:val="00AA5064"/>
    <w:rsid w:val="00AB69D7"/>
    <w:rsid w:val="00AE7CF0"/>
    <w:rsid w:val="00AF4DB8"/>
    <w:rsid w:val="00B07E81"/>
    <w:rsid w:val="00B10E88"/>
    <w:rsid w:val="00B11A09"/>
    <w:rsid w:val="00B12494"/>
    <w:rsid w:val="00B51ACC"/>
    <w:rsid w:val="00B57C6F"/>
    <w:rsid w:val="00B917FD"/>
    <w:rsid w:val="00BA38F9"/>
    <w:rsid w:val="00BC593C"/>
    <w:rsid w:val="00BD4F6C"/>
    <w:rsid w:val="00BE5DE9"/>
    <w:rsid w:val="00BF7035"/>
    <w:rsid w:val="00C11211"/>
    <w:rsid w:val="00C14913"/>
    <w:rsid w:val="00C22C3E"/>
    <w:rsid w:val="00C2606A"/>
    <w:rsid w:val="00C324F4"/>
    <w:rsid w:val="00C42713"/>
    <w:rsid w:val="00C5305B"/>
    <w:rsid w:val="00CA44E7"/>
    <w:rsid w:val="00D27536"/>
    <w:rsid w:val="00D36928"/>
    <w:rsid w:val="00D440D9"/>
    <w:rsid w:val="00D44C43"/>
    <w:rsid w:val="00D57ACD"/>
    <w:rsid w:val="00D57DF3"/>
    <w:rsid w:val="00D61130"/>
    <w:rsid w:val="00D9290D"/>
    <w:rsid w:val="00D966AE"/>
    <w:rsid w:val="00DC14E0"/>
    <w:rsid w:val="00DC739D"/>
    <w:rsid w:val="00DE72E2"/>
    <w:rsid w:val="00DF2452"/>
    <w:rsid w:val="00DF5503"/>
    <w:rsid w:val="00E30043"/>
    <w:rsid w:val="00E41982"/>
    <w:rsid w:val="00E448D7"/>
    <w:rsid w:val="00E528A5"/>
    <w:rsid w:val="00E56DAF"/>
    <w:rsid w:val="00E70F0E"/>
    <w:rsid w:val="00E86C1A"/>
    <w:rsid w:val="00E91186"/>
    <w:rsid w:val="00ED1999"/>
    <w:rsid w:val="00ED3DC9"/>
    <w:rsid w:val="00EF5B06"/>
    <w:rsid w:val="00F21D72"/>
    <w:rsid w:val="00F5321A"/>
    <w:rsid w:val="00F72E34"/>
    <w:rsid w:val="00F817C5"/>
    <w:rsid w:val="00FA12CE"/>
    <w:rsid w:val="00FA3812"/>
    <w:rsid w:val="00FA75E1"/>
    <w:rsid w:val="00FA7939"/>
    <w:rsid w:val="00FB3CB7"/>
    <w:rsid w:val="00FB482A"/>
    <w:rsid w:val="00FB56CA"/>
    <w:rsid w:val="00FC1612"/>
    <w:rsid w:val="00FC3E18"/>
    <w:rsid w:val="00FE1DD9"/>
    <w:rsid w:val="00FE21ED"/>
    <w:rsid w:val="00FE4187"/>
    <w:rsid w:val="00FF3F90"/>
    <w:rsid w:val="01C25CBE"/>
    <w:rsid w:val="02726AE4"/>
    <w:rsid w:val="034E4F55"/>
    <w:rsid w:val="03C67A97"/>
    <w:rsid w:val="04BE78CC"/>
    <w:rsid w:val="07457633"/>
    <w:rsid w:val="08D57668"/>
    <w:rsid w:val="0AB34B7A"/>
    <w:rsid w:val="0ACA5D28"/>
    <w:rsid w:val="0AF17B8C"/>
    <w:rsid w:val="0C46110C"/>
    <w:rsid w:val="0C6F7F72"/>
    <w:rsid w:val="0DE64F47"/>
    <w:rsid w:val="0E8C1619"/>
    <w:rsid w:val="123224C5"/>
    <w:rsid w:val="12521099"/>
    <w:rsid w:val="1285392B"/>
    <w:rsid w:val="12A907E8"/>
    <w:rsid w:val="14057109"/>
    <w:rsid w:val="158F2DBC"/>
    <w:rsid w:val="18E53C3A"/>
    <w:rsid w:val="19FB1A24"/>
    <w:rsid w:val="1A4441FE"/>
    <w:rsid w:val="1B363FCC"/>
    <w:rsid w:val="1E354054"/>
    <w:rsid w:val="1E462964"/>
    <w:rsid w:val="1EEB275E"/>
    <w:rsid w:val="1F720CC1"/>
    <w:rsid w:val="209519C2"/>
    <w:rsid w:val="212B1209"/>
    <w:rsid w:val="21D65C31"/>
    <w:rsid w:val="22FE75D1"/>
    <w:rsid w:val="238D5189"/>
    <w:rsid w:val="23B61554"/>
    <w:rsid w:val="26CC2C71"/>
    <w:rsid w:val="27DB63C2"/>
    <w:rsid w:val="29EA3FA3"/>
    <w:rsid w:val="2C7612C9"/>
    <w:rsid w:val="2FC3127A"/>
    <w:rsid w:val="307971D4"/>
    <w:rsid w:val="31624ABC"/>
    <w:rsid w:val="32642659"/>
    <w:rsid w:val="328C772B"/>
    <w:rsid w:val="347412AA"/>
    <w:rsid w:val="34F10E41"/>
    <w:rsid w:val="35AB5A81"/>
    <w:rsid w:val="36D079C4"/>
    <w:rsid w:val="38214D01"/>
    <w:rsid w:val="38651D83"/>
    <w:rsid w:val="3AED30B6"/>
    <w:rsid w:val="3B5A4261"/>
    <w:rsid w:val="40F11BEE"/>
    <w:rsid w:val="423D3F87"/>
    <w:rsid w:val="432D15C5"/>
    <w:rsid w:val="45162623"/>
    <w:rsid w:val="46185B44"/>
    <w:rsid w:val="46FA332C"/>
    <w:rsid w:val="47DF518F"/>
    <w:rsid w:val="4A195017"/>
    <w:rsid w:val="4AD76C84"/>
    <w:rsid w:val="4BB25B03"/>
    <w:rsid w:val="51334AEE"/>
    <w:rsid w:val="51F82292"/>
    <w:rsid w:val="5531612A"/>
    <w:rsid w:val="553656FC"/>
    <w:rsid w:val="56E2610F"/>
    <w:rsid w:val="56E279BD"/>
    <w:rsid w:val="572942D1"/>
    <w:rsid w:val="57894A9A"/>
    <w:rsid w:val="5CBC2A5A"/>
    <w:rsid w:val="5CE07CD3"/>
    <w:rsid w:val="5D9A1EEE"/>
    <w:rsid w:val="5F595263"/>
    <w:rsid w:val="6069441A"/>
    <w:rsid w:val="60831D72"/>
    <w:rsid w:val="61C505B2"/>
    <w:rsid w:val="634D27B5"/>
    <w:rsid w:val="63B6248E"/>
    <w:rsid w:val="65E8137F"/>
    <w:rsid w:val="65F9775D"/>
    <w:rsid w:val="66A7346E"/>
    <w:rsid w:val="676B5053"/>
    <w:rsid w:val="687215E7"/>
    <w:rsid w:val="694F1BE8"/>
    <w:rsid w:val="6A084066"/>
    <w:rsid w:val="6D045110"/>
    <w:rsid w:val="6EF47F6E"/>
    <w:rsid w:val="73B629EA"/>
    <w:rsid w:val="747A143D"/>
    <w:rsid w:val="757932F8"/>
    <w:rsid w:val="759D6219"/>
    <w:rsid w:val="77530BD1"/>
    <w:rsid w:val="77CC7188"/>
    <w:rsid w:val="78EF5F1B"/>
    <w:rsid w:val="797855D1"/>
    <w:rsid w:val="798E70E3"/>
    <w:rsid w:val="79DB48A6"/>
    <w:rsid w:val="7A810FCB"/>
    <w:rsid w:val="7B1F2922"/>
    <w:rsid w:val="7F966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jc w:val="left"/>
    </w:pPr>
    <w:rPr>
      <w:rFonts w:ascii="宋体" w:hAnsi="宋体" w:cs="宋体"/>
      <w:kern w:val="0"/>
      <w:sz w:val="24"/>
    </w:rPr>
  </w:style>
  <w:style w:type="character" w:customStyle="1" w:styleId="7">
    <w:name w:val="页眉 Char"/>
    <w:basedOn w:val="5"/>
    <w:link w:val="3"/>
    <w:semiHidden/>
    <w:qFormat/>
    <w:uiPriority w:val="99"/>
    <w:rPr>
      <w:rFonts w:ascii="Times New Roman" w:hAnsi="Times New Roman"/>
      <w:kern w:val="2"/>
      <w:sz w:val="18"/>
      <w:szCs w:val="18"/>
    </w:rPr>
  </w:style>
  <w:style w:type="character" w:customStyle="1" w:styleId="8">
    <w:name w:val="页脚 Char"/>
    <w:basedOn w:val="5"/>
    <w:link w:val="2"/>
    <w:semiHidden/>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57AF2D-4652-4267-BCAF-E71D43AFFF6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26</Pages>
  <Words>1750</Words>
  <Characters>9981</Characters>
  <Lines>83</Lines>
  <Paragraphs>23</Paragraphs>
  <TotalTime>235</TotalTime>
  <ScaleCrop>false</ScaleCrop>
  <LinksUpToDate>false</LinksUpToDate>
  <CharactersWithSpaces>11708</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2018-12-21T12:38:00Z</dcterms:created>
  <dc:creator>Administrator</dc:creator>
  <cp:lastModifiedBy>WPS_1527827274</cp:lastModifiedBy>
  <dcterms:modified xsi:type="dcterms:W3CDTF">2019-02-20T08:47:28Z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