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center"/>
        <w:outlineLvl w:val="1"/>
        <w:rPr>
          <w:rFonts w:hint="eastAsia" w:ascii="黑体" w:hAnsi="黑体" w:eastAsia="黑体"/>
          <w:kern w:val="0"/>
          <w:sz w:val="44"/>
          <w:szCs w:val="44"/>
        </w:rPr>
      </w:pPr>
      <w:r>
        <w:rPr>
          <w:rFonts w:hint="eastAsia"/>
          <w:b w:val="0"/>
          <w:bCs/>
          <w:color w:val="333333"/>
          <w:sz w:val="44"/>
          <w:szCs w:val="44"/>
          <w:shd w:val="clear" w:color="auto" w:fill="FFFFFF"/>
        </w:rPr>
        <w:t>吉木萨尔县政资局</w:t>
      </w:r>
      <w:r>
        <w:rPr>
          <w:rFonts w:hint="eastAsia"/>
          <w:b w:val="0"/>
          <w:bCs/>
          <w:color w:val="333333"/>
          <w:sz w:val="44"/>
          <w:szCs w:val="44"/>
          <w:shd w:val="clear" w:color="auto" w:fill="FFFFFF"/>
          <w:lang w:val="en-US" w:eastAsia="zh-CN"/>
        </w:rPr>
        <w:t>2016</w:t>
      </w:r>
      <w:r>
        <w:rPr>
          <w:rFonts w:hint="eastAsia" w:ascii="方正小标宋_GBK" w:hAnsi="宋体" w:eastAsia="方正小标宋_GBK"/>
          <w:kern w:val="0"/>
          <w:sz w:val="44"/>
          <w:szCs w:val="44"/>
        </w:rPr>
        <w:t>年部门预算公开</w:t>
      </w:r>
      <w:r>
        <w:rPr>
          <w:rFonts w:hint="eastAsia" w:ascii="方正小标宋_GBK" w:hAnsi="宋体" w:eastAsia="方正小标宋_GBK"/>
          <w:kern w:val="0"/>
          <w:sz w:val="44"/>
          <w:szCs w:val="44"/>
          <w:lang w:eastAsia="zh-CN"/>
        </w:rPr>
        <w:t>报告</w:t>
      </w:r>
    </w:p>
    <w:p>
      <w:pPr>
        <w:widowControl/>
        <w:spacing w:line="500" w:lineRule="exact"/>
        <w:jc w:val="center"/>
        <w:outlineLvl w:val="1"/>
        <w:rPr>
          <w:rFonts w:hint="eastAsia" w:ascii="黑体" w:hAnsi="黑体" w:eastAsia="黑体"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  <w:r>
        <w:rPr>
          <w:rFonts w:hint="eastAsia" w:ascii="黑体" w:hAnsi="黑体" w:eastAsia="黑体"/>
          <w:kern w:val="0"/>
          <w:sz w:val="44"/>
          <w:szCs w:val="44"/>
        </w:rPr>
        <w:t>目录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 xml:space="preserve">第一部分 </w:t>
      </w:r>
      <w:r>
        <w:rPr>
          <w:rFonts w:hint="eastAsia" w:ascii="仿宋" w:hAnsi="仿宋" w:eastAsia="仿宋" w:cs="仿宋"/>
          <w:b/>
          <w:bCs w:val="0"/>
          <w:color w:val="333333"/>
          <w:sz w:val="32"/>
          <w:szCs w:val="32"/>
          <w:shd w:val="clear" w:color="auto" w:fill="FFFFFF"/>
        </w:rPr>
        <w:t>吉木萨尔县政资局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概况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</w:t>
      </w:r>
      <w:r>
        <w:rPr>
          <w:rFonts w:hint="eastAsia" w:ascii="仿宋_GB2312" w:hAnsi="宋体" w:eastAsia="仿宋_GB2312"/>
          <w:b/>
          <w:kern w:val="0"/>
          <w:sz w:val="32"/>
          <w:szCs w:val="32"/>
          <w:lang w:val="en-US" w:eastAsia="zh-CN"/>
        </w:rPr>
        <w:t>2016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年部门预算公开表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</w:t>
      </w:r>
      <w:r>
        <w:rPr>
          <w:rFonts w:hint="eastAsia" w:ascii="宋体" w:hAnsi="宋体" w:eastAsia="仿宋_GB2312"/>
          <w:b/>
          <w:kern w:val="0"/>
          <w:sz w:val="32"/>
          <w:szCs w:val="32"/>
          <w:lang w:val="en-US" w:eastAsia="zh-CN"/>
        </w:rPr>
        <w:t>2016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年部门预算情况说明</w:t>
      </w:r>
      <w:bookmarkStart w:id="0" w:name="_GoBack"/>
      <w:bookmarkEnd w:id="0"/>
    </w:p>
    <w:p>
      <w:pPr>
        <w:widowControl/>
        <w:spacing w:line="460" w:lineRule="exact"/>
        <w:outlineLvl w:val="1"/>
        <w:rPr>
          <w:rFonts w:ascii="仿宋_GB2312" w:hAnsi="宋体" w:eastAsia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宋体" w:eastAsia="仿宋_GB2312"/>
          <w:b w:val="0"/>
          <w:bCs w:val="0"/>
          <w:kern w:val="0"/>
          <w:sz w:val="32"/>
          <w:szCs w:val="32"/>
        </w:rPr>
        <w:t>一、关于</w:t>
      </w: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  <w:shd w:val="clear" w:color="auto" w:fill="FFFFFF"/>
        </w:rPr>
        <w:t>吉木萨尔县政资局</w:t>
      </w:r>
      <w:r>
        <w:rPr>
          <w:rFonts w:hint="eastAsia" w:ascii="仿宋_GB2312" w:hAnsi="宋体" w:eastAsia="仿宋_GB2312"/>
          <w:b w:val="0"/>
          <w:bCs w:val="0"/>
          <w:kern w:val="0"/>
          <w:sz w:val="32"/>
          <w:szCs w:val="32"/>
          <w:lang w:val="en-US" w:eastAsia="zh-CN"/>
        </w:rPr>
        <w:t>2016</w:t>
      </w:r>
      <w:r>
        <w:rPr>
          <w:rFonts w:hint="eastAsia" w:ascii="仿宋_GB2312" w:hAnsi="宋体" w:eastAsia="仿宋_GB2312"/>
          <w:b w:val="0"/>
          <w:bCs w:val="0"/>
          <w:kern w:val="0"/>
          <w:sz w:val="32"/>
          <w:szCs w:val="32"/>
        </w:rPr>
        <w:t>年收支预算情况的总体说明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b w:val="0"/>
          <w:bCs w:val="0"/>
          <w:kern w:val="0"/>
          <w:sz w:val="32"/>
          <w:szCs w:val="32"/>
        </w:rPr>
        <w:t>二、关于</w:t>
      </w: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  <w:shd w:val="clear" w:color="auto" w:fill="FFFFFF"/>
        </w:rPr>
        <w:t>吉木萨尔县政资局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2016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年收入预算情况说明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</w:t>
      </w: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  <w:shd w:val="clear" w:color="auto" w:fill="FFFFFF"/>
        </w:rPr>
        <w:t>吉木萨尔县政资局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2016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年支出预算情况说明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</w:t>
      </w: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  <w:shd w:val="clear" w:color="auto" w:fill="FFFFFF"/>
        </w:rPr>
        <w:t>吉木萨尔县政资局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val="en-US" w:eastAsia="zh-CN"/>
        </w:rPr>
        <w:t>2016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年财政拨款收支预算情况的总体说明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</w:t>
      </w: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  <w:shd w:val="clear" w:color="auto" w:fill="FFFFFF"/>
        </w:rPr>
        <w:t>吉木萨尔县政资局</w:t>
      </w: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  <w:shd w:val="clear" w:color="auto" w:fill="FFFFFF"/>
          <w:lang w:val="en-US" w:eastAsia="zh-CN"/>
        </w:rPr>
        <w:t>2016</w:t>
      </w:r>
      <w:r>
        <w:rPr>
          <w:rFonts w:hint="eastAsia" w:ascii="仿宋_GB2312" w:hAnsi="宋体" w:eastAsia="仿宋_GB2312"/>
          <w:kern w:val="0"/>
          <w:sz w:val="32"/>
          <w:szCs w:val="32"/>
        </w:rPr>
        <w:t>年一般公共预算当年拨款情况说明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</w:t>
      </w: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  <w:shd w:val="clear" w:color="auto" w:fill="FFFFFF"/>
        </w:rPr>
        <w:t>吉木萨尔县政资局</w:t>
      </w: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  <w:shd w:val="clear" w:color="auto" w:fill="FFFFFF"/>
          <w:lang w:val="en-US" w:eastAsia="zh-CN"/>
        </w:rPr>
        <w:t>2016</w:t>
      </w:r>
      <w:r>
        <w:rPr>
          <w:rFonts w:hint="eastAsia" w:ascii="仿宋_GB2312" w:hAnsi="宋体" w:eastAsia="仿宋_GB2312"/>
          <w:kern w:val="0"/>
          <w:sz w:val="32"/>
          <w:szCs w:val="32"/>
        </w:rPr>
        <w:t>年一般公共预算基本支出情况说明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</w:t>
      </w: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  <w:shd w:val="clear" w:color="auto" w:fill="FFFFFF"/>
        </w:rPr>
        <w:t>吉木萨尔县政资局</w:t>
      </w: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  <w:shd w:val="clear" w:color="auto" w:fill="FFFFFF"/>
          <w:lang w:val="en-US" w:eastAsia="zh-CN"/>
        </w:rPr>
        <w:t>2016</w:t>
      </w:r>
      <w:r>
        <w:rPr>
          <w:rFonts w:hint="eastAsia" w:ascii="仿宋_GB2312" w:hAnsi="宋体" w:eastAsia="仿宋_GB2312"/>
          <w:kern w:val="0"/>
          <w:sz w:val="32"/>
          <w:szCs w:val="32"/>
        </w:rPr>
        <w:t>年项目支出情况说明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</w:t>
      </w: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  <w:shd w:val="clear" w:color="auto" w:fill="FFFFFF"/>
        </w:rPr>
        <w:t>吉木萨尔县政资局</w:t>
      </w: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  <w:shd w:val="clear" w:color="auto" w:fill="FFFFFF"/>
          <w:lang w:val="en-US" w:eastAsia="zh-CN"/>
        </w:rPr>
        <w:t>2016</w:t>
      </w:r>
      <w:r>
        <w:rPr>
          <w:rFonts w:hint="eastAsia" w:ascii="仿宋_GB2312" w:hAnsi="宋体" w:eastAsia="仿宋_GB2312"/>
          <w:kern w:val="0"/>
          <w:sz w:val="32"/>
          <w:szCs w:val="32"/>
        </w:rPr>
        <w:t>年一般公共预算“三公”经费预算情况说明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</w:t>
      </w: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  <w:shd w:val="clear" w:color="auto" w:fill="FFFFFF"/>
        </w:rPr>
        <w:t>吉木萨尔县政资局</w:t>
      </w: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  <w:shd w:val="clear" w:color="auto" w:fill="FFFFFF"/>
          <w:lang w:val="en-US" w:eastAsia="zh-CN"/>
        </w:rPr>
        <w:t>2016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年政府性基金预算拨款情况说明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 xml:space="preserve">第一部分  </w:t>
      </w:r>
      <w:r>
        <w:rPr>
          <w:rFonts w:hint="eastAsia" w:ascii="黑体" w:hAnsi="黑体" w:eastAsia="黑体"/>
          <w:b/>
          <w:bCs/>
          <w:kern w:val="0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b/>
          <w:bCs/>
          <w:color w:val="333333"/>
          <w:sz w:val="32"/>
          <w:szCs w:val="32"/>
          <w:shd w:val="clear" w:color="auto" w:fill="FFFFFF"/>
        </w:rPr>
        <w:t>吉木萨尔县政资局</w:t>
      </w:r>
      <w:r>
        <w:rPr>
          <w:rFonts w:hint="eastAsia" w:ascii="黑体" w:hAnsi="黑体" w:eastAsia="黑体"/>
          <w:kern w:val="0"/>
          <w:sz w:val="32"/>
          <w:szCs w:val="32"/>
        </w:rPr>
        <w:t>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　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spacing w:line="360" w:lineRule="auto"/>
        <w:ind w:firstLine="627" w:firstLineChars="196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履行对进驻部门行政许可和面向公众服务工作进行协调管理的职责</w:t>
      </w:r>
    </w:p>
    <w:p>
      <w:pPr>
        <w:widowControl/>
        <w:spacing w:line="560" w:lineRule="exact"/>
        <w:ind w:firstLine="640"/>
        <w:jc w:val="left"/>
        <w:rPr>
          <w:rFonts w:hint="eastAsia" w:ascii="仿宋_GB2312" w:hAnsi="宋体" w:eastAsia="仿宋_GB2312" w:cs="宋体"/>
          <w:bCs/>
          <w:kern w:val="0"/>
          <w:sz w:val="32"/>
          <w:szCs w:val="32"/>
        </w:rPr>
      </w:pPr>
    </w:p>
    <w:p>
      <w:pPr>
        <w:widowControl/>
        <w:spacing w:line="560" w:lineRule="exact"/>
        <w:ind w:firstLine="64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　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>
      <w:pPr>
        <w:widowControl/>
        <w:spacing w:line="560" w:lineRule="exact"/>
        <w:ind w:firstLine="643" w:firstLineChars="200"/>
        <w:jc w:val="left"/>
        <w:rPr>
          <w:rFonts w:ascii="仿宋_GB2312" w:hAnsi="黑体" w:eastAsia="仿宋_GB2312" w:cs="宋体"/>
          <w:b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/>
          <w:bCs/>
          <w:kern w:val="0"/>
          <w:sz w:val="32"/>
          <w:szCs w:val="32"/>
        </w:rPr>
        <w:t>情况一：有下属预算单位按以下内容说明：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kern w:val="0"/>
          <w:sz w:val="32"/>
          <w:szCs w:val="32"/>
        </w:rPr>
        <w:t xml:space="preserve">   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从预算单位构成看，</w:t>
      </w: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  <w:shd w:val="clear" w:color="auto" w:fill="FFFFFF"/>
        </w:rPr>
        <w:t>吉木萨尔县政资局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的部门预算包括：</w:t>
      </w: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  <w:shd w:val="clear" w:color="auto" w:fill="FFFFFF"/>
        </w:rPr>
        <w:t>吉木萨尔县政资局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本级预算及下属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家预算单位在内的汇总预算。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  <w:shd w:val="clear" w:color="auto" w:fill="FFFFFF"/>
        </w:rPr>
        <w:t>吉木萨尔县政资局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本级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 xml:space="preserve">下设  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 xml:space="preserve"> 个处室，分别是：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……。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本部门中，行政单位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家，参公管理事业单位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家,事业单位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家，纳入</w:t>
      </w: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  <w:shd w:val="clear" w:color="auto" w:fill="FFFFFF"/>
        </w:rPr>
        <w:t>吉木萨尔县政资局</w:t>
      </w: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  <w:shd w:val="clear" w:color="auto" w:fill="FFFFFF"/>
          <w:lang w:val="en-US" w:eastAsia="zh-CN"/>
        </w:rPr>
        <w:t>2016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年部门预算编制范围的二级预算单位包括：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1.（列下属单位名称）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2.……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  <w:shd w:val="clear" w:color="auto" w:fill="FFFFFF"/>
        </w:rPr>
        <w:t>吉木萨尔县政资局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编制数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，实有人数  人，其中：在职 人，增加或减少   人； 退休 人，增加或减少  人；离休     人，增加或减少   人。</w:t>
      </w:r>
    </w:p>
    <w:p>
      <w:pPr>
        <w:widowControl/>
        <w:spacing w:line="560" w:lineRule="exact"/>
        <w:jc w:val="left"/>
        <w:rPr>
          <w:rFonts w:ascii="仿宋_GB2312" w:hAnsi="黑体" w:eastAsia="仿宋_GB2312" w:cs="宋体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</w:t>
      </w:r>
      <w:r>
        <w:rPr>
          <w:rFonts w:hint="eastAsia" w:ascii="仿宋_GB2312" w:hAnsi="宋体" w:eastAsia="仿宋_GB2312" w:cs="宋体"/>
          <w:b/>
          <w:kern w:val="0"/>
          <w:sz w:val="32"/>
          <w:szCs w:val="32"/>
        </w:rPr>
        <w:t>情况二：</w:t>
      </w:r>
      <w:r>
        <w:rPr>
          <w:rFonts w:hint="eastAsia" w:ascii="仿宋_GB2312" w:hAnsi="黑体" w:eastAsia="仿宋_GB2312" w:cs="宋体"/>
          <w:b/>
          <w:bCs/>
          <w:kern w:val="0"/>
          <w:sz w:val="32"/>
          <w:szCs w:val="32"/>
        </w:rPr>
        <w:t>无下属预算单位按以下内容说明：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  <w:shd w:val="clear" w:color="auto" w:fill="FFFFFF"/>
        </w:rPr>
        <w:t>吉木萨尔县政资局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 xml:space="preserve">无下属预算单位，下设  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 xml:space="preserve"> 个处室，分别是：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……。</w:t>
      </w:r>
    </w:p>
    <w:p>
      <w:pPr>
        <w:widowControl/>
        <w:spacing w:line="56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  <w:shd w:val="clear" w:color="auto" w:fill="FFFFFF"/>
        </w:rPr>
        <w:t>吉木萨尔县政资局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编制数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，实有人数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人，其中：在职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人，增加或减少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人； 退休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人，增加或减少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人；离休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人，增加或减少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人。</w:t>
      </w:r>
    </w:p>
    <w:p>
      <w:pPr>
        <w:widowControl/>
        <w:spacing w:before="156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 xml:space="preserve">第二部分  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2016</w:t>
      </w:r>
      <w:r>
        <w:rPr>
          <w:rFonts w:hint="eastAsia" w:ascii="黑体" w:hAnsi="黑体" w:eastAsia="黑体"/>
          <w:kern w:val="0"/>
          <w:sz w:val="32"/>
          <w:szCs w:val="32"/>
        </w:rPr>
        <w:t>年部门预算公开表</w:t>
      </w:r>
    </w:p>
    <w:p>
      <w:pPr>
        <w:widowControl/>
        <w:spacing w:before="156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编制部门： </w:t>
      </w:r>
      <w:r>
        <w:rPr>
          <w:rFonts w:hint="eastAsia" w:ascii="仿宋_GB2312" w:hAnsi="宋体" w:eastAsia="仿宋_GB2312"/>
          <w:kern w:val="0"/>
          <w:sz w:val="24"/>
          <w:lang w:val="en-US" w:eastAsia="zh-CN"/>
        </w:rPr>
        <w:t>吉木萨尔县政资局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        单位： 元</w:t>
      </w:r>
    </w:p>
    <w:tbl>
      <w:tblPr>
        <w:tblStyle w:val="3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1388230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1335773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1388230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207 文化体育与传媒支出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209 社会保险基金支出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210 医疗卫生支出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52457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215 资源勘探信息等支出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220 国土资源气象等支出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222 粮油物资管理支出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223 国有资本经营预算支出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233 债务发行费支出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1388230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小           计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1388230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230 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1388230　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1388230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460" w:lineRule="exac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填报部门：    </w:t>
      </w:r>
      <w:r>
        <w:rPr>
          <w:rFonts w:hint="eastAsia" w:ascii="仿宋_GB2312" w:hAnsi="宋体" w:eastAsia="仿宋_GB2312"/>
          <w:kern w:val="0"/>
          <w:sz w:val="24"/>
          <w:lang w:val="en-US" w:eastAsia="zh-CN"/>
        </w:rPr>
        <w:t>吉木萨尔县政资局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     单位： 元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tbl>
      <w:tblPr>
        <w:tblStyle w:val="3"/>
        <w:tblW w:w="965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"/>
        <w:gridCol w:w="417"/>
        <w:gridCol w:w="417"/>
        <w:gridCol w:w="2145"/>
        <w:gridCol w:w="820"/>
        <w:gridCol w:w="680"/>
        <w:gridCol w:w="680"/>
        <w:gridCol w:w="680"/>
        <w:gridCol w:w="680"/>
        <w:gridCol w:w="680"/>
        <w:gridCol w:w="680"/>
        <w:gridCol w:w="680"/>
        <w:gridCol w:w="6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21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黑体" w:eastAsia="黑体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2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  <w:lang w:val="en-US" w:eastAsia="zh-CN"/>
              </w:rPr>
              <w:t>201</w:t>
            </w: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  <w:lang w:val="en-US" w:eastAsia="zh-CN"/>
              </w:rPr>
              <w:t>03</w:t>
            </w: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  <w:lang w:val="en-US" w:eastAsia="zh-CN"/>
              </w:rPr>
              <w:t>06</w:t>
            </w: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一般公共服务支出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  <w:lang w:val="en-US" w:eastAsia="zh-CN"/>
              </w:rPr>
              <w:t>1335773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  <w:lang w:val="en-US" w:eastAsia="zh-CN"/>
              </w:rPr>
              <w:t>1335773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  <w:t>210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医疗卫生支出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52457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52457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  <w:lang w:val="en-US" w:eastAsia="zh-CN"/>
              </w:rPr>
              <w:t>1388230</w:t>
            </w: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  <w:lang w:val="en-US" w:eastAsia="zh-CN"/>
              </w:rPr>
              <w:t>1388230</w:t>
            </w: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outlineLvl w:val="1"/>
        <w:rPr>
          <w:rFonts w:hint="eastAsia" w:ascii="仿宋_GB2312" w:hAnsi="宋体" w:eastAsia="仿宋_GB2312"/>
          <w:kern w:val="0"/>
          <w:sz w:val="28"/>
          <w:szCs w:val="28"/>
        </w:rPr>
      </w:pPr>
    </w:p>
    <w:p>
      <w:pPr>
        <w:widowControl/>
        <w:outlineLvl w:val="1"/>
        <w:rPr>
          <w:rFonts w:hint="eastAsia" w:ascii="仿宋_GB2312" w:hAnsi="宋体" w:eastAsia="仿宋_GB2312"/>
          <w:kern w:val="0"/>
          <w:sz w:val="28"/>
          <w:szCs w:val="28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28"/>
          <w:szCs w:val="28"/>
        </w:rPr>
      </w:pPr>
      <w:r>
        <w:rPr>
          <w:rFonts w:hint="eastAsia" w:ascii="仿宋_GB2312" w:hAnsi="宋体" w:eastAsia="仿宋_GB2312"/>
          <w:b/>
          <w:kern w:val="0"/>
          <w:sz w:val="28"/>
          <w:szCs w:val="28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</w:t>
      </w:r>
      <w:r>
        <w:rPr>
          <w:rFonts w:hint="eastAsia" w:ascii="仿宋_GB2312" w:hAnsi="宋体" w:eastAsia="仿宋_GB2312"/>
          <w:kern w:val="0"/>
          <w:sz w:val="24"/>
          <w:lang w:val="en-US" w:eastAsia="zh-CN"/>
        </w:rPr>
        <w:t>吉木萨尔县政资局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         单位： 元</w:t>
      </w:r>
    </w:p>
    <w:tbl>
      <w:tblPr>
        <w:tblStyle w:val="3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1"/>
        <w:gridCol w:w="400"/>
        <w:gridCol w:w="400"/>
        <w:gridCol w:w="2604"/>
        <w:gridCol w:w="1855"/>
        <w:gridCol w:w="1856"/>
        <w:gridCol w:w="171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4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6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6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  <w:lang w:val="en-US" w:eastAsia="zh-CN"/>
              </w:rPr>
              <w:t>201</w:t>
            </w: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  <w:lang w:val="en-US" w:eastAsia="zh-CN"/>
              </w:rPr>
              <w:t>03</w:t>
            </w: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  <w:lang w:val="en-US" w:eastAsia="zh-CN"/>
              </w:rPr>
              <w:t>06</w:t>
            </w: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一般公共服务支出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  <w:lang w:val="en-US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  <w:lang w:val="en-US" w:eastAsia="zh-CN"/>
              </w:rPr>
              <w:t>1335773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  <w:lang w:val="en-US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  <w:lang w:val="en-US" w:eastAsia="zh-CN"/>
              </w:rPr>
              <w:t>1335773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  <w:t>210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医疗卫生支出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52457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52457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  <w:lang w:val="en-US" w:eastAsia="zh-CN"/>
              </w:rPr>
              <w:t>1388230</w:t>
            </w: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  <w:lang w:val="en-US" w:eastAsia="zh-CN"/>
              </w:rPr>
              <w:t>1388230</w:t>
            </w: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widowControl/>
        <w:spacing w:before="156" w:beforeLines="50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="156"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="156" w:beforeLines="50"/>
        <w:outlineLvl w:val="1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 xml:space="preserve">编制部门：  </w:t>
      </w: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吉木萨尔县政资局</w:t>
      </w:r>
      <w:r>
        <w:rPr>
          <w:rFonts w:hint="eastAsia" w:ascii="仿宋_GB2312" w:hAnsi="宋体" w:eastAsia="仿宋_GB2312"/>
          <w:kern w:val="0"/>
          <w:sz w:val="28"/>
          <w:szCs w:val="28"/>
        </w:rPr>
        <w:t xml:space="preserve">                        单位： 元</w:t>
      </w:r>
    </w:p>
    <w:tbl>
      <w:tblPr>
        <w:tblStyle w:val="3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250"/>
        <w:gridCol w:w="1294"/>
        <w:gridCol w:w="1418"/>
        <w:gridCol w:w="14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Cs w:val="21"/>
              </w:rPr>
              <w:t>财政拨款收入</w:t>
            </w:r>
          </w:p>
        </w:tc>
        <w:tc>
          <w:tcPr>
            <w:tcW w:w="63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Cs w:val="21"/>
              </w:rPr>
              <w:t>财政拨款支出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Cs w:val="21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Cs w:val="21"/>
              </w:rPr>
              <w:t>合计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Cs w:val="21"/>
              </w:rPr>
              <w:t>功  能  分  类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Cs w:val="21"/>
              </w:rPr>
              <w:t>合计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Cs w:val="21"/>
              </w:rPr>
              <w:t>一般公共预算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Cs w:val="21"/>
              </w:rPr>
              <w:t>政府性基金预算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="黑体" w:hAnsi="宋体" w:eastAsia="黑体" w:cs="宋体"/>
                <w:kern w:val="0"/>
                <w:szCs w:val="21"/>
              </w:rPr>
              <w:t>1388230　</w:t>
            </w:r>
          </w:p>
          <w:p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1335773</w:t>
            </w:r>
          </w:p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201 一般公共服务支出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1335773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1335773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  <w:lang w:val="en-US" w:eastAsia="zh-CN"/>
              </w:rPr>
              <w:t>1388230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202 外交支出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203 国防支出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204 公共安全支出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205 教育支出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206 科学技术支出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207 文化体育与传媒支出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208 社会保障和就业支出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209 社会保险基金支出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210 医疗卫生支出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52457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52457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211 节能环保支出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212 城乡社区支出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213 农林水支出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214 交通运输支出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215 资源勘探信息等支出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216 商业服务业等支出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217 金融支出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219 援助其他地区支出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220 国土资源气象等支出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221 住房保障支出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222 粮油物资管理支出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23 国有资本经营预算支出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227 预备费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229 其他支出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31 债务还本支出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32 债务付息支出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233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 xml:space="preserve"> 债务发行费支出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小     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1388230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小         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  <w:lang w:val="en-US" w:eastAsia="zh-CN"/>
              </w:rPr>
              <w:t>1388230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  <w:lang w:val="en-US" w:eastAsia="zh-CN"/>
              </w:rPr>
              <w:t>1388230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230 转移性支出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1388230　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支  出  总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  <w:lang w:val="en-US" w:eastAsia="zh-CN"/>
              </w:rPr>
              <w:t>1388230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  <w:lang w:val="en-US" w:eastAsia="zh-CN"/>
              </w:rPr>
              <w:t>1388230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3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"/>
        <w:gridCol w:w="75"/>
        <w:gridCol w:w="417"/>
        <w:gridCol w:w="160"/>
        <w:gridCol w:w="257"/>
        <w:gridCol w:w="2510"/>
        <w:gridCol w:w="124"/>
        <w:gridCol w:w="536"/>
        <w:gridCol w:w="459"/>
        <w:gridCol w:w="565"/>
        <w:gridCol w:w="141"/>
        <w:gridCol w:w="75"/>
        <w:gridCol w:w="901"/>
        <w:gridCol w:w="725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87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吉木萨尔县政资局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 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8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3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5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gridSpan w:val="4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4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5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4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4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  <w:lang w:val="en-US" w:eastAsia="zh-CN"/>
              </w:rPr>
              <w:t>201</w:t>
            </w: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  <w:lang w:val="en-US" w:eastAsia="zh-CN"/>
              </w:rPr>
              <w:t>03</w:t>
            </w: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  <w:lang w:val="en-US" w:eastAsia="zh-CN"/>
              </w:rPr>
              <w:t>06</w:t>
            </w: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一般公共服务支出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  <w:lang w:val="en-US" w:eastAsia="zh-CN"/>
              </w:rPr>
              <w:t>1388230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  <w:lang w:val="en-US" w:eastAsia="zh-CN"/>
              </w:rPr>
              <w:t>1388230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  <w:lang w:val="en-US" w:eastAsia="zh-CN"/>
              </w:rPr>
              <w:t>1388230</w:t>
            </w: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  <w:lang w:val="en-US" w:eastAsia="zh-CN"/>
              </w:rPr>
              <w:t>1388230</w:t>
            </w: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87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</w:tblPrEx>
        <w:trPr>
          <w:trHeight w:val="375" w:hRule="atLeast"/>
        </w:trPr>
        <w:tc>
          <w:tcPr>
            <w:tcW w:w="9087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表六：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吉木萨尔县政资局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 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9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510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2891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gridSpan w:val="4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891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职务工资(岗位工资)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60723</w:t>
            </w:r>
          </w:p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60723</w:t>
            </w:r>
          </w:p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02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级别工资(薪级工资)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75624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75624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0201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高定工资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9720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9720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02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保留地区补贴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21540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21540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04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艰苦边远地区津贴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24900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24900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02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3010299-其他津贴补贴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123180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123180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3010301-年终一次性奖金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12172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12172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3010305-考核优秀奖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600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03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3010306-绩效考核奖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25000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25000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08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30108-机关事业单位基本养老保险缴费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65571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65571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3011001-基本医疗保险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29507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29507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30111-公务员医疗补助缴费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22950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22950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3011202-工伤保险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656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656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3011203-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SY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保险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1639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1639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09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30109-职业年金缴费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26228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26228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30113-住房公积金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39895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39895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302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08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30208-取暖费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4600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4600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303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99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3039901-独生子女费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60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303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99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3039903-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人员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补助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63000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63000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302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29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30229-福利费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3465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3465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302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30228-工会经费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3850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3850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302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31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30231-公务用车运行维护费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20000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302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30201-办公费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302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99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30299-其他商品和服务支出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450000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450000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职工教育经费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2888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2888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303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3030107-冬季取暖补贴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290465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290465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1388230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607565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780665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3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right="48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3"/>
        <w:tblW w:w="9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"/>
        <w:gridCol w:w="300"/>
        <w:gridCol w:w="397"/>
        <w:gridCol w:w="397"/>
        <w:gridCol w:w="851"/>
        <w:gridCol w:w="1456"/>
        <w:gridCol w:w="725"/>
        <w:gridCol w:w="189"/>
        <w:gridCol w:w="448"/>
        <w:gridCol w:w="536"/>
        <w:gridCol w:w="11"/>
        <w:gridCol w:w="641"/>
        <w:gridCol w:w="652"/>
        <w:gridCol w:w="389"/>
        <w:gridCol w:w="189"/>
        <w:gridCol w:w="419"/>
        <w:gridCol w:w="578"/>
        <w:gridCol w:w="420"/>
        <w:gridCol w:w="420"/>
        <w:gridCol w:w="40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7" w:type="dxa"/>
          <w:trHeight w:val="375" w:hRule="atLeast"/>
        </w:trPr>
        <w:tc>
          <w:tcPr>
            <w:tcW w:w="9423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7" w:type="dxa"/>
          <w:trHeight w:val="405" w:hRule="atLeast"/>
        </w:trPr>
        <w:tc>
          <w:tcPr>
            <w:tcW w:w="431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吉木萨尔县政资局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43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Calibri" w:eastAsia="黑体"/>
                <w:b/>
                <w:sz w:val="24"/>
              </w:rPr>
            </w:pPr>
            <w:r>
              <w:rPr>
                <w:rFonts w:hint="eastAsia" w:ascii="黑体" w:hAnsi="宋体" w:eastAsia="黑体"/>
                <w:b/>
                <w:kern w:val="0"/>
                <w:sz w:val="24"/>
              </w:rPr>
              <w:t>项目名称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637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405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725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405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3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0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2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63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编制单位： </w:t>
      </w:r>
      <w:r>
        <w:rPr>
          <w:rFonts w:hint="eastAsia" w:ascii="仿宋_GB2312" w:hAnsi="宋体" w:eastAsia="仿宋_GB2312"/>
          <w:kern w:val="0"/>
          <w:sz w:val="24"/>
          <w:lang w:val="en-US" w:eastAsia="zh-CN"/>
        </w:rPr>
        <w:t>吉木萨尔县政资局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        单位： 元</w:t>
      </w:r>
    </w:p>
    <w:tbl>
      <w:tblPr>
        <w:tblStyle w:val="3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</w:t>
      </w:r>
      <w:r>
        <w:rPr>
          <w:rFonts w:hint="eastAsia" w:ascii="仿宋_GB2312" w:hAnsi="宋体" w:eastAsia="仿宋_GB2312"/>
          <w:kern w:val="0"/>
          <w:sz w:val="24"/>
          <w:lang w:val="en-US" w:eastAsia="zh-CN"/>
        </w:rPr>
        <w:t>单位：吉木萨尔县政资局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          单位： 元</w:t>
      </w:r>
    </w:p>
    <w:tbl>
      <w:tblPr>
        <w:tblStyle w:val="3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备注：无内容应公开空表并说明情况。</w:t>
      </w:r>
    </w:p>
    <w:p>
      <w:pPr>
        <w:rPr>
          <w:rFonts w:hint="eastAsia" w:ascii="仿宋_GB2312" w:hAnsi="宋体" w:eastAsia="仿宋_GB2312"/>
          <w:kern w:val="0"/>
          <w:sz w:val="32"/>
          <w:szCs w:val="32"/>
        </w:rPr>
      </w:pPr>
    </w:p>
    <w:p>
      <w:pPr>
        <w:rPr>
          <w:rFonts w:hint="eastAsia" w:ascii="仿宋_GB2312" w:hAnsi="宋体" w:eastAsia="仿宋_GB2312"/>
          <w:kern w:val="0"/>
          <w:sz w:val="32"/>
          <w:szCs w:val="32"/>
        </w:rPr>
      </w:pPr>
    </w:p>
    <w:p>
      <w:pPr>
        <w:rPr>
          <w:rFonts w:hint="eastAsia" w:ascii="仿宋_GB2312" w:hAnsi="宋体" w:eastAsia="仿宋_GB2312"/>
          <w:kern w:val="0"/>
          <w:sz w:val="32"/>
          <w:szCs w:val="32"/>
        </w:rPr>
      </w:pPr>
    </w:p>
    <w:p>
      <w:pPr>
        <w:widowControl/>
        <w:spacing w:before="156" w:beforeLines="50"/>
        <w:jc w:val="center"/>
        <w:outlineLvl w:val="1"/>
        <w:rPr>
          <w:rFonts w:ascii="黑体" w:hAnsi="黑体" w:eastAsia="黑体"/>
          <w:b/>
          <w:kern w:val="0"/>
          <w:sz w:val="32"/>
          <w:szCs w:val="32"/>
        </w:rPr>
      </w:pPr>
      <w:r>
        <w:rPr>
          <w:rFonts w:hint="eastAsia" w:ascii="黑体" w:hAnsi="黑体" w:eastAsia="黑体"/>
          <w:b/>
          <w:kern w:val="0"/>
          <w:sz w:val="32"/>
          <w:szCs w:val="32"/>
        </w:rPr>
        <w:t xml:space="preserve">第三部分 </w:t>
      </w:r>
      <w:r>
        <w:rPr>
          <w:rFonts w:hint="eastAsia" w:ascii="黑体" w:hAnsi="黑体" w:eastAsia="黑体"/>
          <w:b/>
          <w:kern w:val="0"/>
          <w:sz w:val="32"/>
          <w:szCs w:val="32"/>
          <w:lang w:val="en-US" w:eastAsia="zh-CN"/>
        </w:rPr>
        <w:t>2016</w:t>
      </w:r>
      <w:r>
        <w:rPr>
          <w:rFonts w:hint="eastAsia" w:ascii="黑体" w:hAnsi="黑体" w:eastAsia="黑体"/>
          <w:b/>
          <w:kern w:val="0"/>
          <w:sz w:val="32"/>
          <w:szCs w:val="32"/>
        </w:rPr>
        <w:t>年部门预算情况说明</w:t>
      </w:r>
    </w:p>
    <w:p>
      <w:pPr>
        <w:widowControl/>
        <w:spacing w:line="600" w:lineRule="exact"/>
        <w:outlineLvl w:val="1"/>
        <w:rPr>
          <w:rFonts w:ascii="仿宋_GB2312" w:hAnsi="宋体" w:eastAsia="仿宋_GB2312"/>
          <w:b/>
          <w:kern w:val="0"/>
          <w:sz w:val="36"/>
          <w:szCs w:val="36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 xml:space="preserve"> </w:t>
      </w:r>
    </w:p>
    <w:p>
      <w:pPr>
        <w:widowControl/>
        <w:spacing w:line="600" w:lineRule="exact"/>
        <w:jc w:val="left"/>
        <w:outlineLvl w:val="1"/>
        <w:rPr>
          <w:rFonts w:ascii="仿宋_GB2312" w:hAnsi="宋体" w:eastAsia="仿宋_GB2312"/>
          <w:kern w:val="0"/>
          <w:sz w:val="36"/>
          <w:szCs w:val="36"/>
        </w:rPr>
      </w:pP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关于</w:t>
      </w:r>
      <w:r>
        <w:rPr>
          <w:rFonts w:hint="eastAsia" w:ascii="黑体" w:hAnsi="黑体" w:eastAsia="黑体" w:cs="黑体"/>
          <w:b/>
          <w:bCs/>
          <w:color w:val="333333"/>
          <w:sz w:val="32"/>
          <w:szCs w:val="32"/>
          <w:shd w:val="clear" w:color="auto" w:fill="FFFFFF"/>
        </w:rPr>
        <w:t>吉木萨尔县政资局</w:t>
      </w:r>
      <w:r>
        <w:rPr>
          <w:rFonts w:hint="eastAsia" w:ascii="黑体" w:hAnsi="黑体" w:eastAsia="黑体" w:cs="黑体"/>
          <w:b/>
          <w:bCs/>
          <w:color w:val="333333"/>
          <w:sz w:val="32"/>
          <w:szCs w:val="32"/>
          <w:shd w:val="clear" w:color="auto" w:fill="FFFFFF"/>
          <w:lang w:val="en-US" w:eastAsia="zh-CN"/>
        </w:rPr>
        <w:t>2016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年收支预算情况的总体说明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吉木萨尔县政资局2016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年所有收入和支出均纳入部门预算管理。收支总预算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1388230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支出预算包括：一般公共服务支出、医疗卫生支出。</w:t>
      </w:r>
    </w:p>
    <w:p>
      <w:pPr>
        <w:widowControl/>
        <w:spacing w:line="580" w:lineRule="exact"/>
        <w:ind w:firstLine="643" w:firstLineChars="20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二、关于</w:t>
      </w:r>
      <w:r>
        <w:rPr>
          <w:rFonts w:hint="eastAsia" w:ascii="黑体" w:hAnsi="宋体" w:eastAsia="黑体" w:cs="宋体"/>
          <w:b/>
          <w:kern w:val="0"/>
          <w:sz w:val="32"/>
          <w:szCs w:val="32"/>
          <w:lang w:val="en-US" w:eastAsia="zh-CN"/>
        </w:rPr>
        <w:t>吉木萨尔县政资局2016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年收入预算情况说明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政资局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部门收入预算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1388230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元，其中：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一般公共预算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1338230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元，占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%，比上年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预算数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116883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经费增加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；</w:t>
      </w:r>
    </w:p>
    <w:p>
      <w:pPr>
        <w:widowControl/>
        <w:spacing w:line="580" w:lineRule="exact"/>
        <w:jc w:val="left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医疗卫生支出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52457元，占4%，比上年预算数增加5034元，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　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主要原因是调资，基数增大。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政府性基金预算未安排。或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 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%，比上年增加（减少）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预算未安排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；</w:t>
      </w:r>
    </w:p>
    <w:p>
      <w:pPr>
        <w:widowControl/>
        <w:spacing w:line="580" w:lineRule="exact"/>
        <w:ind w:left="160" w:leftChars="76" w:firstLine="480" w:firstLineChars="15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财政专户管理资金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 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%，比上年增加（减少）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预算未安排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；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事业收入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 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%，比上年增加（减少）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预算未安排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；</w:t>
      </w:r>
    </w:p>
    <w:p>
      <w:pPr>
        <w:widowControl/>
        <w:spacing w:line="580" w:lineRule="exact"/>
        <w:ind w:left="160" w:leftChars="76" w:firstLine="480" w:firstLineChars="15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事业单位经营收入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 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%，比上年增加（减少）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预算未安排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；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其他收入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 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%，比上年增加（减少）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预算未安排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；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用事业基金弥补收支差额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 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%，比上年增加（减少）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预算未安排。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单位上年结余（不包括国库集中支付额度结余）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 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%，比上年增加（减少）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预算未安排。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</w:p>
    <w:p>
      <w:pPr>
        <w:widowControl/>
        <w:spacing w:line="580" w:lineRule="exact"/>
        <w:ind w:firstLine="643" w:firstLineChars="20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三、关于</w:t>
      </w:r>
      <w:r>
        <w:rPr>
          <w:rFonts w:hint="eastAsia" w:ascii="黑体" w:hAnsi="宋体" w:eastAsia="黑体" w:cs="宋体"/>
          <w:b/>
          <w:kern w:val="0"/>
          <w:sz w:val="32"/>
          <w:szCs w:val="32"/>
          <w:lang w:val="en-US" w:eastAsia="zh-CN"/>
        </w:rPr>
        <w:t>吉木萨尔县政资局2016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年支出预算情况说明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吉木萨尔县政资局2016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年支出预算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1388230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元，其中：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2010306类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基本支出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1388230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元，占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%，比上年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预算数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116883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安保设备经费增加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项目支出0元，与上年持平，主要原因是无项目支出预算。</w:t>
      </w:r>
    </w:p>
    <w:p>
      <w:pPr>
        <w:widowControl/>
        <w:spacing w:line="580" w:lineRule="exact"/>
        <w:ind w:firstLine="642"/>
        <w:jc w:val="left"/>
        <w:rPr>
          <w:rFonts w:ascii="仿宋_GB2312" w:hAnsi="宋体" w:eastAsia="仿宋_GB2312" w:cs="宋体"/>
          <w:b/>
          <w:color w:val="FF0000"/>
          <w:kern w:val="0"/>
          <w:sz w:val="32"/>
          <w:szCs w:val="32"/>
        </w:rPr>
      </w:pPr>
    </w:p>
    <w:p>
      <w:pPr>
        <w:widowControl/>
        <w:spacing w:line="580" w:lineRule="exact"/>
        <w:ind w:firstLine="640"/>
        <w:jc w:val="left"/>
        <w:rPr>
          <w:rFonts w:ascii="黑体" w:hAnsi="黑体" w:eastAsia="黑体" w:cs="宋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kern w:val="0"/>
          <w:sz w:val="32"/>
          <w:szCs w:val="32"/>
        </w:rPr>
        <w:t>四、关于</w:t>
      </w:r>
      <w:r>
        <w:rPr>
          <w:rFonts w:hint="eastAsia" w:ascii="黑体" w:hAnsi="黑体" w:eastAsia="黑体" w:cs="宋体"/>
          <w:b/>
          <w:bCs/>
          <w:kern w:val="0"/>
          <w:sz w:val="32"/>
          <w:szCs w:val="32"/>
          <w:lang w:val="en-US" w:eastAsia="zh-CN"/>
        </w:rPr>
        <w:t>吉木萨尔县政资局2016</w:t>
      </w:r>
      <w:r>
        <w:rPr>
          <w:rFonts w:hint="eastAsia" w:ascii="黑体" w:hAnsi="黑体" w:eastAsia="黑体" w:cs="宋体"/>
          <w:b/>
          <w:bCs/>
          <w:kern w:val="0"/>
          <w:sz w:val="32"/>
          <w:szCs w:val="32"/>
        </w:rPr>
        <w:t>年财政拨款收支预算情况的总体说明</w:t>
      </w:r>
    </w:p>
    <w:p>
      <w:pPr>
        <w:spacing w:line="580" w:lineRule="exac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2016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年财政拨款收支总预算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1388230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元。收入全部为一般公共预算拨款，无政府性基金预算拨款。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支出预算包括：一般公共服务支出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1388230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元，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主要用于201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类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 xml:space="preserve">一般公共服务支出 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 xml:space="preserve">1335773元，210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（类）医疗卫生支出52457元。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2010306类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一般公共预算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1338230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元，占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%，比上年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预算数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116883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安保设备经费增加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；</w:t>
      </w:r>
    </w:p>
    <w:p>
      <w:pPr>
        <w:widowControl/>
        <w:spacing w:line="580" w:lineRule="exact"/>
        <w:jc w:val="left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210类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医疗卫生支出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52457元，占4%，比上年预算数增加5034元，调资社保基数增加。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五、关于</w:t>
      </w:r>
      <w:r>
        <w:rPr>
          <w:rFonts w:hint="eastAsia" w:ascii="黑体" w:hAnsi="黑体" w:eastAsia="黑体" w:cs="宋体"/>
          <w:b/>
          <w:bCs/>
          <w:kern w:val="0"/>
          <w:sz w:val="32"/>
          <w:szCs w:val="32"/>
          <w:lang w:val="en-US" w:eastAsia="zh-CN"/>
        </w:rPr>
        <w:t>吉木萨尔县政资局2016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年一般公共预算当年拨款情况说明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吉木萨尔县政资局2016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年一般公共预算拨款基本支出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1388230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元，比上年执行数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减少896843.03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减少39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%。主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要原因是：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厉行节约，控制公用经费增加。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</w:t>
      </w:r>
      <w:r>
        <w:rPr>
          <w:rFonts w:hint="eastAsia" w:ascii="楷体_GB2312" w:eastAsia="楷体_GB2312"/>
          <w:b/>
          <w:sz w:val="32"/>
          <w:szCs w:val="32"/>
        </w:rPr>
        <w:t xml:space="preserve"> </w:t>
      </w:r>
      <w:r>
        <w:rPr>
          <w:rFonts w:hint="eastAsia" w:ascii="楷体_GB2312" w:eastAsia="楷体_GB2312"/>
          <w:b/>
          <w:sz w:val="32"/>
          <w:szCs w:val="32"/>
          <w:lang w:val="en-US" w:eastAsia="zh-CN"/>
        </w:rPr>
        <w:t>一般公共服务支出</w:t>
      </w:r>
      <w:r>
        <w:rPr>
          <w:rFonts w:hint="eastAsia" w:ascii="楷体_GB2312" w:eastAsia="楷体_GB2312"/>
          <w:b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1335773</w:t>
      </w:r>
      <w:r>
        <w:rPr>
          <w:rFonts w:hint="eastAsia" w:ascii="仿宋_GB2312" w:eastAsia="仿宋_GB2312"/>
          <w:sz w:val="32"/>
          <w:szCs w:val="32"/>
        </w:rPr>
        <w:t xml:space="preserve">  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，占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96.22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%。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2.210医疗卫生支出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52457元，占3.78%。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</w:t>
      </w:r>
      <w:r>
        <w:rPr>
          <w:rFonts w:ascii="仿宋_GB2312" w:hAnsi="宋体" w:eastAsia="仿宋_GB2312" w:cs="宋体"/>
          <w:b/>
          <w:kern w:val="0"/>
          <w:sz w:val="32"/>
          <w:szCs w:val="32"/>
        </w:rPr>
        <w:t>一般公共服务（类）财政事务（款）行政运行（项）:</w:t>
      </w:r>
      <w:r>
        <w:rPr>
          <w:rFonts w:hint="eastAsia" w:ascii="仿宋_GB2312" w:hAnsi="宋体" w:eastAsia="仿宋_GB2312" w:cs="宋体"/>
          <w:b w:val="0"/>
          <w:bCs/>
          <w:kern w:val="0"/>
          <w:sz w:val="32"/>
          <w:szCs w:val="32"/>
          <w:lang w:val="en-US" w:eastAsia="zh-CN"/>
        </w:rPr>
        <w:t>2016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1388230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比上年执行数减少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896843.03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元，（下降）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39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 %，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主要原因：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厉行节约，控制公用经费增加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</w:t>
      </w:r>
    </w:p>
    <w:p>
      <w:pPr>
        <w:widowControl/>
        <w:spacing w:line="580" w:lineRule="exact"/>
        <w:jc w:val="left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医疗卫生支出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52457元，占4%，比上年预算数增加5034元，主要原因是调资社保基数增加。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  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六、关于</w:t>
      </w:r>
      <w:r>
        <w:rPr>
          <w:rFonts w:hint="eastAsia" w:ascii="黑体" w:hAnsi="宋体" w:eastAsia="黑体" w:cs="宋体"/>
          <w:b/>
          <w:kern w:val="0"/>
          <w:sz w:val="32"/>
          <w:szCs w:val="32"/>
          <w:lang w:val="en-US" w:eastAsia="zh-CN"/>
        </w:rPr>
        <w:t>吉木萨尔县政资局2016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年一般公共预算基本支出情况说明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吉木萨尔县政资局2016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年一般公共预算基本支出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1388230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元， 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人员经费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607562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元，主要包括：基本工资、津贴补贴、奖金、绩效工资、机关事业单位基本养老保险缴费、职业年金缴费、职工基本医疗保险缴费、公务员医疗补助缴费、其他社会保障缴费、住房公积金、医疗费、其他工资福利支出、生活补助、救济费、医疗费补助、助学金、奖励金、其他对个人和家庭的补助等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公用经费  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500007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元，主要包括：办公费、手续费、水费、电费、取暖费、物业管理费、差旅费、因公出国（境）费、维修（护）费、租赁费、会议费、培训费、公务接待费、专用材料费、专用燃料费、劳务费、委托业务费、工会经费、福利费、公务用车运行维护费、其他交通费用、其他商品和服务支出、办公设备购置、专用设备购置等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七、</w:t>
      </w:r>
      <w:r>
        <w:rPr>
          <w:rFonts w:hint="eastAsia" w:ascii="黑体" w:hAnsi="宋体" w:eastAsia="黑体" w:cs="宋体"/>
          <w:b/>
          <w:kern w:val="0"/>
          <w:sz w:val="32"/>
          <w:szCs w:val="32"/>
          <w:lang w:val="en-US" w:eastAsia="zh-CN"/>
        </w:rPr>
        <w:t>关于吉木萨尔县政资局2016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年项目支出情况说明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吉木萨尔县政资局2016</w:t>
      </w:r>
      <w:r>
        <w:rPr>
          <w:rFonts w:hint="eastAsia" w:ascii="仿宋_GB2312" w:hAnsi="黑体" w:eastAsia="仿宋_GB2312"/>
          <w:sz w:val="32"/>
          <w:szCs w:val="32"/>
        </w:rPr>
        <w:t>年无项目支出预算，项目支出情况表为空表。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八、</w:t>
      </w:r>
      <w:r>
        <w:rPr>
          <w:rFonts w:hint="eastAsia" w:ascii="黑体" w:hAnsi="宋体" w:eastAsia="黑体" w:cs="宋体"/>
          <w:b/>
          <w:kern w:val="0"/>
          <w:sz w:val="32"/>
          <w:szCs w:val="32"/>
          <w:lang w:val="en-US" w:eastAsia="zh-CN"/>
        </w:rPr>
        <w:t>关于吉木萨尔县政资局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年一般公共预算“三公”经费预算情况说明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吉木萨尔县政资局2016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年“三公”经费财政拨款预算数为 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20000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元，其中：因公出国（境）费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元，公务用车购置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元，公务用车运行费 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20000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元，公务接待费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元。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2016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年“三公”经费财政拨款预算比上年减少 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元，其中：因公出国（境）费增加（减少）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元，主要原因是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预算未安排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；公务用车购置费为0，未安排预算。公务用车购置费增加（减少）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元，主要原因是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预算未安排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；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公务用车运行费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增加（减少）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元，主要原因是</w:t>
      </w:r>
      <w:r>
        <w:rPr>
          <w:rFonts w:hint="eastAsia" w:ascii="仿宋_GB2312" w:eastAsia="仿宋_GB2312"/>
          <w:b w:val="0"/>
          <w:bCs/>
          <w:color w:val="auto"/>
          <w:sz w:val="32"/>
          <w:szCs w:val="32"/>
          <w:lang w:eastAsia="zh-CN"/>
        </w:rPr>
        <w:t>严格执行中央八项规定，“三公”经费只降不增</w:t>
      </w:r>
      <w:r>
        <w:rPr>
          <w:rFonts w:hint="eastAsia" w:ascii="仿宋_GB2312" w:hAnsi="宋体" w:eastAsia="仿宋_GB2312" w:cs="宋体"/>
          <w:b w:val="0"/>
          <w:bCs/>
          <w:color w:val="auto"/>
          <w:kern w:val="0"/>
          <w:sz w:val="32"/>
          <w:szCs w:val="32"/>
        </w:rPr>
        <w:t>；公务接待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费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增加（减少）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元，主要原因是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预算未安排。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</w:t>
      </w:r>
    </w:p>
    <w:p>
      <w:pPr>
        <w:widowControl/>
        <w:spacing w:line="580" w:lineRule="exact"/>
        <w:ind w:firstLine="643" w:firstLineChars="20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九、关于</w:t>
      </w:r>
      <w:r>
        <w:rPr>
          <w:rFonts w:hint="eastAsia" w:ascii="黑体" w:hAnsi="宋体" w:eastAsia="黑体" w:cs="宋体"/>
          <w:b/>
          <w:kern w:val="0"/>
          <w:sz w:val="32"/>
          <w:szCs w:val="32"/>
          <w:lang w:val="en-US" w:eastAsia="zh-CN"/>
        </w:rPr>
        <w:t>吉木萨尔县政资局2016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年政府性基金预算拨款情况说明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吉木萨尔县政资局2016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年没有使用政府性基金预算拨款安排的支出，政府性基金预算支出情况表为空表。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十、其他重要事项的情况说明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2016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吉木萨尔县政资局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本级及下属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家行政单位、  家参公管理事业单位和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家事业单位的机关运行经费财政拨款预算    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780668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元，比上年预算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数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增加 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4292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元，增长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0.55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%。主要原因是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安保设施经费增加。</w:t>
      </w:r>
    </w:p>
    <w:p>
      <w:pPr>
        <w:widowControl/>
        <w:spacing w:line="580" w:lineRule="exact"/>
        <w:ind w:firstLine="643" w:firstLineChars="200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2016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吉木萨尔县政资局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及下属单位政府采购预算0 元，其中：政府采购货物预算0 元，政府采购工程预算0 元，政府采购服务预算0 元。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>2016</w:t>
      </w:r>
      <w:r>
        <w:rPr>
          <w:rFonts w:hint="eastAsia" w:ascii="仿宋_GB2312" w:hAnsi="仿宋_GB2312" w:eastAsia="仿宋_GB2312"/>
          <w:sz w:val="32"/>
        </w:rPr>
        <w:t>年度本部门面向中小企业预留政府采购项目预算金额0 元。</w:t>
      </w:r>
    </w:p>
    <w:p>
      <w:pPr>
        <w:widowControl/>
        <w:spacing w:line="580" w:lineRule="exact"/>
        <w:ind w:firstLine="643" w:firstLineChars="200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年底，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吉木萨尔县政资局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及下属各预算单位占用使用国有资产总体情况为：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1.房屋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平方米，价值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2.车辆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辆，价值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19770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元；其中：一般公务用车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辆，价值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19770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元；执法执勤用车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辆，价值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万元；其他车辆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辆，价值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3.办公家具价值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4.其他资产价值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445120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单位价值50万元以上大型设备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台（套），单位价值100万元以上大型设备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台（套）。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2016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年部门预算未安排购置车辆经费（或安排购置车辆经费  万元），安排购置50万元以上大型设备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台（套），单位价值100万元以上大型设备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台（套）。</w:t>
      </w:r>
    </w:p>
    <w:p>
      <w:pPr>
        <w:widowControl/>
        <w:spacing w:line="580" w:lineRule="exact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2016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年度，本年度实行绩效管理的项目0个，涉及预算金额0 元。具体情况见下表（按项目分别填报）：</w:t>
      </w:r>
    </w:p>
    <w:p>
      <w:pPr>
        <w:spacing w:line="500" w:lineRule="exact"/>
        <w:jc w:val="center"/>
        <w:rPr>
          <w:rFonts w:ascii="宋体" w:hAnsi="宋体" w:cs="宋体"/>
          <w:b/>
          <w:kern w:val="0"/>
          <w:sz w:val="36"/>
          <w:szCs w:val="36"/>
        </w:rPr>
      </w:pPr>
      <w:r>
        <w:rPr>
          <w:rFonts w:hint="eastAsia" w:ascii="宋体" w:hAnsi="宋体" w:cs="宋体"/>
          <w:b/>
          <w:kern w:val="0"/>
          <w:sz w:val="36"/>
          <w:szCs w:val="36"/>
        </w:rPr>
        <w:t>财政支出绩效目标申报表</w:t>
      </w:r>
    </w:p>
    <w:p>
      <w:pPr>
        <w:spacing w:line="500" w:lineRule="exact"/>
        <w:jc w:val="center"/>
        <w:rPr>
          <w:rFonts w:ascii="仿宋_GB2312" w:hAnsi="宋体" w:eastAsia="仿宋_GB2312" w:cs="宋体"/>
          <w:kern w:val="0"/>
          <w:sz w:val="36"/>
          <w:szCs w:val="36"/>
        </w:rPr>
      </w:pPr>
      <w:r>
        <w:rPr>
          <w:rFonts w:hint="eastAsia" w:ascii="仿宋_GB2312" w:hAnsi="宋体" w:eastAsia="仿宋_GB2312" w:cs="宋体"/>
          <w:kern w:val="0"/>
          <w:sz w:val="36"/>
          <w:szCs w:val="36"/>
        </w:rPr>
        <w:t>（</w:t>
      </w:r>
      <w:r>
        <w:rPr>
          <w:rFonts w:hint="eastAsia" w:ascii="仿宋_GB2312" w:hAnsi="宋体" w:eastAsia="仿宋_GB2312" w:cs="宋体"/>
          <w:kern w:val="0"/>
          <w:sz w:val="36"/>
          <w:szCs w:val="36"/>
          <w:lang w:eastAsia="zh-CN"/>
        </w:rPr>
        <w:t>xxx</w:t>
      </w:r>
      <w:r>
        <w:rPr>
          <w:rFonts w:hint="eastAsia" w:ascii="仿宋_GB2312" w:hAnsi="宋体" w:eastAsia="仿宋_GB2312" w:cs="宋体"/>
          <w:kern w:val="0"/>
          <w:sz w:val="36"/>
          <w:szCs w:val="36"/>
        </w:rPr>
        <w:t>年度）</w:t>
      </w:r>
    </w:p>
    <w:p>
      <w:pPr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填报单位：</w:t>
      </w:r>
    </w:p>
    <w:tbl>
      <w:tblPr>
        <w:tblStyle w:val="3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0"/>
        <w:gridCol w:w="2166"/>
        <w:gridCol w:w="74"/>
        <w:gridCol w:w="1780"/>
        <w:gridCol w:w="222"/>
        <w:gridCol w:w="476"/>
        <w:gridCol w:w="1559"/>
        <w:gridCol w:w="99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项目名称</w:t>
            </w:r>
          </w:p>
        </w:tc>
        <w:tc>
          <w:tcPr>
            <w:tcW w:w="2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项目属性</w:t>
            </w:r>
          </w:p>
        </w:tc>
        <w:tc>
          <w:tcPr>
            <w:tcW w:w="324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新增项目□    延续项目□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主管部门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项目实施单位</w:t>
            </w:r>
          </w:p>
        </w:tc>
        <w:tc>
          <w:tcPr>
            <w:tcW w:w="324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项目起止时间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项目负责人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联系电话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项目资金（万元）</w:t>
            </w: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资金总额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财政拨款</w:t>
            </w:r>
          </w:p>
        </w:tc>
      </w:tr>
      <w:tr>
        <w:tblPrEx>
          <w:tblLayout w:type="fixed"/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自有资金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经营性收入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其他收入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其他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8" w:hRule="atLeast"/>
        </w:trPr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单位职能阐述</w:t>
            </w: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</w:trPr>
        <w:tc>
          <w:tcPr>
            <w:tcW w:w="1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项目概况</w:t>
            </w: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</w:tblPrEx>
        <w:trPr>
          <w:trHeight w:val="420" w:hRule="atLeast"/>
        </w:trPr>
        <w:tc>
          <w:tcPr>
            <w:tcW w:w="19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项目立项情况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项目立项的依据</w:t>
            </w:r>
          </w:p>
        </w:tc>
        <w:tc>
          <w:tcPr>
            <w:tcW w:w="50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项目申报的可行性</w:t>
            </w:r>
          </w:p>
        </w:tc>
        <w:tc>
          <w:tcPr>
            <w:tcW w:w="50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项目申报的必要性</w:t>
            </w:r>
          </w:p>
        </w:tc>
        <w:tc>
          <w:tcPr>
            <w:tcW w:w="50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9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项目实施进度计划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项目实施内容</w:t>
            </w: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开始时间</w:t>
            </w:r>
          </w:p>
        </w:tc>
        <w:tc>
          <w:tcPr>
            <w:tcW w:w="30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完成时间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1、</w:t>
            </w: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0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2、</w:t>
            </w: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0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</w:tblPrEx>
        <w:trPr>
          <w:trHeight w:val="457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……</w:t>
            </w: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0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</w:tbl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</w:t>
      </w:r>
    </w:p>
    <w:p>
      <w:pPr>
        <w:widowControl/>
        <w:spacing w:before="156" w:beforeLines="50"/>
        <w:jc w:val="center"/>
        <w:outlineLvl w:val="1"/>
        <w:rPr>
          <w:rFonts w:ascii="黑体" w:hAnsi="黑体" w:eastAsia="黑体"/>
          <w:b/>
          <w:kern w:val="0"/>
          <w:sz w:val="32"/>
          <w:szCs w:val="32"/>
        </w:rPr>
      </w:pPr>
      <w:r>
        <w:rPr>
          <w:rFonts w:hint="eastAsia" w:ascii="黑体" w:hAnsi="黑体" w:eastAsia="黑体"/>
          <w:b/>
          <w:kern w:val="0"/>
          <w:sz w:val="32"/>
          <w:szCs w:val="32"/>
        </w:rPr>
        <w:t>第四部分  名词解释</w:t>
      </w:r>
    </w:p>
    <w:p>
      <w:pPr>
        <w:widowControl/>
        <w:spacing w:line="56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z w:val="32"/>
          <w:szCs w:val="32"/>
        </w:rPr>
        <w:t>包括公共财政拨款（补助）资金、专项收入。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三、财政专户管理资金：</w:t>
      </w:r>
      <w:r>
        <w:rPr>
          <w:rFonts w:hint="eastAsia" w:ascii="仿宋_GB2312" w:eastAsia="仿宋_GB2312"/>
          <w:sz w:val="32"/>
          <w:szCs w:val="32"/>
        </w:rPr>
        <w:t>包括专户管理行政事业性收费（主要是教育收费）、其他非税收入。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四、其他资金：</w:t>
      </w:r>
      <w:r>
        <w:rPr>
          <w:rFonts w:hint="eastAsia" w:ascii="仿宋_GB2312" w:eastAsia="仿宋_GB2312"/>
          <w:sz w:val="32"/>
          <w:szCs w:val="32"/>
        </w:rPr>
        <w:t>包括事业收入、经营收入、其他收入等。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六、项目支出：</w:t>
      </w:r>
      <w:r>
        <w:rPr>
          <w:rFonts w:hint="eastAsia" w:ascii="仿宋_GB2312" w:eastAsia="仿宋_GB2312"/>
          <w:sz w:val="32"/>
          <w:szCs w:val="32"/>
        </w:rPr>
        <w:t>部门支出预算的组成部分，是自治区本级部门为完成其特定的行政任务或事业发展目标，在基本支出预算之外编制的年度项目支出计划。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七、“三公”经费：</w:t>
      </w:r>
      <w:r>
        <w:rPr>
          <w:rFonts w:hint="eastAsia" w:ascii="仿宋_GB2312" w:eastAsia="仿宋_GB2312"/>
          <w:sz w:val="32"/>
          <w:szCs w:val="32"/>
        </w:rPr>
        <w:t>指自治区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spacing w:line="550" w:lineRule="exact"/>
        <w:ind w:firstLine="640"/>
        <w:rPr>
          <w:rFonts w:ascii="仿宋_GB2312" w:eastAsia="仿宋_GB2312"/>
          <w:b/>
          <w:szCs w:val="20"/>
        </w:rPr>
      </w:pPr>
      <w:r>
        <w:rPr>
          <w:rFonts w:hint="eastAsia" w:ascii="仿宋_GB2312" w:eastAsia="仿宋_GB2312"/>
          <w:b/>
          <w:sz w:val="32"/>
          <w:szCs w:val="32"/>
        </w:rPr>
        <w:t>（各部门单位应根据部门预算公开表中对应的经费情况进行名词解释，对未涉及的名词应删除）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吉木萨尔县政资局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2016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25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>
      <w:pPr>
        <w:rPr>
          <w:rFonts w:hint="eastAsia" w:ascii="仿宋_GB2312" w:hAnsi="宋体" w:eastAsia="仿宋_GB2312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B03"/>
    <w:rsid w:val="00022F00"/>
    <w:rsid w:val="00023569"/>
    <w:rsid w:val="000238BF"/>
    <w:rsid w:val="0003235D"/>
    <w:rsid w:val="000338CF"/>
    <w:rsid w:val="0009042E"/>
    <w:rsid w:val="00105E5B"/>
    <w:rsid w:val="00124E63"/>
    <w:rsid w:val="00150272"/>
    <w:rsid w:val="001873D3"/>
    <w:rsid w:val="001B7F13"/>
    <w:rsid w:val="00204569"/>
    <w:rsid w:val="00207678"/>
    <w:rsid w:val="002328D4"/>
    <w:rsid w:val="002348B4"/>
    <w:rsid w:val="002B3252"/>
    <w:rsid w:val="00320863"/>
    <w:rsid w:val="0032567E"/>
    <w:rsid w:val="00394FBF"/>
    <w:rsid w:val="003A396C"/>
    <w:rsid w:val="003E392A"/>
    <w:rsid w:val="0046479B"/>
    <w:rsid w:val="004D4B03"/>
    <w:rsid w:val="004D7695"/>
    <w:rsid w:val="00521E38"/>
    <w:rsid w:val="005258B1"/>
    <w:rsid w:val="005B01C5"/>
    <w:rsid w:val="005C3AC1"/>
    <w:rsid w:val="00600CD0"/>
    <w:rsid w:val="006138B0"/>
    <w:rsid w:val="006302C0"/>
    <w:rsid w:val="006457BE"/>
    <w:rsid w:val="006A38C8"/>
    <w:rsid w:val="006B2C18"/>
    <w:rsid w:val="006B5516"/>
    <w:rsid w:val="006E4403"/>
    <w:rsid w:val="007025C9"/>
    <w:rsid w:val="00753DDB"/>
    <w:rsid w:val="00803507"/>
    <w:rsid w:val="00934A59"/>
    <w:rsid w:val="00943100"/>
    <w:rsid w:val="009752E5"/>
    <w:rsid w:val="00987368"/>
    <w:rsid w:val="00997692"/>
    <w:rsid w:val="009A142A"/>
    <w:rsid w:val="009B63A2"/>
    <w:rsid w:val="009B6751"/>
    <w:rsid w:val="00A57B80"/>
    <w:rsid w:val="00AA4A9B"/>
    <w:rsid w:val="00AB69D7"/>
    <w:rsid w:val="00B07E81"/>
    <w:rsid w:val="00B11A09"/>
    <w:rsid w:val="00B12494"/>
    <w:rsid w:val="00BE5DE9"/>
    <w:rsid w:val="00C11211"/>
    <w:rsid w:val="00C14913"/>
    <w:rsid w:val="00C2606A"/>
    <w:rsid w:val="00C324F4"/>
    <w:rsid w:val="00C5305B"/>
    <w:rsid w:val="00D440D9"/>
    <w:rsid w:val="00D44C43"/>
    <w:rsid w:val="00DC739D"/>
    <w:rsid w:val="00E528A5"/>
    <w:rsid w:val="00E70F0E"/>
    <w:rsid w:val="00E91186"/>
    <w:rsid w:val="00EF5B06"/>
    <w:rsid w:val="00F72E34"/>
    <w:rsid w:val="00F817C5"/>
    <w:rsid w:val="00FA3812"/>
    <w:rsid w:val="00FA75E1"/>
    <w:rsid w:val="00FB482A"/>
    <w:rsid w:val="00FB56CA"/>
    <w:rsid w:val="01C25CBE"/>
    <w:rsid w:val="01FE2C0B"/>
    <w:rsid w:val="022E3FF3"/>
    <w:rsid w:val="02531B8D"/>
    <w:rsid w:val="02726AE4"/>
    <w:rsid w:val="03344D84"/>
    <w:rsid w:val="034E4F55"/>
    <w:rsid w:val="03C67A97"/>
    <w:rsid w:val="043C4C75"/>
    <w:rsid w:val="04737D93"/>
    <w:rsid w:val="04B21388"/>
    <w:rsid w:val="04BE78CC"/>
    <w:rsid w:val="059D3250"/>
    <w:rsid w:val="05AD53FC"/>
    <w:rsid w:val="05F634A4"/>
    <w:rsid w:val="0609549A"/>
    <w:rsid w:val="06A400A0"/>
    <w:rsid w:val="07457633"/>
    <w:rsid w:val="08D57668"/>
    <w:rsid w:val="099864CD"/>
    <w:rsid w:val="0A6F6F19"/>
    <w:rsid w:val="0A830088"/>
    <w:rsid w:val="0AB34B7A"/>
    <w:rsid w:val="0ACA5D28"/>
    <w:rsid w:val="0AF17B8C"/>
    <w:rsid w:val="0BBD354C"/>
    <w:rsid w:val="0C46110C"/>
    <w:rsid w:val="0C6F7F72"/>
    <w:rsid w:val="0CDC4738"/>
    <w:rsid w:val="0CDE4A57"/>
    <w:rsid w:val="0D1644F8"/>
    <w:rsid w:val="0E317473"/>
    <w:rsid w:val="0E8C1619"/>
    <w:rsid w:val="0F1E4EC4"/>
    <w:rsid w:val="0F394DA7"/>
    <w:rsid w:val="10747C2A"/>
    <w:rsid w:val="10F47DED"/>
    <w:rsid w:val="11C06676"/>
    <w:rsid w:val="123224C5"/>
    <w:rsid w:val="12521099"/>
    <w:rsid w:val="1285392B"/>
    <w:rsid w:val="12A907E8"/>
    <w:rsid w:val="131D68C8"/>
    <w:rsid w:val="137E4968"/>
    <w:rsid w:val="13B42C04"/>
    <w:rsid w:val="14057109"/>
    <w:rsid w:val="158F2DBC"/>
    <w:rsid w:val="15CC1F0E"/>
    <w:rsid w:val="15EC2C85"/>
    <w:rsid w:val="16103233"/>
    <w:rsid w:val="17333DE9"/>
    <w:rsid w:val="18E53C3A"/>
    <w:rsid w:val="190668B4"/>
    <w:rsid w:val="19FB1A24"/>
    <w:rsid w:val="1A4441FE"/>
    <w:rsid w:val="1A962DF1"/>
    <w:rsid w:val="1AB725E6"/>
    <w:rsid w:val="1B363FCC"/>
    <w:rsid w:val="1B5E02FE"/>
    <w:rsid w:val="1B7E2E2B"/>
    <w:rsid w:val="1C7A5293"/>
    <w:rsid w:val="1D4339E9"/>
    <w:rsid w:val="1DA36590"/>
    <w:rsid w:val="1E15238B"/>
    <w:rsid w:val="1E227AA2"/>
    <w:rsid w:val="1E354054"/>
    <w:rsid w:val="1E462964"/>
    <w:rsid w:val="1EA15317"/>
    <w:rsid w:val="1ECD7742"/>
    <w:rsid w:val="1EEB275E"/>
    <w:rsid w:val="1F720CC1"/>
    <w:rsid w:val="200A5271"/>
    <w:rsid w:val="200C70E9"/>
    <w:rsid w:val="209519C2"/>
    <w:rsid w:val="20A90300"/>
    <w:rsid w:val="212B1209"/>
    <w:rsid w:val="216F6CE6"/>
    <w:rsid w:val="217C18E3"/>
    <w:rsid w:val="21D65C31"/>
    <w:rsid w:val="22A213C0"/>
    <w:rsid w:val="22E8356A"/>
    <w:rsid w:val="22FE75D1"/>
    <w:rsid w:val="23202693"/>
    <w:rsid w:val="234E119C"/>
    <w:rsid w:val="238D5189"/>
    <w:rsid w:val="238E29DC"/>
    <w:rsid w:val="23B61554"/>
    <w:rsid w:val="23EE3979"/>
    <w:rsid w:val="24EB348C"/>
    <w:rsid w:val="25011D31"/>
    <w:rsid w:val="25126A18"/>
    <w:rsid w:val="258A1E97"/>
    <w:rsid w:val="25D46851"/>
    <w:rsid w:val="25E2547F"/>
    <w:rsid w:val="26320861"/>
    <w:rsid w:val="26C63013"/>
    <w:rsid w:val="26CC2C71"/>
    <w:rsid w:val="26EC615D"/>
    <w:rsid w:val="27857230"/>
    <w:rsid w:val="27DB63C2"/>
    <w:rsid w:val="27FF05AD"/>
    <w:rsid w:val="29EA3FA3"/>
    <w:rsid w:val="29EF557F"/>
    <w:rsid w:val="2A5D7A61"/>
    <w:rsid w:val="2B6C4B88"/>
    <w:rsid w:val="2B6F2D67"/>
    <w:rsid w:val="2BDA2F3B"/>
    <w:rsid w:val="2C081B64"/>
    <w:rsid w:val="2C7612C9"/>
    <w:rsid w:val="2CFF22DC"/>
    <w:rsid w:val="2D1E3340"/>
    <w:rsid w:val="2D3A629C"/>
    <w:rsid w:val="2F8F434E"/>
    <w:rsid w:val="2F9B6862"/>
    <w:rsid w:val="2FC3127A"/>
    <w:rsid w:val="307971D4"/>
    <w:rsid w:val="31624ABC"/>
    <w:rsid w:val="32553594"/>
    <w:rsid w:val="32642659"/>
    <w:rsid w:val="328C772B"/>
    <w:rsid w:val="347412AA"/>
    <w:rsid w:val="34A677D2"/>
    <w:rsid w:val="34F05EF0"/>
    <w:rsid w:val="34F10E41"/>
    <w:rsid w:val="353563A7"/>
    <w:rsid w:val="353C6D51"/>
    <w:rsid w:val="358F3AC2"/>
    <w:rsid w:val="35AB5A81"/>
    <w:rsid w:val="36D079C4"/>
    <w:rsid w:val="370B5363"/>
    <w:rsid w:val="38214D01"/>
    <w:rsid w:val="38651D83"/>
    <w:rsid w:val="38EA5BC7"/>
    <w:rsid w:val="3A011D04"/>
    <w:rsid w:val="3A423CF3"/>
    <w:rsid w:val="3AB00D03"/>
    <w:rsid w:val="3AED30B6"/>
    <w:rsid w:val="3B5A4261"/>
    <w:rsid w:val="3C1B7885"/>
    <w:rsid w:val="3C835678"/>
    <w:rsid w:val="3D336675"/>
    <w:rsid w:val="3D741FE5"/>
    <w:rsid w:val="3D8C79DC"/>
    <w:rsid w:val="3E4A46CC"/>
    <w:rsid w:val="3FFA5C9B"/>
    <w:rsid w:val="40D45792"/>
    <w:rsid w:val="40F11BEE"/>
    <w:rsid w:val="41C26124"/>
    <w:rsid w:val="423D3F87"/>
    <w:rsid w:val="432D15C5"/>
    <w:rsid w:val="43386DEF"/>
    <w:rsid w:val="436314E4"/>
    <w:rsid w:val="44C95938"/>
    <w:rsid w:val="45162623"/>
    <w:rsid w:val="45F1582C"/>
    <w:rsid w:val="46044431"/>
    <w:rsid w:val="46185B44"/>
    <w:rsid w:val="461C69B1"/>
    <w:rsid w:val="46FA332C"/>
    <w:rsid w:val="472A66A1"/>
    <w:rsid w:val="47C4051F"/>
    <w:rsid w:val="484C603B"/>
    <w:rsid w:val="4A195017"/>
    <w:rsid w:val="4AD76C84"/>
    <w:rsid w:val="4B64511E"/>
    <w:rsid w:val="4BB25B03"/>
    <w:rsid w:val="4C101B53"/>
    <w:rsid w:val="4C811652"/>
    <w:rsid w:val="4C85420E"/>
    <w:rsid w:val="4CA71773"/>
    <w:rsid w:val="4CFF3CFE"/>
    <w:rsid w:val="4D84118D"/>
    <w:rsid w:val="4E4A75FD"/>
    <w:rsid w:val="4F135DBC"/>
    <w:rsid w:val="4F3D1D0D"/>
    <w:rsid w:val="4F5F489D"/>
    <w:rsid w:val="4F7D6C8D"/>
    <w:rsid w:val="51334AEE"/>
    <w:rsid w:val="51F82292"/>
    <w:rsid w:val="525032B8"/>
    <w:rsid w:val="53300742"/>
    <w:rsid w:val="53361538"/>
    <w:rsid w:val="5531612A"/>
    <w:rsid w:val="553656FC"/>
    <w:rsid w:val="55D33F9E"/>
    <w:rsid w:val="56831572"/>
    <w:rsid w:val="56CE7621"/>
    <w:rsid w:val="56E2610F"/>
    <w:rsid w:val="56E279BD"/>
    <w:rsid w:val="572942D1"/>
    <w:rsid w:val="5766097B"/>
    <w:rsid w:val="57894A9A"/>
    <w:rsid w:val="57A66ECF"/>
    <w:rsid w:val="586D4339"/>
    <w:rsid w:val="5A3316FF"/>
    <w:rsid w:val="5AC56A26"/>
    <w:rsid w:val="5CBC2A5A"/>
    <w:rsid w:val="5CE07CD3"/>
    <w:rsid w:val="5D9A1EEE"/>
    <w:rsid w:val="5D9A4C10"/>
    <w:rsid w:val="5DC8433B"/>
    <w:rsid w:val="5E0B0758"/>
    <w:rsid w:val="5E48432E"/>
    <w:rsid w:val="5E4D6B29"/>
    <w:rsid w:val="5F595263"/>
    <w:rsid w:val="5F60379C"/>
    <w:rsid w:val="6069441A"/>
    <w:rsid w:val="60831D72"/>
    <w:rsid w:val="60861CA6"/>
    <w:rsid w:val="61C505B2"/>
    <w:rsid w:val="62011AE0"/>
    <w:rsid w:val="634D27B5"/>
    <w:rsid w:val="63B6248E"/>
    <w:rsid w:val="64820A5E"/>
    <w:rsid w:val="65001C8A"/>
    <w:rsid w:val="653715E7"/>
    <w:rsid w:val="65510A62"/>
    <w:rsid w:val="65E8137F"/>
    <w:rsid w:val="65F9775D"/>
    <w:rsid w:val="66541966"/>
    <w:rsid w:val="66A7346E"/>
    <w:rsid w:val="676B5053"/>
    <w:rsid w:val="687215E7"/>
    <w:rsid w:val="694F1BE8"/>
    <w:rsid w:val="69D83CBA"/>
    <w:rsid w:val="6A084066"/>
    <w:rsid w:val="6B9A4AE1"/>
    <w:rsid w:val="6BBE38BF"/>
    <w:rsid w:val="6BC36901"/>
    <w:rsid w:val="6BFF12F8"/>
    <w:rsid w:val="6C8837DB"/>
    <w:rsid w:val="6CE2754C"/>
    <w:rsid w:val="6D045110"/>
    <w:rsid w:val="6D3069F8"/>
    <w:rsid w:val="6D7E61BA"/>
    <w:rsid w:val="6EF47F6E"/>
    <w:rsid w:val="6FE972C2"/>
    <w:rsid w:val="709C496E"/>
    <w:rsid w:val="71E84ECD"/>
    <w:rsid w:val="72E272ED"/>
    <w:rsid w:val="73097B62"/>
    <w:rsid w:val="73B629EA"/>
    <w:rsid w:val="74093C1F"/>
    <w:rsid w:val="744D0418"/>
    <w:rsid w:val="74601E67"/>
    <w:rsid w:val="747A143D"/>
    <w:rsid w:val="757932F8"/>
    <w:rsid w:val="759D6219"/>
    <w:rsid w:val="764B100E"/>
    <w:rsid w:val="76D4185E"/>
    <w:rsid w:val="77530BD1"/>
    <w:rsid w:val="77CC7188"/>
    <w:rsid w:val="77D240E8"/>
    <w:rsid w:val="784A5E91"/>
    <w:rsid w:val="786C5CFC"/>
    <w:rsid w:val="78DF7BC8"/>
    <w:rsid w:val="78EF5F1B"/>
    <w:rsid w:val="797855D1"/>
    <w:rsid w:val="798E70E3"/>
    <w:rsid w:val="79B2295B"/>
    <w:rsid w:val="79DB48A6"/>
    <w:rsid w:val="7A810FCB"/>
    <w:rsid w:val="7AE77783"/>
    <w:rsid w:val="7B0A2571"/>
    <w:rsid w:val="7B0C1F50"/>
    <w:rsid w:val="7B1F2922"/>
    <w:rsid w:val="7BE96F59"/>
    <w:rsid w:val="7C602BF9"/>
    <w:rsid w:val="7C82744A"/>
    <w:rsid w:val="7D7E517C"/>
    <w:rsid w:val="7F9668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20</Pages>
  <Words>1412</Words>
  <Characters>8052</Characters>
  <Lines>67</Lines>
  <Paragraphs>18</Paragraphs>
  <TotalTime>2</TotalTime>
  <ScaleCrop>false</ScaleCrop>
  <LinksUpToDate>false</LinksUpToDate>
  <CharactersWithSpaces>9446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2018-02-09T02:15:00Z</dcterms:created>
  <dc:creator>Administrator</dc:creator>
  <cp:lastModifiedBy>WPS_1527827274</cp:lastModifiedBy>
  <dcterms:modified xsi:type="dcterms:W3CDTF">2019-02-20T08:46:30Z</dcterms:modified>
  <cp:revision>134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