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州县残疾人就业保障资金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吉木萨尔县残疾人联合会本级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吉木萨尔县残疾人联合会本级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张建玲</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2023年04月03日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积极开展残疾人基本康复服务工作。为经济困难的视力、听力、智力、精神残疾人配发辅助器具；开展就学补助、就业稳岗补助、阳光家园补助以及为重度残疾人购买养老保险和开展组联维权等相关工作；使人人普遍享有基本康复服务。进一步扩大残疾儿童康复救助覆盖面，减轻残疾儿童家庭负担，健全完善残疾儿童康复救助制度体系。</w:t>
        <w:br/>
        <w:t>2. 主要内容</w:t>
        <w:br/>
        <w:t>开展辅助器具适配、就学补助、就业稳岗补助、残疾儿童康复救助、阳光家园托养补助、为重度残疾人购买居民养老保险等组联维权等服务内容。</w:t>
        <w:br/>
        <w:t>项目名称：州县残疾人就业保障资金</w:t>
        <w:br/>
        <w:t>项目主要内容：开展辅助器具适配、就学补助、就业稳岗补助、残疾儿童康复救助、阳光家园托养补助、为重度残疾人购买居民养老保险等组联维权等服务内容。</w:t>
        <w:br/>
        <w:t>3.项目实施情况</w:t>
        <w:br/>
        <w:t>项目实施主体：吉木萨尔县残疾人联合会</w:t>
        <w:br/>
        <w:t>实施时间：该项目实施时间为2022年1月-2022年12月</w:t>
        <w:br/>
        <w:t>实施结果：该项目预算资金76.8万元，截止2022年12月31日已全部实施。</w:t>
        <w:br/>
        <w:t>4.项目实施主体</w:t>
        <w:br/>
        <w:t>项目实施主体的主要职能：残疾人联合会主要开展残疾人康复、教育、劳动就业、文化体育、无障碍设施和残疾预防工作；听取残疾人意见，反映残疾人需求，维护残疾人权益，为残疾人服务；指导和管理各类残疾人社团组织；协助政府研究、制定和实施残疾人事业的规章、政策、规划和计划，对有关残疾人工作业务领域进行指导和管理；根据政策积极创造良好环境和条件，扶助残疾人平等参与社会发展。</w:t>
        <w:br/>
        <w:t>机构设置情况：吉木萨尔县残疾人联合会共有编制9名，其中：行政编制3名，事业编制6名。编外人员3人，实有在职人员12人,退休人4人。</w:t>
        <w:br/>
        <w:t>5. 资金投入和使用情况</w:t>
        <w:br/>
        <w:t>（1）项目资金安排落实、总投入等情况分析</w:t>
        <w:br/>
        <w:t>本项目预算资金总额为76.8万元，其中：财政资金为76.8万元，其他资金为0万元。2022年实际收到预算资金76.8万元，预算资金到位率为100%。</w:t>
        <w:br/>
        <w:t>（2）项目资金实际使用情况分析</w:t>
        <w:br/>
        <w:t>截至2022年12月31日，本项目实际支出76.8万元，预算执行率100%。项目资金主要用于支付残疾人辅助器具费用1.59万元、就学补助4.6万元、就业稳岗补助28.3万元、残疾儿童康复救助费用2.5万元、阳光家园托养补助费用1.2万元、为重度残疾人购买居民养老保险费用6.76万元、残疾人各项组联维权资金31.85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积极开展残疾人基本康复服务工作，为经济困难的视力、听力、智力、精神残疾人配发辅助器具；开展就学补助、就业稳岗补助、阳光家园补助以及为重度残疾人购买养老保险和开展组联维等相关工作；使人人普遍享有基本康复服务。进一步扩大残疾儿童少年康复救助覆盖面，减轻残疾儿童家庭负担，健全完善残疾儿童康复救助制度体系。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购置残疾人辅助器具数量，预期指标值为大于等于1批。</w:t>
        <w:br/>
        <w:t>残疾人及残疾家庭子女就学补助人数，预期指标值为大于等于18人。</w:t>
        <w:br/>
        <w:t>残疾人就业稳岗补助户数，预期指标值大于等于87户。</w:t>
        <w:br/>
        <w:t>残疾儿童康复救助人数，预期指标值为大于等于2人。</w:t>
        <w:br/>
        <w:t>阳光家园补助人数，预期指标值为大于等于4人。</w:t>
        <w:br/>
        <w:t>为重度残疾人购买居民养老保险人数，预期指标值为大于等于676人。</w:t>
        <w:br/>
        <w:t>残疾人各项组联维权资金，预期指标值为大于等于1批。</w:t>
        <w:br/>
        <w:t>②质量指标</w:t>
        <w:br/>
        <w:t>有需求的困难残疾人得到基本康复服务率，预期指标值为大于等于95%。</w:t>
        <w:br/>
        <w:t>③时效指标</w:t>
        <w:br/>
        <w:t>补贴资金到位及时率，预期指标值为等于100%。</w:t>
        <w:br/>
        <w:t>④成本指标</w:t>
        <w:br/>
        <w:t>购置残疾人辅助器具金额，预期指标值为小于等于1.59万元。</w:t>
        <w:br/>
        <w:t>残疾人及残疾家庭子女就学补助标准，预期指标值为小于等于2556元/人。</w:t>
        <w:br/>
        <w:t>残疾人就业稳岗补助标准，预期指标值小于等于3253元。</w:t>
        <w:br/>
        <w:t>残疾儿童康复救助标准，预期指标值为小于等于12500元/人。</w:t>
        <w:br/>
        <w:t>阳光家园补助标准，预期指标值为小于等于3000元/人。</w:t>
        <w:br/>
        <w:t>为重度残疾人购买居民养老保险标准，预期指标值为大于等于100元/人。</w:t>
        <w:br/>
        <w:t>残疾人各项组联维权金额，预期指标值为小于等于31.85万元。</w:t>
        <w:br/>
        <w:t>（2）项目效益目标</w:t>
        <w:br/>
        <w:t>①经济效益指标</w:t>
        <w:br/>
        <w:t>无</w:t>
        <w:br/>
        <w:t>②社会效益指标</w:t>
        <w:br/>
        <w:t>残疾人康复服务水平，预期指标值为好。</w:t>
        <w:br/>
        <w:t>关心、理解、支持残疾人的社会氛围，预期指标值为好。</w:t>
        <w:br/>
        <w:t>③生态效益指标</w:t>
        <w:br/>
        <w:t>无</w:t>
        <w:br/>
        <w:t>④可持续影响</w:t>
        <w:br/>
        <w:t>提高残疾人融入社会生活能力，预期指标值为明显提高。</w:t>
        <w:br/>
        <w:t>（3）满意度目标</w:t>
        <w:br/>
        <w:t>①满意度指标</w:t>
        <w:br/>
        <w:t>残疾人及家属对残疾人康复服务的满意度，预期指标值为大于等于95%。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此次我单位根据《财政支出绩效评价管理暂行办法》（财预〔2020〕10号）文件要求对2022年度我单位实施的州县残疾人就业保障金项目开展部门绩效评价，评价核心内容为项目资金、项目产出、项目效益。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州县残疾人就业保障金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张建玲任评价组组长，主要负责确定绩效评价方案、总体协调沟通、全盘统筹、总体质量把关等工作。</w:t>
        <w:br/>
        <w:t>陆安斌任评价组副组长，主要负责绩效评价现场督导，对评价组成员的评价检查工作提供技术指导与支持，对实效评价工作质量把关。</w:t>
        <w:br/>
        <w:t>马艳霞任评价组成员，主要负责现场调研工作，完成收集整理资料、审核数据、填报绩效评价内容等工作。</w:t>
        <w:br/>
        <w:t>2.组织实施</w:t>
        <w:b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经评价，本项目达到了年初设立的绩效目标，州县残疾人就业保障金项目总体组织规范，完成了州县残疾人就业保障资金项目的工作目标，在实施过程中取得了良好的成效，具体表现在以下两方面：</w:t>
        <w:br/>
        <w:t>在项目决策方面：达到了预期的目的，进一步提高了残疾人服务工作水平。 </w:t>
        <w:br/>
        <w:t>项目管理方面：专项资金不挤占、不挪用、确保专款专用。</w:t>
        <w:br/>
        <w:t>项目产出方面：按项目下达的任务指标进行具体量化，科学设置出数量指标、质量指标、时效指标以及成本指标，逐项完成。</w:t>
        <w:br/>
        <w:t>项目效益方面：进一步提高了残疾人康复服务水平及融入社会生活的能力。</w:t>
        <w:br/>
        <w:t>（二）综合评价结论</w:t>
        <w:b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31个，实现目标31个，完成率100%。项目决策指标共设置6个，满分指标6个，得分率100%；项目过程指标共设置5个，满分指标5个，得分率100%；项目产出指标共设置16个，满分指标16个，得分率100%；项目效益指标共设置4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</w:t>
        <w:br/>
        <w:t>1.项目立项情况分析</w:t>
        <w:br/>
        <w:t>（1）立项依据充分性：</w:t>
        <w:br/>
        <w:t>根据《财政资金直接支付申请书》，本项目资金性质为“上级一般转移支付资金”，功能分类为“2081104”、“2081105”、“2081199”，经济分类为“残疾人康复支出”、“残疾人就业支出”、“其他残疾人事业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该项目属于补助类项目，没有做可行性研究报告相关程序，经过了集体决策程序。该指标满分3分，根据评分标准得3分，本项目立项程序合规。</w:t>
        <w:br/>
        <w:t>2.绩效目标情况分析</w:t>
        <w:br/>
        <w:t>（1）绩效目标合理性：</w:t>
        <w:br/>
        <w:t>①本项目已设置年度绩效目标，具体内容为“积极开展残疾人基本康复服务工作，为经济困难的视力、听力、智力、精神残疾人配发辅助器具；开展就学补助、就业稳岗补助、阳光家园补助以及为重度残疾人购买养老保险和开展组联维等相关工作；使人人普遍享有基本康复服务。进一步扩大残疾儿童少年康复救助覆盖面，减轻残疾儿童家庭负担，健全完善残疾儿童康复救助制度体系。”。</w:t>
        <w:br/>
        <w:t>②本项目实际工作为：为经济困难的视力、听力、智力、精神残疾人配发辅助器具；开展就学补助、就业稳岗补助、阳光家园补助以及为重度残疾人购买养老保险和开展组联维权等相关工作。绩效目标与实际工作内容一致。</w:t>
        <w:br/>
        <w:t>③本项目按照绩效目标完成数量指标、质量指标、时效指标、成本指标，使人人普遍享有基本康复服务。进一步扩大残疾儿童康复救助覆盖面，减轻残疾儿童家庭负担，健全完善残疾儿童康复救助制度体系。2022年度绩效目标已全部完成，预期产出效益和效果符合正常的业绩水平。</w:t>
        <w:br/>
        <w:t>④该项目批复的预算金额为76.8万元，《财政项目支出绩效目标表》中预算金额为76.8万元，预算确定的项目资金与预算确定的项目投资额相匹配。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9个，三级指标20个，定量指标17个，定性指标3个，指标量化率为85%，量化率达70%以上。该《项目绩效目标申报表》中，数量指标指标值为：</w:t>
        <w:br/>
        <w:t>购置残疾人辅助器具数量，预期指标值为大于等于1批。</w:t>
        <w:br/>
        <w:t>残疾人及残疾家庭子女就学补助人数，预期指标值为大于等于18人。</w:t>
        <w:br/>
        <w:t>残疾人就业稳岗补助户数，预期指标值大于等于87户。</w:t>
        <w:br/>
        <w:t>残疾儿童康复救助人数，预期指标值为大于等于2人。</w:t>
        <w:br/>
        <w:t>阳光家园补助人数，预期指标值为大于等于4人。</w:t>
        <w:br/>
        <w:t>为重度残疾人购买居民养老保险人数，预期指标值为大于等于676人。</w:t>
        <w:br/>
        <w:t>残疾人各项组联维权资金，预期指标值为大于等于1批。</w:t>
        <w:br/>
        <w:t>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②预算申请内容为76.8万元，本项目资金主要用于支付76.8万元，预算申请与州县的指标任务中涉及的项目内容匹配。</w:t>
        <w:br/>
        <w:t>③本项目预算申请资金76.8万元，我单位在预算申请中严格按照单位标准和数量进行核算，其中：购置残疾辅助器具费用1.59万元、残疾人及残疾家庭子女就学补助费用4.6万元、残疾人就业稳岗补助费用28.3万元、残疾儿童康复救助费用2.5万元、阳光家园补助费用1.2万元、为重度残疾人购买居民养老保险费用6.76万元、残疾人各项组联维权费用31.85万元。预算确定资金量与实际工作任务相匹配。</w:t>
        <w:br/>
        <w:t>综上所述，本指标满分为4分，根据评分标准得4分，本项目预算编制科学。</w:t>
        <w:br/>
        <w:t>（2）资金分配合理性：</w:t>
        <w:br/>
        <w:t>①本项目实际分配资金以昌州财社【2022】12号、21号、34号等文件为依据进行资金分配，预算资金分配依据充分。</w:t>
        <w:br/>
        <w:t>②根据昌州财社【2022】12号、21号、34号等文件显示，本项目实际到位资金76.8万元，实际分配资金与我单位提交申请的资金额度一致，资金分配额度合理，与我单位实际需求相适应。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本项目预算资金为76.8万元，实际到位资金76.8万元，资金到位率100%。</w:t>
        <w:br/>
        <w:t>综上所述，本指标满分为4分，根据评分标准得4分,本项目资金到位率为100%。</w:t>
        <w:br/>
        <w:t>（2）预算执行率：</w:t>
        <w:br/>
        <w:t>本项目到资金为76.8万元，实际支出资金76.8万元，预算执行率100%。</w:t>
        <w:br/>
        <w:t>综上所述，本指标满分为5分，根据评分标准得5分,本项目预算执行率为100%</w:t>
        <w:br/>
        <w:t>（3）资金使用合规性：</w:t>
        <w:br/>
        <w:t>经检查，本项目合同、财务支出凭证等资料，本项目资金使用符合国家财经法规、《政府会计制度》等，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我单位已制定《机关财务内控管理制度》《预算管理制度》《决算管理制度》等，上述已建立的制度均符合行政事业单位内控管理要求，财务和业务管理制度合法、合规、完整，本项目执行符合上述制度规定。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机关财务内控管理制度》《预算管理制度》《决算管理制度》等相关法律法规及管理规定，经查证项目实施过程资料，项目采购、实施、验收等过程均按照采购管理办法和合同管理办法等相关制度执行，基本完成既定目标；经查证党委会议纪要、政府采购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项目产出类指标包括产出数量、产出质量、产出时效、产出成本四方面的内容，由项目产出类指标由4个二级指标和20个三级指标构成，权重分为30分，实际得分30分，得分率为100%。</w:t>
        <w:br/>
        <w:t>1.数量指标完成情况分析</w:t>
        <w:br/>
        <w:t>购置残疾人辅助器具数量，预期指标值为大于等于1批。实际完成指标值为1批，指标完成率为100%。本指标满分为2分，根据评分标准，该指标得2分。</w:t>
        <w:br/>
        <w:t>残疾人及残疾家庭子女就学补助人数，预期指标值为大于等于18人。实际完成指标值为18，指标完成率为100%。本指标满分为2分，根据评分标准，该指标得2分。</w:t>
        <w:br/>
        <w:t>残疾人就业稳岗补助户数，预期指标值大于等于87户，实际完成指标值为87户，指标完成率为100%。本指标满分为2分，根据评分标准，该指标得2分。</w:t>
        <w:br/>
        <w:t>残疾儿童康复救助人数，预期指标值为大于等于2人，实际完成指标值为2人，指标完成率为100%。本指标满分为2分，根据评分标准，该指标得2分。</w:t>
        <w:br/>
        <w:t>阳光家园补助人数，预期指标值为大于等于4人，实际完成指标值为4人，指标完成率为100%。本指标满分为2分，根据评分标准，该指标得2分。</w:t>
        <w:br/>
        <w:t>为重度残疾人购买居民养老保险人数，预期指标值为大于等于676人，实际完成指标值为676人，指标完成率为100%。本指标满分为2分，根据评分标准，该指标得2分。</w:t>
        <w:br/>
        <w:t>残疾人各项组联维权资金，预期指标值为大于等于1批，实际完成指标值为1批，指标完成率为100%。本指标满分为2分，根据评分标准，该指标得2分。</w:t>
        <w:br/>
        <w:t>2.质量指标完成情况分析</w:t>
        <w:br/>
        <w:t>有需求的困难残疾人得到基本康复服务率，预期指标值为大于等于95%。实际完成指标值为95%，指标完成率为100%。本指标满分为1分，根据评分标准，该指标得1分。</w:t>
        <w:br/>
        <w:t>3.时效指标完成情况分析</w:t>
        <w:br/>
        <w:t>补贴资金到位及时率，预期指标值为等于100%。实际完成指标值为100%，指标完成率为100%。本指标满分为1分，根据评分标准，该指标得1分。</w:t>
        <w:br/>
        <w:t>4.成本指标完成情况分析</w:t>
        <w:br/>
        <w:t>购置残疾人辅助器具金额，预期指标值为小于等于1.59万元。实际完成指标值为1.59万元，指标完成率为100%。本指标满分为2分，根据评分标准，该指标得2分。</w:t>
        <w:br/>
        <w:t>残疾人及残疾家庭子女就学补助标准，预期指标值为小于等于2556元/人。实际完成指标值为2556元/人，指标完成率为100%。本指标满分为2分，根据评分标准，该指标得2分。</w:t>
        <w:br/>
        <w:t>残疾人就业稳岗补助标准，预期指标值小于等于3253元。实际完成指标值为3253元，指标完成率为100%。本指标满分为2分，根据评分标准，该指标得2分。</w:t>
        <w:br/>
        <w:t>残疾儿童康复救助标准，预期指标值为小于等于12500元/人。实际完成指标值为12500元/人，指标完成率为100%。本指标满分为2分，根据评分标准，该指标得2分。</w:t>
        <w:br/>
        <w:t>阳光家园补助标准，预期指标值为小于等于3000元/人。实际完成指标值为3000元/人，指标完成率为100%。本指标满分为2分，根据评分标准，该指标得2分。</w:t>
        <w:br/>
        <w:t>为重度残疾人购买居民养老保险标准，预期指标值为大于等于100元/人。实际完成指标值为100元/人，指标完成率为100%。本指标满分为2分，根据评分标准，该指标得2分。</w:t>
        <w:br/>
        <w:t>残疾人各项组联维权金额，预期指标值为小于等于31.85万元。实际完成指标值为31.85万元，指标完成率为100%。本指标满分为2分，根据评分标准，该指标得2分。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项目效益类指标由5个二级指标和4个三级指标构成，权重分为30分，实际得分30分，得分率为100%。</w:t>
        <w:br/>
        <w:t>1.经济效益指标完成情况分析</w:t>
        <w:br/>
        <w:t>无</w:t>
        <w:br/>
        <w:t>2.社会效益指标完成情况分析</w:t>
        <w:br/>
        <w:t>残疾人康复服务水平，预期指标值为好。实际完成指标值为达到预期目标，指标完成率为100%。本指标满分为5分，根据评分标准，该指标得5分。</w:t>
        <w:br/>
        <w:t>关心、理解、支持残疾人的社会氛围，预期指标值为好。实际完成指标值为达到预期目标，指标完成率为100%。本指标满分为5分，根据评分标准，该指标得5分。</w:t>
        <w:br/>
        <w:t>3.生态效益指标完成情况分析</w:t>
        <w:br/>
        <w:t>无</w:t>
        <w:br/>
        <w:t>4.可持续影响指标完成情况分析</w:t>
        <w:br/>
        <w:t>提高残疾人融入社会生活能力，预期指标值为明显提高，实际完成指标值为达到预期目标，指标完成率为100%。本指标满分为10分，根据评分标准，该指标得10分。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严格按照上级资金文件设置的绩效目标，规范合理设置本单位的绩效目标。</w:t>
        <w:br/>
        <w:t>（二）存在问题及原因分析</w:t>
        <w:br/>
        <w:t>部分业务人员绩效管理意识有待增强，未能全面深入认识理解绩效管理工作的意义。绩效管理经验不足，预算绩效管理工作有待进一步落实。</w:t>
        <w:br/>
        <w:t>绩效指标的明确性、可衡量性、相关性还需进一步提升。预算精细化管理还需完善，预算编制管理水平仍有进一步提升的空间。</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加强预算绩效目标管理工作。加大绩效工作宣传力度，强化绩效理念。</w:t>
        <w:br/>
        <w:t>进一步完善绩效目标设置，提高项目绩效目标质量。提升预算精细化管理水平。</w:t>
        <w:br/>
        <w:t>加强绩效业务学习及培训，提高业务人员绩效管理意识，进一步加强预算绩效管理工作，优化项目支出绩效指标体系，完善预算绩效管理制度，有效推动下一年度预算绩效管理工作常态化、规范化。</w:t>
        <w:br/>
        <w:t>借助第三方专业机构力量，贯彻落实全面预算绩效管理工作，建立全过程预算绩效管理链条，将绩效各个环节紧密贯通。</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