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color w:val="auto"/>
          <w:kern w:val="0"/>
          <w:sz w:val="32"/>
          <w:szCs w:val="32"/>
        </w:rPr>
      </w:pPr>
      <w:bookmarkStart w:id="0" w:name="_GoBack"/>
      <w:r>
        <w:rPr>
          <w:rFonts w:hint="eastAsia" w:ascii="仿宋" w:hAnsi="仿宋" w:eastAsia="仿宋" w:cs="宋体"/>
          <w:color w:val="auto"/>
          <w:kern w:val="0"/>
          <w:sz w:val="32"/>
          <w:szCs w:val="32"/>
        </w:rPr>
        <w:t>附件2：</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项目支出绩效自评报告</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r>
        <w:rPr>
          <w:rStyle w:val="18"/>
          <w:rFonts w:hint="eastAsia" w:ascii="楷体" w:hAnsi="楷体" w:eastAsia="楷体"/>
          <w:color w:val="auto"/>
          <w:spacing w:val="-4"/>
          <w:sz w:val="32"/>
          <w:szCs w:val="32"/>
        </w:rPr>
        <w:t>2022</w:t>
      </w:r>
      <w:r>
        <w:rPr>
          <w:rFonts w:hint="eastAsia" w:hAnsi="宋体" w:eastAsia="仿宋_GB2312" w:cs="宋体"/>
          <w:color w:val="auto"/>
          <w:kern w:val="0"/>
          <w:sz w:val="36"/>
          <w:szCs w:val="36"/>
        </w:rPr>
        <w:t xml:space="preserve">  年度）</w:t>
      </w: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rPr>
          <w:rFonts w:hAnsi="宋体" w:eastAsia="仿宋_GB2312" w:cs="宋体"/>
          <w:color w:val="auto"/>
          <w:kern w:val="0"/>
          <w:sz w:val="30"/>
          <w:szCs w:val="30"/>
        </w:rPr>
      </w:pPr>
    </w:p>
    <w:p>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pPr>
        <w:spacing w:line="700" w:lineRule="exact"/>
        <w:ind w:firstLine="900" w:firstLineChars="25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Style w:val="18"/>
          <w:rFonts w:hint="eastAsia" w:ascii="楷体" w:hAnsi="楷体" w:eastAsia="楷体"/>
          <w:color w:val="auto"/>
          <w:spacing w:val="-4"/>
          <w:sz w:val="32"/>
          <w:szCs w:val="32"/>
        </w:rPr>
        <w:t>2022年困难群众救助补助资金</w:t>
      </w:r>
    </w:p>
    <w:p>
      <w:pP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w:t>
      </w:r>
      <w:r>
        <w:rPr>
          <w:rStyle w:val="18"/>
          <w:rFonts w:hint="eastAsia" w:ascii="楷体" w:hAnsi="楷体" w:eastAsia="楷体"/>
          <w:color w:val="auto"/>
          <w:spacing w:val="-4"/>
          <w:sz w:val="28"/>
          <w:szCs w:val="28"/>
        </w:rPr>
        <w:t>吉木萨尔县民政局</w:t>
      </w:r>
    </w:p>
    <w:p>
      <w:pP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w:t>
      </w:r>
      <w:r>
        <w:rPr>
          <w:rStyle w:val="18"/>
          <w:rFonts w:hint="eastAsia" w:ascii="楷体" w:hAnsi="楷体" w:eastAsia="楷体"/>
          <w:color w:val="auto"/>
          <w:spacing w:val="-4"/>
          <w:sz w:val="28"/>
          <w:szCs w:val="28"/>
        </w:rPr>
        <w:t>吉木萨尔县民政局</w:t>
      </w:r>
    </w:p>
    <w:p>
      <w:pP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r>
        <w:rPr>
          <w:rStyle w:val="18"/>
          <w:rFonts w:hint="eastAsia" w:ascii="楷体" w:hAnsi="楷体" w:eastAsia="楷体"/>
          <w:color w:val="auto"/>
          <w:spacing w:val="-4"/>
          <w:sz w:val="32"/>
          <w:szCs w:val="32"/>
        </w:rPr>
        <w:t>萨吉达</w:t>
      </w:r>
    </w:p>
    <w:p>
      <w:pPr>
        <w:spacing w:line="540" w:lineRule="exact"/>
        <w:ind w:left="273" w:firstLine="567"/>
        <w:rPr>
          <w:rStyle w:val="18"/>
          <w:rFonts w:ascii="楷体" w:hAnsi="楷体" w:eastAsia="楷体"/>
          <w:color w:val="auto"/>
          <w:spacing w:val="-4"/>
          <w:sz w:val="32"/>
          <w:szCs w:val="32"/>
        </w:rPr>
      </w:pPr>
      <w:r>
        <w:rPr>
          <w:rFonts w:hint="eastAsia" w:hAnsi="宋体" w:eastAsia="仿宋_GB2312" w:cs="宋体"/>
          <w:color w:val="auto"/>
          <w:kern w:val="0"/>
          <w:sz w:val="36"/>
          <w:szCs w:val="36"/>
        </w:rPr>
        <w:t>填报时间：</w:t>
      </w:r>
      <w:r>
        <w:rPr>
          <w:rStyle w:val="18"/>
          <w:rFonts w:hint="eastAsia" w:ascii="楷体" w:hAnsi="楷体" w:eastAsia="楷体"/>
          <w:color w:val="auto"/>
          <w:spacing w:val="-4"/>
          <w:sz w:val="32"/>
          <w:szCs w:val="32"/>
        </w:rPr>
        <w:t>2023年04月05日</w:t>
      </w:r>
    </w:p>
    <w:p>
      <w:pPr>
        <w:spacing w:line="700" w:lineRule="exact"/>
        <w:ind w:firstLine="708" w:firstLineChars="236"/>
        <w:jc w:val="left"/>
        <w:rPr>
          <w:rFonts w:hAnsi="宋体" w:eastAsia="仿宋_GB2312" w:cs="宋体"/>
          <w:color w:val="auto"/>
          <w:kern w:val="0"/>
          <w:sz w:val="30"/>
          <w:szCs w:val="30"/>
        </w:rPr>
      </w:pPr>
    </w:p>
    <w:p>
      <w:pPr>
        <w:spacing w:line="540" w:lineRule="exact"/>
        <w:rPr>
          <w:rStyle w:val="18"/>
          <w:rFonts w:ascii="黑体" w:hAnsi="黑体" w:eastAsia="黑体"/>
          <w:b w:val="0"/>
          <w:color w:val="auto"/>
          <w:spacing w:val="-4"/>
          <w:sz w:val="32"/>
          <w:szCs w:val="32"/>
        </w:rPr>
      </w:pP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（一）项目概况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 项目背景</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关于提前下达2022年中央财政困难群众救助补助资金预算的通知》（昌州财社〔2021〕77号）、《吉木萨尔县关于开展最低生活保障审核确定（审批）权限下放乡镇试点工作实施方案（试行）》（吉县政办〔2021〕96号）、《吉木萨尔县关于进一步改革完善社会救助制度的实施方案》（吉县党办〔2022〕13号）、2022年根据《关于提高全州困难群众基本生活救助标准的通知》（昌州民字〔2022〕50号）等文件要求， 规范城乡低保政策实施，合理确定保障标准，使困难群众基本生活得到有效保障；统筹城乡特困人员救助供养工作，合理确定保障标准；规范实施临时救助政策，实现及时高效、救急解难；为生活无着流浪乞讨人员提供临时食宿、疾病救治、协助返回等救助，并妥善安置返乡受助人员；对流浪未成年人提供特殊优先保护及教育等专业服务，确保其健康成长。；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引导地方提高孤儿生活保障水平，孤儿生活保障政策规范高效实施，使孤儿、艾滋病病毒感染儿童和事实无人抚养儿童生活基本得到保障。积极为走失、务工不着、家庭暴力受害者等离家在外的临时遇困人员提供救助。确保我县困难群众基本生活有保障，应救尽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 xml:space="preserve"> 2. 主要内容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项目名称：2022年困难群众救助补助资金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主要内容：对我县城乡低保户发放1至12月份的城乡低保、有必要时发放一次性生活补贴、临时价格补贴；对特困供养对象落实1-12月份的特困供养救助政策发放生活费，护理费、医疗费、丧葬费等；为孤儿（事实无人抚养儿童、艾滋病儿童）发放1-12月份生活补贴；对生活临时陷入困境的困难家庭落实临时救助；对生活无着的流浪乞讨人员落实救助包括住宿、饮食、返乡，送医、返乡救助政策。</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3.项目实施情况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项目实施主体：吉木萨尔县民政局</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实施时间：该项目实施时间为2022年1月-2022年12月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实施结果：截止2022年12月，享受城乡低保人数1758人，享受特困人员319人，享受临时救助2047人次，救助孤儿人数7人，艾滋病儿童1人，事实无人抚养儿童2人。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4.项目实施主体</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 xml:space="preserve"> 吉木萨尔县民政局现有6个内设科室:即行政办公室、社会救助办公室（城乡低保、五保老人、孤儿、临时救助、流浪乞讨救助、残疾人两项补贴、高龄老人生活津贴等）、基层政权办公室、社会事务办公室、婚姻登记办公室、行政区划地名办公室、党建办公室，下属1个单位社会福利管理中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 资金投入和使用情况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（1）项目资金安排落实、总投入等情况分析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本项目预算资金总额为1284万元，其中：财政资金为1284万元，其他资金为0万元。2022年实际收到预算资金1284万元，预算资金到位率为100%。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（2）项目资金实际使用情况分析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截至2022年12月31日，本项目实际支出1284万元，预算执行率100%。项目资金主要用于支付城乡低保金 1341.9万元、特困供养救助448.3万元、临时救助272.6万元、孤儿生活费11.3万元、事实无人抚养儿童生活费2.2万元、流浪乞讨救助39.9万元。</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1.项目绩效总目标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 xml:space="preserve"> 规范城乡低保政策实施，合理确定保障标准，使低保对象基本生活得到有效保障；统筹城乡特困人员救助供养工作，合理确定保障标准；规范实施临时救助政策，实现及时高效、救急解难；为生活无着流浪乞讨人员提供临时食宿、疾病救治、协助返回等救助，并妥善安置返乡受助人员；对流浪未成年人提供特殊优先保护及教育等专业服务，确保其健康成长。；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引导地方提高孤儿生活保障水平，孤儿生活保障政策规范高效实施，使孤儿、艾滋病病毒感染儿童和事实无人抚养儿童生活基本得到保障。积极为走失、务工不着、家庭暴力受害者等离家在外的临时遇困人员提供救助。确保我县困难群众基本生活有保障，应救尽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2.阶段性目标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项目产出目标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①数量指标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“享受城乡低保对象人数</w:t>
      </w:r>
      <w:r>
        <w:rPr>
          <w:rStyle w:val="18"/>
          <w:rFonts w:hint="eastAsia" w:ascii="楷体" w:hAnsi="楷体" w:eastAsia="楷体"/>
          <w:b w:val="0"/>
          <w:bCs w:val="0"/>
          <w:color w:val="auto"/>
          <w:spacing w:val="-4"/>
          <w:sz w:val="32"/>
          <w:szCs w:val="32"/>
        </w:rPr>
        <w:tab/>
        <w:t>”指标，预期指标值为≧1700人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“享受城乡特困供养人数”指标，预期指标值为≧300人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“临时救助人次”指标，预期指标值为≧600人次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“救助孤儿数”指标，预期指标值为≧6人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“救助生活无着流浪乞讨人数”指标，预期指标值为≧4人次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“救助艾滋病病毒感染儿童人数”指标，预期指标值为≧1人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“事实无人抚养儿童”指标，预期指标值为≧2人</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②质量指标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“救助资金补助发放合格率”指标，预期指标值为=100%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③时效指标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“救助对象及时帮扶率”指标，预期指标值为=100%。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“资金支付及时率”指标，预期指标值为=100%。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“城乡低保全年支出总额”指标，预期指标值为≦800万元。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“特困对象全年支出总额”指标，预期指标值为≦280万元。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“全年支出孤儿生活费”指标，预期指标值为≦13万元。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“全年支出流浪乞讨救助人员资金”指标，预期指标值为≦10万元。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“全年支出临时救助总额”指标，预期指标值为≦179万元。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“全年事实无人抚养儿童资金总额”指标，预期指标值为≦2万元。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（2）项目效益目标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“政策知晓率”指标，预期指标值为≧90%。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保障困难群众基本生活”指标，预期指标值为好。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④可持续影响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不断完善困难群众救助补助机制指标，预期指标值为长期</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（3）满意度目标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“享受补助人员满意度”指标，预期指标值为≧95%。</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二、绩效评价工作开展情况</w:t>
      </w:r>
    </w:p>
    <w:p>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 绩效评价目的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遵循财政部《项目支出绩效评价管理办法》（财预〔2020〕10号）、自治区财政厅《自治区财政支出绩效评价管理暂行办法》（新财预〔2018〕189号）、《关于提前下达2022年中央财政困难群众救助补助资金预算的通知》（昌州财社〔2021〕77号）等相关政策文件与规定，旨在评价财政项目实施前期、过程及效果，评价财政预算资金使用的效率及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绩效评价对象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此次我单位根据《财政支出绩效评价管理暂行办法》（财预〔2020〕10号）文件要求对2022年度我单位实施的困难群众救助补助资金项目开展部门绩效评价，评价核心内容为项目资金、项目产出、项目效益。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绩效评价范围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（二）绩效评价原则、评价指标体系、评价方法、评价标准</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 绩效评价原则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困难群众救助补助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根据以上原则，本次绩效评价遵循的原则包括：</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（4）公开透明。绩效评价结果应依法依规公开，并自觉接受社会监督。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绩效评价指标体系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一级指标为：决策、过程、产出、效益。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绩效评价方法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 绩效评价标准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1.前期准备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单位于2023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向月华任评价组组长，主要负责确定绩效评价模板、总体协调沟通、全盘统筹、总体质量把关等工作。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钮鸿林任评价组副组长，主要负责绩效评价现场督导，对评价组成员的评价检查工作提供技术指导与支持，对实效评价工作质量把关。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陈姿含、萨吉达、嫦娥、热美拉、王琴辉任评价组成员，主要负责现场调研工作，完成收集整理资料、审核数据、填报绩效评价内容等工作。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2023年3月15日-3月18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3.分析评价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2023年3月18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4.撰写与提交评价报告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5.归集档案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三、综合评价情况及评价结论</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（一）综合评价情况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经评价，本项目达到了年初设立的绩效目标，2022年困难群众救助补助资金项目总体组织规范，完成了2022年困难群众救助补助资金项目的工作目标，在实施过程中取得了良好的成效，具体表现在以下两方面：</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 xml:space="preserve">在项目决策方面：严格按照《关于提前下达2022年中央财政困难群众救助补助资金预算的通知》（昌州财社〔2021〕77号）、2022年根据《关于提高全州困难群众基本生活救助标准的通知》（昌州民字〔2022〕50号）等文件要求，规范困难群众救助政策实施，合理确定保障标准，使困难群众基本生活得到有效保障。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管理方面：严格按照预算法及其实施条例、转移支付管理制度规定以及资金管理办法规定的时限要求分解下达；严格按照国库中支付制度有关规定支付资金，未出现违规将资金从国库转入财政专户或支付到预算单位实有资金账户等问题，严格按照下达预算的科目和项目执行，未出现截留、挤占、挪用或自调整等问题按照上级下达和本级预算安排的金额执行，不存在执行数偏离预算数较多的问题。</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项目产出方面：本项目实际支出1284万元，预算执行率100%，。项目资金主要用于支付城乡低保金 1341.9万元、特困供养救助448.3万元、临时救助272.6万元、孤儿生活费11.3万元、事实无人抚养儿童生活费2.2万元、流浪乞讨救助39.9万元。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（二）综合评价结论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31个，实现目标31个，完成率100%。项目决策指标共设置6个，满分指标6个，得分率100%；项目过程指标共设置5个，满分指标5个，得分率100%；项目产出指标共设置16个，满分指标16个，得分率100%；项目效益指标共设置4个，满分指标4个，得分率100%。</w:t>
      </w:r>
    </w:p>
    <w:p>
      <w:pPr>
        <w:spacing w:line="540" w:lineRule="exact"/>
        <w:ind w:firstLine="640"/>
        <w:rPr>
          <w:rStyle w:val="18"/>
          <w:rFonts w:ascii="黑体" w:hAnsi="黑体" w:eastAsia="黑体"/>
          <w:color w:val="auto"/>
        </w:rPr>
      </w:pPr>
      <w:r>
        <w:rPr>
          <w:rStyle w:val="18"/>
          <w:rFonts w:hint="eastAsia" w:ascii="黑体" w:hAnsi="黑体" w:eastAsia="黑体"/>
          <w:b w:val="0"/>
          <w:color w:val="auto"/>
          <w:spacing w:val="-4"/>
          <w:sz w:val="32"/>
          <w:szCs w:val="32"/>
        </w:rPr>
        <w:t>四、绩效评价指标分析</w:t>
      </w:r>
      <w:r>
        <w:rPr>
          <w:rStyle w:val="18"/>
          <w:rFonts w:hint="eastAsia" w:ascii="黑体" w:hAnsi="黑体" w:eastAsia="黑体"/>
          <w:color w:val="auto"/>
        </w:rPr>
        <w:t xml:space="preserve"> </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（一）</w:t>
      </w:r>
      <w:r>
        <w:rPr>
          <w:rStyle w:val="18"/>
          <w:rFonts w:hint="eastAsia" w:ascii="楷体" w:hAnsi="楷体" w:eastAsia="楷体"/>
          <w:color w:val="auto"/>
          <w:spacing w:val="-4"/>
          <w:sz w:val="32"/>
          <w:szCs w:val="32"/>
        </w:rPr>
        <w:t>项目决策情况</w:t>
      </w:r>
    </w:p>
    <w:p>
      <w:pPr>
        <w:tabs>
          <w:tab w:val="center" w:pos="4295"/>
        </w:tabs>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1.项目立项情况分析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（1）立项依据充分性：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立项符合《关于提前下达2022年中央财政困难群众救助补助资金预算的通知》（昌州财社〔2021〕77号）、2022年根据《关于提高全州困难群众基本生活救助标准的通知》（昌州民字〔2022〕50号）等相关政策；项目立项与吉木萨尔县民政局单位“开展困难群众救助工作”这一部门职责范围相符，属于部门履职所需；根据《财政资金直接支付申请书》，本项目资金性质为“中央直达资金和自治区资金”，功能分类为“社会保障和就业”，经济分类为“用于低保、特困供养人员救助供养、临时救助、流浪乞讨人员救助（含农村留守儿童、困境儿童、流浪乞讨儿童的应急处置、救助帮扶、监护支持、精神关爱等未成年保护支出）、孤儿基本生活保障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（2）立项程序规范性：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该项目按照规定的《关于提前下达2022年中央财政困难群众救助补助资金预算的通知》（昌州财社〔2021〕77号）的文件要求设立。综上，该指标满分3分，根据评分标准得3分，本项目立项程序合规。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2.绩效目标情况分析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（1）绩效目标合理性：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本项目已设置年度绩效目标，具体内容为“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艾滋病病毒感染儿童和事实无人抚养儿童生活基本得到保障。8.积极为走失、务工不着、家庭暴力受害者等离家在外的临时遇困人员提供救助。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本项目实际工作为：1.合理确定了低保标准，城市低保标准700元/月/人、农村低保标准8400元/年/人，使低保对象基本生活得到有效保障。2.合理确定了特困人员供养标准。城乡集中供养标准1035元/月/人，分散供养特困标准800元/月/人。3.全年临时救助1.9万人次，启动临时救助告知承诺办结制，疫情防控期间积极开发临时救助APP，规范实施临时救助政策，推进实现了及时高效、救急解难，使临时遇困人员得到及时救助。4.全年累计为4552名生活无着流浪乞讨人员得到了临时食宿、疾病救治、协助返回等救助，救助帮扶3000余名外来务工和返乡人员。 5.通过政府购买社会组织服务，督促乡镇督导员、村社区儿童主任对农村留守儿童、困境儿童等开展家庭监护支持、关心关爱等工作，从源头上预防未成年人外出流浪。6.提高了孤儿生活保障水平，集中养育标准1610元/月/人、分散养育标准1150元/月/人，孤儿生活保障政策规范高效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③本项目2022年度绩效目标已基本完成情况，预期产出效益和效果是符合正常的业绩水平。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④该项目批复的预算金额为1284万元，《财政项目支出绩效目标表》中预算金额为1284万元，预算确定的项目资金与预算确定的项目投资额相匹配。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综上所述，该指标满分4分，根据评分标准得4分，绩效目标设置合理。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（2）绩效指标明确性：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检查，我单位年初设置的《项目支出绩效目标表》，得出如下结论：本项目已将年度绩效目标进行细化为绩效指标体系，共设置一级指标3个，二级指标7个，三级指标20个，定量指标18个，定性指标2个，指标量化率为90%，量化率达70%以上。该《项目绩效目标申报表》中，数量指标指标值为“享受城乡低保对象人数”、“享受城乡特困对象人数”、“享受临时救助人次”、“救助孤儿人数”、“救助生活无着落流浪乞讨人数”、“救助艾滋病儿童人数”、“救助事实无人抚养儿童人数”，三级指标的年度指标值与年度绩效目标中任务数一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综上所述，本指标满分为3分，根据评分标准得3分，本项目所设置绩效指标明确。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3.资金投入情况分析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 xml:space="preserve">（1）预算编制科学性：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①本项目预算编制通过前期调研和类似项目对比分析，预算编制较科学且经过论证。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预算申请内容为1284万元，本项目资金主要用于支付低保、特困供养人员救助供养、临时救助、流浪乞讨人员救助（含农村留守儿童、困境儿童、流浪乞讨儿童的应急处置、救助帮扶、监护支持、精神关爱等未成年保护支出）、孤儿基本生活保障资金，预算申请与《困难群众救助补助资金项目实施方案》中涉及的项目内容匹配（或不完全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③本项目预算申请资金1284万元，我单位在预算申请中严格按照单位标准和数量进行核算，其中：支付城乡低保金 1341.9万元、特困供养救助448.3万元、临时救助272.6万元、孤儿生活费11.3万元、事实无人抚养儿童生活费2.2万元、流浪乞讨救助39.9万元。预算确定资金量与实际工作任务相匹配。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综上所述，本指标满分为4分，根据评分标准得4分，本项目预算编制科学。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（2）资金分配合理性：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①本项目实际分配资金以《关于提前下达2022年中央财政困难群众救助补助资金预算的通知》（昌州财社〔2021〕77号）文件为依据进行资金分配，预算资金分配依据充分。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根据《关于提前下达2022年中央财政困难群众救助补助资金预算的通知》（昌州财社〔2021〕77号）文件显示，本项目实际到位资金1284万元，实际分配资金与我单位提交申请的资金额度一致，资金分配额度合理，与我单位实际需求相适应。综上所述，本指标满分为2分，根据评分标准得2分，本项目资金分配合理。</w:t>
      </w:r>
      <w:r>
        <w:rPr>
          <w:rStyle w:val="18"/>
          <w:rFonts w:hint="eastAsia" w:ascii="楷体" w:hAnsi="楷体" w:eastAsia="楷体"/>
          <w:b w:val="0"/>
          <w:bCs w:val="0"/>
          <w:color w:val="auto"/>
          <w:spacing w:val="-4"/>
          <w:sz w:val="32"/>
          <w:szCs w:val="32"/>
        </w:rPr>
        <w:tab/>
      </w:r>
    </w:p>
    <w:p>
      <w:pPr>
        <w:spacing w:line="540" w:lineRule="exact"/>
        <w:ind w:firstLine="567" w:firstLineChars="181"/>
        <w:rPr>
          <w:rStyle w:val="18"/>
          <w:rFonts w:ascii="楷体" w:hAnsi="楷体" w:eastAsia="楷体"/>
          <w:color w:val="auto"/>
          <w:spacing w:val="-4"/>
          <w:sz w:val="32"/>
          <w:szCs w:val="32"/>
        </w:rPr>
      </w:pPr>
      <w:r>
        <w:rPr>
          <w:rFonts w:hint="eastAsia" w:ascii="楷体" w:hAnsi="楷体" w:eastAsia="楷体"/>
          <w:b/>
          <w:color w:val="auto"/>
          <w:spacing w:val="-4"/>
          <w:sz w:val="32"/>
          <w:szCs w:val="32"/>
        </w:rPr>
        <w:t>（二）</w:t>
      </w:r>
      <w:r>
        <w:rPr>
          <w:rStyle w:val="18"/>
          <w:rFonts w:hint="eastAsia" w:ascii="楷体" w:hAnsi="楷体" w:eastAsia="楷体"/>
          <w:color w:val="auto"/>
          <w:spacing w:val="-4"/>
          <w:sz w:val="32"/>
          <w:szCs w:val="32"/>
        </w:rPr>
        <w:t>项目过程情况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1.资金管理情况分析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（1）资金到位率：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本项目预算资金为1284万元，实际到位资金1284万元，资金到位率=（实际到位资金/预算资金）×100%=100%。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综上所述，本指标满分为4分，根据评分标准得4分,本项目资金到位率为100%。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（2）预算执行率：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本项目到资金为1284万元，实际支出资金1284万元，预算执行率=（实际支出资金/实际到位资金）×100%=（1284/1284）×100%=100%。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综上所述，本指标满分为5分，根据评分标准得5分,本项目预算执行率为100%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（3）资金使用合规性：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检查，本项目合同、财务支出凭证等资料，本项目资金使用符合国家财经法规、《政府会计制度》以及《吉木萨尔县民政局资金管理办法》，资金的拨付有完整的审批程序和手续，资金实际使用方向与预算批复用途一致，不存在截留、挤占、挪用、虚列支出的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综上所述，本指标满分为4分，根据评分标准得4分,本项目资金使用合规。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（4）管理制度健全性：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已制定《关于提前下达2022年中央财政困难群众救助补助资金预算的通知》（昌州财社〔2021〕77号）等，上述已建立的制度均符合行政事业单位内控管理要求，财务和业务管理制度合法、合规、完整，本项目执行符合上述制度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综上所述，本指标满分为2分，根据评分标准得2分,本项目管理制度健全。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（5）制度执行有效性：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该项目的实施符合《关于提前下达2022年中央财政困难群众救助补助资金预算的通知》（昌州财社〔2021〕77号）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②经现场查证项目合同书、验收评审表、财务支付凭证等资料齐全并及时归档。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③本项目不存在调整。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（三）</w:t>
      </w:r>
      <w:r>
        <w:rPr>
          <w:rStyle w:val="18"/>
          <w:rFonts w:hint="eastAsia" w:ascii="楷体" w:hAnsi="楷体" w:eastAsia="楷体"/>
          <w:color w:val="auto"/>
          <w:spacing w:val="-4"/>
          <w:sz w:val="32"/>
          <w:szCs w:val="32"/>
        </w:rPr>
        <w:t>项目产出情况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（三）项目产出情况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项目产出类指标包括产出数量、产出质量、产出时效、产出成本四方面的内容，由项目产出类指标由4个二级指标和16个三级指标构成，权重分为30分，实际得分30分，得分率为100%。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1.数量指标完成情况分析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“享受城乡低保对象人数”指标：预期指标值为≥1700人，实际完成指标值为1758人，指标完成率为100%。本指标满分为2分，根据评分标准，该指标得2分。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“享受城乡特困供养人数”指标：预期指标值为≥300人，实际完成指标值为319人，指标完成率为100%。本指标满分为2分，根据评分标准，该指标得2分。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“临时救助人次”指标：预期指标值为≥600人次，实际完成指标值为2047人次，指标完成率为100%。本指标满分为2分，根据评分标准，该指标得2分。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“救助孤儿数”指标：预期指标值为≥6人，实际完成指标值为7人，指标完成率为100%。本指标满分为2分，根据评分标准，该指标得2分。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“救助生活无着落流浪乞讨人数”指标：预期指标值为≥4人，实际完成指标值为4人，指标完成率为100%。本指标满分为2分，根据评分标准，该指标得2分。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“救助艾滋病儿童人数”指标：预期指标值为≥1人，实际完成指标值为1人，指标完成率为100%。本指标满分为2分，根据评分标准，该指标得2分。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“救助事实无人抚养儿童人数”指标：预期指标值为≥2人，实际完成指标值为2人，指标完成率为100%。本指标满分为2分，根据评分标准，该指标得2分。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2.质量指标完成情况分析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“救助资金补助发放合规率”指标：预期指标值为100%，实际完成指标值为100%，指标完成率为100%。本指标满分为2分，根据评分标准，该指标得2分。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3.时效指标完成情况分析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“救助对象及时帮扶率”指标：预期指标值为100%，实际完成指标值为100%，指标完成率为100%。本指标满分为1分，根据评分标准，该指标得1分。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“资金支付及时率”指标：预期指标值为100%，实际完成指标值为100%，指标完成率为100%。本指标满分为1分，根据评分标准，该指标得1分。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4.成本指标完成情况分析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“城乡低保全年支出总额”指标：预期指标值为≤800万元，实际完成指标值为800万元，指标完成率为100%。本指标满分为2分，根据评分标准，该指标得2分。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“特困对象全年支出总额”指标：预期指标值为≤280万元，实际完成指标值为280万元，指标完成率为100%。本指标满分为2分，根据评分标准，该指标得2分。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“全年支出孤儿生活费”指标：预期指标值为≤13万元，实际完成指标值为13万元，指标完成率为100%，本指标满分为2分，根据评分标准，该指标得2分。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“全年支出流浪乞讨救助人员资金”指标：预期指标值为≤10万元，实际完成指标值为10万元，指标完成率为100%。本指标满分为2分，根据评分标准，该指标得2分。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“全年支出临时救助总额”指标：预期指标值为≤179万元，实际完成指标值为179万元，指标完成率为100%。本指标满分为2分，根据评分标准，该指标得2分。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“全年事实无人抚养儿童资金总额”指标：预期指标值为≤2万元，实际完成指标值为2万元，指标完成率为100%。本指标满分为2分，根据评分标准，该指标得2分。</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（四）</w:t>
      </w:r>
      <w:r>
        <w:rPr>
          <w:rStyle w:val="18"/>
          <w:rFonts w:hint="eastAsia" w:ascii="楷体" w:hAnsi="楷体" w:eastAsia="楷体"/>
          <w:color w:val="auto"/>
          <w:spacing w:val="-4"/>
          <w:sz w:val="32"/>
          <w:szCs w:val="32"/>
        </w:rPr>
        <w:t>项目效益情况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（四）项目效益情况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项目效益类指标由3个二级指标和4个三级指标构成，权重分为30分，实际得分30分，得分率为100%。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1.经济效益指标完成情况分析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本项目无该指标。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2.可持续影响指标完成情况分析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“不断完善困难群众救助补助机制”指标：预期指标值为长期，实际完成指标值为达成年度指标，指标完成率为100%。本指标满分为8分，根据评分标准，该指标得8分。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3.社会效益指标完成情况分析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“保障困难群众基本生活”指标：预期指标值为好，实际完成指标值为达成年度指标，指标完成率为100%。本指标满分为7分，根据评分标准，该指标得7分。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“救助政策知晓率”指标：预期指标值为≥90%，实际完成指标值为90%，指标完成率为100%。本指标满分为7分，根据评分标准，该指标得7分。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4.生态效益指标完成情况分析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本项目无该指标。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5.满意度指标完成情况分析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“享受救助人员满意度”指标：预期指标值为≥95%，实际完成指标值为95%，指标完成率为100%。本指标满分为8分，根据评分标准，该指标得8分。</w:t>
      </w:r>
    </w:p>
    <w:p>
      <w:pPr>
        <w:spacing w:line="540" w:lineRule="exact"/>
        <w:ind w:firstLine="567"/>
        <w:rPr>
          <w:rStyle w:val="18"/>
          <w:rFonts w:ascii="楷体" w:hAnsi="楷体" w:eastAsia="楷体"/>
          <w:color w:val="auto"/>
          <w:spacing w:val="-4"/>
          <w:sz w:val="32"/>
          <w:szCs w:val="32"/>
        </w:rPr>
      </w:pP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五、主要经验及做法、存在的问题及原因分析</w:t>
      </w:r>
    </w:p>
    <w:p>
      <w:pPr>
        <w:spacing w:line="540" w:lineRule="exact"/>
        <w:ind w:firstLine="567"/>
        <w:rPr>
          <w:rFonts w:ascii="仿宋_GB2312" w:eastAsia="仿宋_GB2312"/>
          <w:color w:val="auto"/>
          <w:spacing w:val="-4"/>
          <w:sz w:val="32"/>
          <w:szCs w:val="32"/>
        </w:rPr>
      </w:pPr>
      <w:r>
        <w:rPr>
          <w:rStyle w:val="18"/>
          <w:rFonts w:hint="eastAsia" w:ascii="楷体" w:hAnsi="楷体" w:eastAsia="楷体"/>
          <w:b w:val="0"/>
          <w:bCs w:val="0"/>
          <w:color w:val="auto"/>
          <w:spacing w:val="-4"/>
          <w:sz w:val="32"/>
          <w:szCs w:val="32"/>
        </w:rPr>
        <w:t>（一）主要经验及做法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强化动态管理，积极宣传政策，扩大社会知晓率，同时接受社会和群众监督。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（二）存在问题及原因分析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六、有关建议</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b w:val="0"/>
          <w:bCs w:val="0"/>
          <w:color w:val="auto"/>
          <w:spacing w:val="-4"/>
          <w:sz w:val="32"/>
          <w:szCs w:val="32"/>
        </w:rPr>
        <w:t>无</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七、其他需要说明的问题</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bookmarkEnd w:id="0"/>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6DF70A6D"/>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2023-10-18T05:25:11Z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