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outlineLvl w:val="0"/>
        <w:rPr>
          <w:rFonts w:ascii="宋体" w:hAnsi="宋体" w:eastAsia="宋体" w:cs="宋体"/>
          <w:bCs/>
          <w:kern w:val="36"/>
          <w:sz w:val="32"/>
          <w:szCs w:val="32"/>
        </w:rPr>
      </w:pPr>
      <w:r>
        <w:rPr>
          <w:rFonts w:hint="eastAsia" w:ascii="宋体" w:hAnsi="宋体" w:eastAsia="宋体" w:cs="宋体"/>
          <w:bCs/>
          <w:kern w:val="36"/>
          <w:sz w:val="32"/>
          <w:szCs w:val="32"/>
        </w:rPr>
        <w:t>附件1：</w:t>
      </w:r>
    </w:p>
    <w:p>
      <w:pPr>
        <w:widowControl/>
        <w:jc w:val="center"/>
        <w:outlineLvl w:val="0"/>
        <w:rPr>
          <w:rFonts w:ascii="方正小标宋简体" w:eastAsia="方正小标宋简体" w:cs="Times New Roman"/>
          <w:bCs/>
          <w:kern w:val="36"/>
          <w:sz w:val="32"/>
          <w:szCs w:val="32"/>
        </w:rPr>
      </w:pPr>
      <w:r>
        <w:rPr>
          <w:rFonts w:hint="eastAsia" w:ascii="方正小标宋简体" w:hAnsi="宋体" w:eastAsia="方正小标宋简体" w:cs="宋体"/>
          <w:bCs/>
          <w:kern w:val="36"/>
          <w:sz w:val="32"/>
          <w:szCs w:val="32"/>
        </w:rPr>
        <w:t>关于20</w:t>
      </w:r>
      <w:r>
        <w:rPr>
          <w:rFonts w:hint="eastAsia" w:ascii="方正小标宋简体" w:hAnsi="宋体" w:eastAsia="方正小标宋简体" w:cs="宋体"/>
          <w:bCs/>
          <w:kern w:val="36"/>
          <w:sz w:val="32"/>
          <w:szCs w:val="32"/>
          <w:lang w:val="en-US" w:eastAsia="zh-CN"/>
        </w:rPr>
        <w:t>22</w:t>
      </w:r>
      <w:r>
        <w:rPr>
          <w:rFonts w:hint="eastAsia" w:ascii="方正小标宋简体" w:hAnsi="宋体" w:eastAsia="方正小标宋简体" w:cs="宋体"/>
          <w:bCs/>
          <w:kern w:val="36"/>
          <w:sz w:val="32"/>
          <w:szCs w:val="32"/>
          <w:lang w:eastAsia="zh-CN"/>
        </w:rPr>
        <w:t>年吉木萨尔县</w:t>
      </w:r>
      <w:r>
        <w:rPr>
          <w:rFonts w:hint="eastAsia" w:ascii="方正小标宋简体" w:hAnsi="宋体" w:eastAsia="方正小标宋简体" w:cs="宋体"/>
          <w:bCs/>
          <w:kern w:val="36"/>
          <w:sz w:val="32"/>
          <w:szCs w:val="32"/>
        </w:rPr>
        <w:t>社会保险基金决算的说明</w:t>
      </w:r>
    </w:p>
    <w:p>
      <w:pPr>
        <w:widowControl/>
        <w:ind w:firstLine="480"/>
        <w:jc w:val="left"/>
        <w:rPr>
          <w:rFonts w:ascii="仿宋_GB2312" w:eastAsia="仿宋_GB2312" w:cs="Times New Roman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吉木萨尔县社会保险管理局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关于20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吉木萨尔县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社会保险基金决算的报告已报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吉木萨尔县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人民政府和人大同意，现将有关情况公布如下：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吉木萨尔县</w:t>
      </w:r>
      <w:r>
        <w:rPr>
          <w:rFonts w:hint="eastAsia" w:ascii="仿宋_GB2312" w:eastAsia="仿宋_GB2312"/>
          <w:sz w:val="32"/>
          <w:szCs w:val="32"/>
        </w:rPr>
        <w:t>社会保险基金</w:t>
      </w:r>
      <w:r>
        <w:rPr>
          <w:rFonts w:hint="eastAsia" w:ascii="仿宋_GB2312" w:eastAsia="仿宋_GB2312"/>
          <w:sz w:val="32"/>
          <w:szCs w:val="32"/>
          <w:lang w:eastAsia="zh-CN"/>
        </w:rPr>
        <w:t>（城乡居民养老保险和机关事业单位养老保险）</w:t>
      </w:r>
      <w:r>
        <w:rPr>
          <w:rFonts w:hint="eastAsia" w:ascii="仿宋_GB2312" w:eastAsia="仿宋_GB2312"/>
          <w:sz w:val="32"/>
          <w:szCs w:val="32"/>
        </w:rPr>
        <w:t>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2.51</w:t>
      </w:r>
      <w:r>
        <w:rPr>
          <w:rFonts w:hint="eastAsia" w:ascii="仿宋_GB2312" w:eastAsia="仿宋_GB2312"/>
          <w:sz w:val="32"/>
          <w:szCs w:val="32"/>
        </w:rPr>
        <w:t>亿元（决算报表中“小计数”，不含上下级往来，下同），支出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2.29</w:t>
      </w:r>
      <w:r>
        <w:rPr>
          <w:rFonts w:hint="eastAsia" w:ascii="仿宋_GB2312" w:eastAsia="仿宋_GB2312"/>
          <w:sz w:val="32"/>
          <w:szCs w:val="32"/>
        </w:rPr>
        <w:t>亿元，本年收支结余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0.22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亿</w:t>
      </w:r>
      <w:r>
        <w:rPr>
          <w:rFonts w:hint="eastAsia" w:ascii="仿宋_GB2312" w:eastAsia="仿宋_GB2312"/>
          <w:sz w:val="32"/>
          <w:szCs w:val="32"/>
        </w:rPr>
        <w:t>元，年末滚存结余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1.59</w:t>
      </w:r>
      <w:r>
        <w:rPr>
          <w:rFonts w:hint="eastAsia" w:ascii="仿宋_GB2312" w:eastAsia="仿宋_GB2312"/>
          <w:sz w:val="32"/>
          <w:szCs w:val="32"/>
        </w:rPr>
        <w:t>亿元。分项情况如下：</w:t>
      </w:r>
    </w:p>
    <w:p>
      <w:pPr>
        <w:spacing w:line="560" w:lineRule="exact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一、机关事业单位养老保险基金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本年收入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1.99</w:t>
      </w:r>
      <w:r>
        <w:rPr>
          <w:rFonts w:hint="eastAsia" w:ascii="仿宋_GB2312" w:eastAsia="仿宋_GB2312"/>
          <w:sz w:val="32"/>
          <w:szCs w:val="32"/>
        </w:rPr>
        <w:t>亿元，其中：基本养老保险费收入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0.93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亿</w:t>
      </w:r>
      <w:r>
        <w:rPr>
          <w:rFonts w:hint="eastAsia" w:ascii="仿宋_GB2312" w:eastAsia="仿宋_GB2312"/>
          <w:sz w:val="32"/>
          <w:szCs w:val="32"/>
        </w:rPr>
        <w:t>元，财政补助收入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0.91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亿</w:t>
      </w:r>
      <w:r>
        <w:rPr>
          <w:rFonts w:hint="eastAsia" w:ascii="仿宋_GB2312" w:eastAsia="仿宋_GB2312"/>
          <w:sz w:val="32"/>
          <w:szCs w:val="32"/>
        </w:rPr>
        <w:t>元。本年支出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1.93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亿</w:t>
      </w:r>
      <w:r>
        <w:rPr>
          <w:rFonts w:hint="eastAsia" w:ascii="仿宋_GB2312" w:eastAsia="仿宋_GB2312"/>
          <w:sz w:val="32"/>
          <w:szCs w:val="32"/>
        </w:rPr>
        <w:t>元，其中：养老保险待遇支出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1.93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亿</w:t>
      </w:r>
      <w:r>
        <w:rPr>
          <w:rFonts w:hint="eastAsia" w:ascii="仿宋_GB2312" w:eastAsia="仿宋_GB2312"/>
          <w:sz w:val="32"/>
          <w:szCs w:val="32"/>
        </w:rPr>
        <w:t>元。本年收支结余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0.06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亿</w:t>
      </w:r>
      <w:r>
        <w:rPr>
          <w:rFonts w:hint="eastAsia" w:ascii="仿宋_GB2312" w:eastAsia="仿宋_GB2312"/>
          <w:sz w:val="32"/>
          <w:szCs w:val="32"/>
        </w:rPr>
        <w:t>元，年末累计结余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0.2</w:t>
      </w:r>
      <w:r>
        <w:rPr>
          <w:rFonts w:hint="eastAsia" w:ascii="仿宋_GB2312" w:eastAsia="仿宋_GB2312"/>
          <w:sz w:val="32"/>
          <w:szCs w:val="32"/>
        </w:rPr>
        <w:t>元。</w:t>
      </w:r>
    </w:p>
    <w:p>
      <w:pPr>
        <w:spacing w:line="560" w:lineRule="exact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  <w:lang w:eastAsia="zh-CN"/>
        </w:rPr>
        <w:t>二</w:t>
      </w:r>
      <w:r>
        <w:rPr>
          <w:rFonts w:hint="eastAsia" w:ascii="黑体" w:eastAsia="黑体"/>
          <w:sz w:val="32"/>
          <w:szCs w:val="32"/>
        </w:rPr>
        <w:t>、城乡居民基本养老保险基金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本年收入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0.52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亿</w:t>
      </w:r>
      <w:r>
        <w:rPr>
          <w:rFonts w:hint="eastAsia" w:ascii="仿宋_GB2312" w:eastAsia="仿宋_GB2312"/>
          <w:sz w:val="32"/>
          <w:szCs w:val="32"/>
        </w:rPr>
        <w:t>元，其中：保险费收入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0.15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亿</w:t>
      </w:r>
      <w:r>
        <w:rPr>
          <w:rFonts w:hint="eastAsia" w:ascii="仿宋_GB2312" w:eastAsia="仿宋_GB2312"/>
          <w:sz w:val="32"/>
          <w:szCs w:val="32"/>
        </w:rPr>
        <w:t>元，财政补助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0.33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亿</w:t>
      </w:r>
      <w:r>
        <w:rPr>
          <w:rFonts w:hint="eastAsia" w:ascii="仿宋_GB2312" w:eastAsia="仿宋_GB2312"/>
          <w:sz w:val="32"/>
          <w:szCs w:val="32"/>
        </w:rPr>
        <w:t>元。本年支出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0.36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亿</w:t>
      </w:r>
      <w:r>
        <w:rPr>
          <w:rFonts w:hint="eastAsia" w:ascii="仿宋_GB2312" w:eastAsia="仿宋_GB2312"/>
          <w:sz w:val="32"/>
          <w:szCs w:val="32"/>
        </w:rPr>
        <w:t>元，其中：养老待遇支出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0.36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亿</w:t>
      </w:r>
      <w:r>
        <w:rPr>
          <w:rFonts w:hint="eastAsia" w:ascii="仿宋_GB2312" w:eastAsia="仿宋_GB2312"/>
          <w:sz w:val="32"/>
          <w:szCs w:val="32"/>
        </w:rPr>
        <w:t>元。本年收支结余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0.16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亿</w:t>
      </w:r>
      <w:r>
        <w:rPr>
          <w:rFonts w:hint="eastAsia" w:ascii="仿宋_GB2312" w:eastAsia="仿宋_GB2312"/>
          <w:sz w:val="32"/>
          <w:szCs w:val="32"/>
        </w:rPr>
        <w:t>元，年末累计结余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1.39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亿</w:t>
      </w:r>
      <w:r>
        <w:rPr>
          <w:rFonts w:hint="eastAsia" w:ascii="仿宋_GB2312" w:eastAsia="仿宋_GB2312"/>
          <w:sz w:val="32"/>
          <w:szCs w:val="32"/>
        </w:rPr>
        <w:t>元。</w:t>
      </w:r>
      <w:bookmarkStart w:id="0" w:name="_GoBack"/>
      <w:bookmarkEnd w:id="0"/>
    </w:p>
    <w:p>
      <w:pPr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（详见附表）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1D7432C3"/>
    <w:rsid w:val="214E2906"/>
    <w:rsid w:val="59AC36C1"/>
    <w:rsid w:val="618B21A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0"/>
    <w:pPr>
      <w:tabs>
        <w:tab w:val="center" w:pos="4153"/>
        <w:tab w:val="right" w:pos="8306"/>
      </w:tabs>
      <w:snapToGrid w:val="0"/>
      <w:jc w:val="left"/>
    </w:pPr>
    <w:rPr>
      <w:rFonts w:cs="Calibri"/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cs="Calibri"/>
      <w:sz w:val="18"/>
      <w:szCs w:val="18"/>
    </w:rPr>
  </w:style>
  <w:style w:type="character" w:customStyle="1" w:styleId="6">
    <w:name w:val="页脚 Char"/>
    <w:basedOn w:val="5"/>
    <w:link w:val="2"/>
    <w:semiHidden/>
    <w:uiPriority w:val="0"/>
    <w:rPr>
      <w:rFonts w:cs="Calibri"/>
      <w:sz w:val="18"/>
      <w:szCs w:val="18"/>
    </w:rPr>
  </w:style>
  <w:style w:type="character" w:customStyle="1" w:styleId="7">
    <w:name w:val="页眉 Char"/>
    <w:basedOn w:val="5"/>
    <w:link w:val="3"/>
    <w:semiHidden/>
    <w:uiPriority w:val="0"/>
    <w:rPr>
      <w:rFonts w:cs="Calibri"/>
      <w:sz w:val="18"/>
      <w:szCs w:val="18"/>
    </w:rPr>
  </w:style>
  <w:style w:type="paragraph" w:customStyle="1" w:styleId="8">
    <w:name w:val="批注框文本 Char Char"/>
    <w:basedOn w:val="1"/>
    <w:link w:val="9"/>
    <w:uiPriority w:val="0"/>
    <w:rPr>
      <w:sz w:val="2"/>
      <w:szCs w:val="2"/>
    </w:rPr>
  </w:style>
  <w:style w:type="character" w:customStyle="1" w:styleId="9">
    <w:name w:val="批注框文本 Char Char Char Char"/>
    <w:basedOn w:val="5"/>
    <w:link w:val="8"/>
    <w:semiHidden/>
    <w:uiPriority w:val="0"/>
    <w:rPr>
      <w:sz w:val="2"/>
      <w:szCs w:val="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中国石油大学</Company>
  <Pages>3</Pages>
  <Words>175</Words>
  <Characters>1001</Characters>
  <Lines>8</Lines>
  <Paragraphs>2</Paragraphs>
  <TotalTime>38</TotalTime>
  <ScaleCrop>false</ScaleCrop>
  <LinksUpToDate>false</LinksUpToDate>
  <CharactersWithSpaces>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2018-01-05T04:05:00Z</dcterms:created>
  <dc:creator>sbc</dc:creator>
  <cp:lastModifiedBy>lenovo</cp:lastModifiedBy>
  <cp:lastPrinted>2018-03-07T03:44:00Z</cp:lastPrinted>
  <dcterms:modified xsi:type="dcterms:W3CDTF">2023-09-12T04:15:15Z</dcterms:modified>
  <dc:title>admin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95A5EE7821904D8E800098F48C30D8AF</vt:lpwstr>
  </property>
</Properties>
</file>