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80" w:lineRule="auto"/>
        <w:jc w:val="left"/>
        <w:rPr>
          <w:rFonts w:hint="eastAsia" w:ascii="仿宋_GB2312" w:hAnsi="仿宋_GB2312" w:eastAsia="仿宋_GB2312" w:cs="仿宋_GB2312"/>
          <w:color w:val="auto"/>
          <w:sz w:val="32"/>
          <w:szCs w:val="32"/>
          <w:highlight w:val="none"/>
          <w:lang w:bidi="ar"/>
        </w:rPr>
      </w:pPr>
    </w:p>
    <w:p>
      <w:pPr>
        <w:spacing w:line="540" w:lineRule="exact"/>
        <w:jc w:val="center"/>
        <w:rPr>
          <w:rFonts w:hint="eastAsia" w:ascii="仿宋_GB2312" w:hAnsi="仿宋_GB2312" w:eastAsia="仿宋_GB2312" w:cs="仿宋_GB2312"/>
          <w:b/>
          <w:color w:val="auto"/>
          <w:kern w:val="0"/>
          <w:sz w:val="32"/>
          <w:szCs w:val="32"/>
          <w:highlight w:val="none"/>
        </w:rPr>
      </w:pPr>
    </w:p>
    <w:p>
      <w:pPr>
        <w:spacing w:line="540" w:lineRule="exact"/>
        <w:jc w:val="center"/>
        <w:rPr>
          <w:rFonts w:hint="eastAsia" w:ascii="仿宋_GB2312" w:hAnsi="仿宋_GB2312" w:eastAsia="仿宋_GB2312" w:cs="仿宋_GB2312"/>
          <w:b/>
          <w:color w:val="auto"/>
          <w:kern w:val="0"/>
          <w:sz w:val="32"/>
          <w:szCs w:val="32"/>
          <w:highlight w:val="none"/>
        </w:rPr>
      </w:pPr>
    </w:p>
    <w:p>
      <w:pPr>
        <w:spacing w:line="540" w:lineRule="exact"/>
        <w:jc w:val="center"/>
        <w:rPr>
          <w:rFonts w:hint="eastAsia" w:ascii="仿宋_GB2312" w:hAnsi="仿宋_GB2312" w:eastAsia="仿宋_GB2312" w:cs="仿宋_GB2312"/>
          <w:b/>
          <w:color w:val="auto"/>
          <w:kern w:val="0"/>
          <w:sz w:val="32"/>
          <w:szCs w:val="32"/>
          <w:highlight w:val="none"/>
        </w:rPr>
      </w:pPr>
    </w:p>
    <w:p>
      <w:pPr>
        <w:spacing w:line="540" w:lineRule="exact"/>
        <w:rPr>
          <w:rFonts w:hint="eastAsia" w:ascii="仿宋_GB2312" w:hAnsi="仿宋_GB2312" w:eastAsia="仿宋_GB2312" w:cs="仿宋_GB2312"/>
          <w:b/>
          <w:color w:val="auto"/>
          <w:kern w:val="0"/>
          <w:sz w:val="32"/>
          <w:szCs w:val="32"/>
          <w:highlight w:val="none"/>
        </w:rPr>
      </w:pPr>
    </w:p>
    <w:p>
      <w:pPr>
        <w:spacing w:line="360" w:lineRule="auto"/>
        <w:ind w:left="0" w:leftChars="0" w:firstLine="0" w:firstLineChars="0"/>
        <w:jc w:val="center"/>
        <w:outlineLvl w:val="0"/>
        <w:rPr>
          <w:rFonts w:hint="eastAsia" w:ascii="黑体" w:hAnsi="黑体" w:eastAsia="黑体" w:cs="黑体"/>
          <w:b/>
          <w:color w:val="auto"/>
          <w:kern w:val="0"/>
          <w:sz w:val="52"/>
          <w:szCs w:val="52"/>
          <w:highlight w:val="none"/>
        </w:rPr>
      </w:pPr>
      <w:r>
        <w:rPr>
          <w:rFonts w:hint="eastAsia" w:ascii="黑体" w:hAnsi="黑体" w:eastAsia="黑体" w:cs="黑体"/>
          <w:b/>
          <w:color w:val="auto"/>
          <w:kern w:val="0"/>
          <w:sz w:val="52"/>
          <w:szCs w:val="52"/>
          <w:highlight w:val="none"/>
          <w:lang w:val="en-US" w:eastAsia="zh-CN"/>
        </w:rPr>
        <w:t>吉木萨尔县</w:t>
      </w:r>
      <w:r>
        <w:rPr>
          <w:rFonts w:hint="eastAsia" w:ascii="黑体" w:hAnsi="黑体" w:eastAsia="黑体" w:cs="黑体"/>
          <w:b/>
          <w:color w:val="auto"/>
          <w:kern w:val="0"/>
          <w:sz w:val="52"/>
          <w:szCs w:val="52"/>
          <w:highlight w:val="none"/>
        </w:rPr>
        <w:t>部门单位整体支出绩效</w:t>
      </w:r>
    </w:p>
    <w:p>
      <w:pPr>
        <w:spacing w:line="360" w:lineRule="auto"/>
        <w:ind w:left="0" w:leftChars="0" w:firstLine="0" w:firstLineChars="0"/>
        <w:jc w:val="center"/>
        <w:outlineLvl w:val="0"/>
        <w:rPr>
          <w:rFonts w:hint="eastAsia" w:ascii="黑体" w:hAnsi="黑体" w:eastAsia="黑体" w:cs="黑体"/>
          <w:b/>
          <w:color w:val="auto"/>
          <w:kern w:val="0"/>
          <w:sz w:val="52"/>
          <w:szCs w:val="52"/>
          <w:highlight w:val="none"/>
        </w:rPr>
      </w:pPr>
      <w:r>
        <w:rPr>
          <w:rFonts w:hint="eastAsia" w:ascii="黑体" w:hAnsi="黑体" w:eastAsia="黑体" w:cs="黑体"/>
          <w:b/>
          <w:color w:val="auto"/>
          <w:kern w:val="0"/>
          <w:sz w:val="52"/>
          <w:szCs w:val="52"/>
          <w:highlight w:val="none"/>
        </w:rPr>
        <w:t>自评报告</w:t>
      </w:r>
    </w:p>
    <w:p>
      <w:pPr>
        <w:bidi w:val="0"/>
        <w:ind w:left="0" w:leftChars="0" w:firstLine="0" w:firstLineChars="0"/>
        <w:jc w:val="center"/>
        <w:rPr>
          <w:rFonts w:hint="eastAsia"/>
          <w:color w:val="auto"/>
        </w:rPr>
      </w:pPr>
      <w:r>
        <w:rPr>
          <w:rFonts w:hint="eastAsia"/>
          <w:color w:val="auto"/>
        </w:rPr>
        <w:t>（</w:t>
      </w:r>
      <w:r>
        <w:rPr>
          <w:rFonts w:hint="eastAsia"/>
          <w:color w:val="auto"/>
          <w:lang w:eastAsia="zh-CN"/>
        </w:rPr>
        <w:t>202</w:t>
      </w:r>
      <w:r>
        <w:rPr>
          <w:rFonts w:hint="eastAsia"/>
          <w:color w:val="auto"/>
          <w:lang w:val="en-US" w:eastAsia="zh-CN"/>
        </w:rPr>
        <w:t>3</w:t>
      </w:r>
      <w:r>
        <w:rPr>
          <w:rFonts w:hint="eastAsia"/>
          <w:color w:val="auto"/>
        </w:rPr>
        <w:t>年度）</w:t>
      </w:r>
    </w:p>
    <w:p>
      <w:pPr>
        <w:spacing w:line="540" w:lineRule="exact"/>
        <w:jc w:val="center"/>
        <w:rPr>
          <w:rFonts w:hint="eastAsia" w:ascii="仿宋_GB2312" w:hAnsi="仿宋_GB2312" w:eastAsia="仿宋_GB2312" w:cs="仿宋_GB2312"/>
          <w:color w:val="auto"/>
          <w:kern w:val="0"/>
          <w:sz w:val="32"/>
          <w:szCs w:val="32"/>
          <w:highlight w:val="none"/>
        </w:rPr>
      </w:pPr>
    </w:p>
    <w:p>
      <w:pPr>
        <w:spacing w:line="540" w:lineRule="exact"/>
        <w:jc w:val="center"/>
        <w:rPr>
          <w:rFonts w:hint="eastAsia" w:ascii="仿宋_GB2312" w:hAnsi="仿宋_GB2312" w:eastAsia="仿宋_GB2312" w:cs="仿宋_GB2312"/>
          <w:color w:val="auto"/>
          <w:kern w:val="0"/>
          <w:sz w:val="32"/>
          <w:szCs w:val="32"/>
          <w:highlight w:val="none"/>
        </w:rPr>
      </w:pPr>
    </w:p>
    <w:p>
      <w:pPr>
        <w:spacing w:line="540" w:lineRule="exact"/>
        <w:jc w:val="center"/>
        <w:rPr>
          <w:rFonts w:hint="eastAsia" w:ascii="仿宋_GB2312" w:hAnsi="仿宋_GB2312" w:eastAsia="仿宋_GB2312" w:cs="仿宋_GB2312"/>
          <w:color w:val="auto"/>
          <w:kern w:val="0"/>
          <w:sz w:val="32"/>
          <w:szCs w:val="32"/>
          <w:highlight w:val="none"/>
        </w:rPr>
      </w:pPr>
    </w:p>
    <w:p>
      <w:pPr>
        <w:spacing w:line="540" w:lineRule="exact"/>
        <w:jc w:val="center"/>
        <w:rPr>
          <w:rFonts w:hint="eastAsia" w:ascii="仿宋_GB2312" w:hAnsi="仿宋_GB2312" w:eastAsia="仿宋_GB2312" w:cs="仿宋_GB2312"/>
          <w:color w:val="auto"/>
          <w:kern w:val="0"/>
          <w:sz w:val="32"/>
          <w:szCs w:val="32"/>
          <w:highlight w:val="none"/>
        </w:rPr>
      </w:pPr>
    </w:p>
    <w:p>
      <w:pPr>
        <w:spacing w:line="540" w:lineRule="exact"/>
        <w:jc w:val="center"/>
        <w:rPr>
          <w:rFonts w:hint="eastAsia" w:ascii="仿宋_GB2312" w:hAnsi="仿宋_GB2312" w:eastAsia="仿宋_GB2312" w:cs="仿宋_GB2312"/>
          <w:color w:val="auto"/>
          <w:kern w:val="0"/>
          <w:sz w:val="32"/>
          <w:szCs w:val="32"/>
          <w:highlight w:val="none"/>
        </w:rPr>
      </w:pPr>
    </w:p>
    <w:p>
      <w:pPr>
        <w:spacing w:line="540" w:lineRule="exact"/>
        <w:jc w:val="center"/>
        <w:rPr>
          <w:rFonts w:hint="eastAsia" w:ascii="仿宋_GB2312" w:hAnsi="仿宋_GB2312" w:eastAsia="仿宋_GB2312" w:cs="仿宋_GB2312"/>
          <w:color w:val="auto"/>
          <w:kern w:val="0"/>
          <w:sz w:val="32"/>
          <w:szCs w:val="32"/>
          <w:highlight w:val="none"/>
        </w:rPr>
      </w:pPr>
    </w:p>
    <w:p>
      <w:pPr>
        <w:spacing w:line="540" w:lineRule="exact"/>
        <w:rPr>
          <w:rFonts w:hint="eastAsia" w:ascii="仿宋_GB2312" w:hAnsi="仿宋_GB2312" w:eastAsia="仿宋_GB2312" w:cs="仿宋_GB2312"/>
          <w:color w:val="auto"/>
          <w:kern w:val="0"/>
          <w:sz w:val="32"/>
          <w:szCs w:val="32"/>
          <w:highlight w:val="none"/>
        </w:rPr>
      </w:pPr>
    </w:p>
    <w:p>
      <w:pPr>
        <w:bidi w:val="0"/>
        <w:rPr>
          <w:rFonts w:hint="eastAsia"/>
          <w:color w:val="auto"/>
        </w:rPr>
      </w:pPr>
    </w:p>
    <w:p>
      <w:pPr>
        <w:rPr>
          <w:rFonts w:hint="eastAsia"/>
          <w:color w:val="auto"/>
        </w:rPr>
      </w:pPr>
    </w:p>
    <w:p>
      <w:pPr>
        <w:spacing w:line="700" w:lineRule="exact"/>
        <w:jc w:val="left"/>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 xml:space="preserve">  </w:t>
      </w:r>
    </w:p>
    <w:p>
      <w:pPr>
        <w:spacing w:line="700" w:lineRule="exact"/>
        <w:ind w:firstLine="640" w:firstLineChars="200"/>
        <w:jc w:val="left"/>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部门单位名称（公章）：</w:t>
      </w:r>
      <w:r>
        <w:rPr>
          <w:rFonts w:hint="eastAsia" w:ascii="仿宋" w:hAnsi="仿宋" w:eastAsia="仿宋" w:cs="仿宋"/>
          <w:color w:val="auto"/>
          <w:kern w:val="0"/>
          <w:sz w:val="32"/>
          <w:szCs w:val="32"/>
          <w:highlight w:val="none"/>
          <w:lang w:val="en-US" w:eastAsia="zh-CN"/>
        </w:rPr>
        <w:t>吉木萨尔县司法局</w:t>
      </w:r>
    </w:p>
    <w:p>
      <w:pPr>
        <w:spacing w:line="700" w:lineRule="exact"/>
        <w:ind w:firstLine="640" w:firstLineChars="200"/>
        <w:jc w:val="left"/>
        <w:rPr>
          <w:rFonts w:hint="eastAsia"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填报时间：</w:t>
      </w:r>
      <w:r>
        <w:rPr>
          <w:rFonts w:hint="eastAsia" w:ascii="仿宋" w:hAnsi="仿宋" w:eastAsia="仿宋" w:cs="仿宋"/>
          <w:color w:val="auto"/>
          <w:kern w:val="0"/>
          <w:sz w:val="32"/>
          <w:szCs w:val="32"/>
          <w:highlight w:val="none"/>
          <w:lang w:val="en-US" w:eastAsia="zh-CN"/>
        </w:rPr>
        <w:t>2024</w:t>
      </w:r>
      <w:r>
        <w:rPr>
          <w:rFonts w:hint="eastAsia" w:ascii="仿宋" w:hAnsi="仿宋" w:eastAsia="仿宋" w:cs="仿宋"/>
          <w:color w:val="auto"/>
          <w:kern w:val="0"/>
          <w:sz w:val="32"/>
          <w:szCs w:val="32"/>
          <w:highlight w:val="none"/>
        </w:rPr>
        <w:t>年</w:t>
      </w:r>
      <w:r>
        <w:rPr>
          <w:rFonts w:hint="eastAsia" w:ascii="仿宋" w:hAnsi="仿宋" w:eastAsia="仿宋" w:cs="仿宋"/>
          <w:color w:val="auto"/>
          <w:kern w:val="0"/>
          <w:sz w:val="32"/>
          <w:szCs w:val="32"/>
          <w:highlight w:val="none"/>
          <w:lang w:val="en-US" w:eastAsia="zh-CN"/>
        </w:rPr>
        <w:t xml:space="preserve"> 4 </w:t>
      </w:r>
      <w:r>
        <w:rPr>
          <w:rFonts w:hint="eastAsia" w:ascii="仿宋" w:hAnsi="仿宋" w:eastAsia="仿宋" w:cs="仿宋"/>
          <w:color w:val="auto"/>
          <w:kern w:val="0"/>
          <w:sz w:val="32"/>
          <w:szCs w:val="32"/>
          <w:highlight w:val="none"/>
        </w:rPr>
        <w:t>月</w:t>
      </w:r>
      <w:r>
        <w:rPr>
          <w:rFonts w:hint="eastAsia" w:ascii="仿宋" w:hAnsi="仿宋" w:eastAsia="仿宋" w:cs="仿宋"/>
          <w:color w:val="auto"/>
          <w:kern w:val="0"/>
          <w:sz w:val="32"/>
          <w:szCs w:val="32"/>
          <w:highlight w:val="none"/>
          <w:lang w:val="en-US" w:eastAsia="zh-CN"/>
        </w:rPr>
        <w:t>27</w:t>
      </w:r>
      <w:r>
        <w:rPr>
          <w:rFonts w:hint="eastAsia" w:ascii="仿宋" w:hAnsi="仿宋" w:eastAsia="仿宋" w:cs="仿宋"/>
          <w:color w:val="auto"/>
          <w:kern w:val="0"/>
          <w:sz w:val="32"/>
          <w:szCs w:val="32"/>
          <w:highlight w:val="none"/>
        </w:rPr>
        <w:t>日</w:t>
      </w:r>
    </w:p>
    <w:p>
      <w:pPr>
        <w:bidi w:val="0"/>
        <w:rPr>
          <w:rFonts w:hint="eastAsia"/>
          <w:color w:val="auto"/>
          <w:lang w:val="en-US" w:eastAsia="zh-CN"/>
        </w:rPr>
      </w:pPr>
      <w:bookmarkStart w:id="0" w:name="_Toc23945_WPSOffice_Level1"/>
    </w:p>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lang w:val="en-US" w:eastAsia="zh-CN"/>
        </w:rPr>
        <w:sectPr>
          <w:footerReference r:id="rId3" w:type="default"/>
          <w:pgSz w:w="11906" w:h="16838"/>
          <w:pgMar w:top="1440" w:right="1800" w:bottom="1440" w:left="1800" w:header="851" w:footer="992" w:gutter="0"/>
          <w:pgNumType w:fmt="numberInDash" w:start="1"/>
          <w:cols w:space="720" w:num="1"/>
          <w:docGrid w:type="lines" w:linePitch="312" w:charSpace="0"/>
        </w:sectPr>
      </w:pPr>
    </w:p>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部门单位整体支出绩效自评报告</w:t>
      </w:r>
    </w:p>
    <w:p>
      <w:pPr>
        <w:pStyle w:val="3"/>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一、</w:t>
      </w:r>
      <w:r>
        <w:rPr>
          <w:rFonts w:hint="default" w:ascii="Times New Roman" w:hAnsi="Times New Roman" w:cs="Times New Roman"/>
          <w:color w:val="auto"/>
        </w:rPr>
        <w:t>基本概况</w:t>
      </w:r>
      <w:bookmarkEnd w:id="0"/>
    </w:p>
    <w:p>
      <w:pPr>
        <w:pStyle w:val="2"/>
        <w:pageBreakBefore w:val="0"/>
        <w:widowControl w:val="0"/>
        <w:kinsoku/>
        <w:wordWrap/>
        <w:overflowPunct/>
        <w:topLinePunct w:val="0"/>
        <w:autoSpaceDE/>
        <w:autoSpaceDN/>
        <w:bidi w:val="0"/>
        <w:adjustRightInd w:val="0"/>
        <w:snapToGrid w:val="0"/>
        <w:spacing w:before="0" w:beforeLines="0" w:afterLines="0"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rPr>
        <w:t>（一）</w:t>
      </w:r>
      <w:r>
        <w:rPr>
          <w:rFonts w:hint="default" w:ascii="Times New Roman" w:hAnsi="Times New Roman" w:cs="Times New Roman"/>
          <w:color w:val="auto"/>
          <w:lang w:val="en-US" w:eastAsia="zh-CN"/>
        </w:rPr>
        <w:t>部门</w:t>
      </w:r>
      <w:r>
        <w:rPr>
          <w:rFonts w:hint="default" w:ascii="Times New Roman" w:hAnsi="Times New Roman" w:cs="Times New Roman"/>
          <w:color w:val="auto"/>
        </w:rPr>
        <w:t>单位基本情况</w:t>
      </w:r>
    </w:p>
    <w:p>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1.部门主要职能</w:t>
      </w:r>
    </w:p>
    <w:p>
      <w:pPr>
        <w:rPr>
          <w:rFonts w:ascii="仿宋_GB2312" w:eastAsia="仿宋_GB2312"/>
          <w:sz w:val="32"/>
          <w:szCs w:val="32"/>
        </w:rPr>
      </w:pPr>
      <w:r>
        <w:rPr>
          <w:rFonts w:hint="eastAsia" w:ascii="Times New Roman" w:hAnsi="Times New Roman" w:cs="Times New Roman"/>
          <w:color w:val="000000" w:themeColor="text1"/>
          <w:highlight w:val="none"/>
          <w:lang w:val="en-US" w:eastAsia="zh-CN"/>
          <w14:textFill>
            <w14:solidFill>
              <w14:schemeClr w14:val="tx1"/>
            </w14:solidFill>
          </w14:textFill>
        </w:rPr>
        <w:t>吉木萨尔县司法局</w:t>
      </w:r>
      <w:r>
        <w:rPr>
          <w:rFonts w:hint="default" w:ascii="Times New Roman" w:hAnsi="Times New Roman" w:cs="Times New Roman"/>
          <w:color w:val="000000" w:themeColor="text1"/>
          <w:highlight w:val="none"/>
          <w:lang w:val="en-US" w:eastAsia="zh-CN"/>
          <w14:textFill>
            <w14:solidFill>
              <w14:schemeClr w14:val="tx1"/>
            </w14:solidFill>
          </w14:textFill>
        </w:rPr>
        <w:t>是</w:t>
      </w:r>
      <w:r>
        <w:rPr>
          <w:rFonts w:hint="eastAsia" w:ascii="Times New Roman" w:hAnsi="Times New Roman" w:cs="Times New Roman"/>
          <w:color w:val="000000" w:themeColor="text1"/>
          <w:highlight w:val="none"/>
          <w:lang w:val="en-US" w:eastAsia="zh-CN"/>
          <w14:textFill>
            <w14:solidFill>
              <w14:schemeClr w14:val="tx1"/>
            </w14:solidFill>
          </w14:textFill>
        </w:rPr>
        <w:t>政府</w:t>
      </w:r>
      <w:r>
        <w:rPr>
          <w:rFonts w:hint="default" w:ascii="Times New Roman" w:hAnsi="Times New Roman" w:cs="Times New Roman"/>
          <w:color w:val="000000" w:themeColor="text1"/>
          <w:highlight w:val="none"/>
          <w:lang w:val="en-US" w:eastAsia="zh-CN"/>
          <w14:textFill>
            <w14:solidFill>
              <w14:schemeClr w14:val="tx1"/>
            </w14:solidFill>
          </w14:textFill>
        </w:rPr>
        <w:t>工作部门，为正科级。单位主要</w:t>
      </w:r>
      <w:r>
        <w:rPr>
          <w:rFonts w:ascii="仿宋_GB2312" w:eastAsia="仿宋_GB2312"/>
          <w:sz w:val="32"/>
          <w:szCs w:val="32"/>
        </w:rPr>
        <w:t>负责普法、依法治理、法制宣传工作。制定全县法制宣传教育、普法和依法治县规划并组织实施，组织全县各单位争创普法依法治理先进单位活动的开展。监督和指导各乡镇司法所的全面工作，负责人民调解工作、安置帮教工作、乡镇法律服务工作。为有困难的公民、法人和其他组织提供法律援助服务。监督和指导并开展全县公证业务活动，依法办理有关公证事项</w:t>
      </w:r>
      <w:r>
        <w:rPr>
          <w:rFonts w:hint="eastAsia" w:ascii="仿宋_GB2312" w:eastAsia="仿宋_GB2312"/>
          <w:sz w:val="32"/>
          <w:szCs w:val="32"/>
        </w:rPr>
        <w:t>。</w:t>
      </w:r>
    </w:p>
    <w:p>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2.部门机构设置及人员构成</w:t>
      </w:r>
    </w:p>
    <w:p>
      <w:pPr>
        <w:ind w:firstLine="640" w:firstLineChars="200"/>
        <w:rPr>
          <w:rFonts w:hint="default"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吉木萨尔县司法局</w:t>
      </w:r>
      <w:r>
        <w:rPr>
          <w:rFonts w:hint="eastAsia"/>
          <w:sz w:val="32"/>
          <w:szCs w:val="32"/>
          <w:highlight w:val="none"/>
          <w:lang w:val="en-US" w:eastAsia="zh-CN"/>
        </w:rPr>
        <w:t>机构设置：无下属预算单位，内设</w:t>
      </w:r>
      <w:r>
        <w:rPr>
          <w:rFonts w:hint="eastAsia" w:ascii="仿宋_GB2312" w:eastAsia="仿宋_GB2312"/>
          <w:sz w:val="32"/>
          <w:szCs w:val="32"/>
        </w:rPr>
        <w:t>9</w:t>
      </w:r>
      <w:r>
        <w:rPr>
          <w:rFonts w:hint="eastAsia" w:ascii="仿宋_GB2312" w:hAnsi="黑体" w:eastAsia="仿宋_GB2312" w:cs="宋体"/>
          <w:bCs/>
          <w:kern w:val="0"/>
          <w:sz w:val="32"/>
          <w:szCs w:val="32"/>
        </w:rPr>
        <w:t>个处室，分别是：吉木萨尔镇司法所、二工司法所、北庭司法所、三台司法所、老台司法所、庆阳湖司法所、大有司法所、新地司法所、泉子街司法所</w:t>
      </w:r>
      <w:r>
        <w:rPr>
          <w:rFonts w:hint="eastAsia" w:ascii="仿宋_GB2312" w:hAnsi="宋体" w:eastAsia="仿宋_GB2312" w:cs="宋体"/>
          <w:kern w:val="0"/>
          <w:sz w:val="32"/>
          <w:szCs w:val="32"/>
        </w:rPr>
        <w:t>。</w:t>
      </w:r>
      <w:r>
        <w:rPr>
          <w:rFonts w:hint="eastAsia" w:hAnsi="宋体" w:cs="宋体"/>
          <w:kern w:val="0"/>
          <w:sz w:val="32"/>
          <w:szCs w:val="32"/>
          <w:lang w:val="en-US" w:eastAsia="zh-CN"/>
        </w:rPr>
        <w:t>吉木萨尔县司法局人员总数50人，其中</w:t>
      </w:r>
      <w:r>
        <w:rPr>
          <w:rFonts w:hint="eastAsia" w:ascii="仿宋_GB2312" w:eastAsia="仿宋_GB2312"/>
          <w:sz w:val="32"/>
          <w:szCs w:val="32"/>
          <w:highlight w:val="none"/>
        </w:rPr>
        <w:t>：在职</w:t>
      </w:r>
      <w:r>
        <w:rPr>
          <w:rFonts w:hint="eastAsia"/>
          <w:sz w:val="32"/>
          <w:szCs w:val="32"/>
          <w:highlight w:val="none"/>
          <w:lang w:val="en-US" w:eastAsia="zh-CN"/>
        </w:rPr>
        <w:t>31</w:t>
      </w:r>
      <w:r>
        <w:rPr>
          <w:rFonts w:hint="eastAsia" w:ascii="仿宋_GB2312" w:eastAsia="仿宋_GB2312"/>
          <w:sz w:val="32"/>
          <w:szCs w:val="32"/>
          <w:highlight w:val="none"/>
        </w:rPr>
        <w:t>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离休人员</w:t>
      </w:r>
      <w:r>
        <w:rPr>
          <w:rFonts w:hint="eastAsia" w:ascii="仿宋_GB2312" w:eastAsia="仿宋_GB2312"/>
          <w:sz w:val="32"/>
          <w:szCs w:val="32"/>
          <w:highlight w:val="none"/>
          <w:lang w:val="en-US" w:eastAsia="zh-CN"/>
        </w:rPr>
        <w:t>0</w:t>
      </w:r>
      <w:r>
        <w:rPr>
          <w:rFonts w:hint="eastAsia" w:ascii="仿宋_GB2312" w:eastAsia="仿宋_GB2312"/>
          <w:sz w:val="32"/>
          <w:szCs w:val="32"/>
          <w:highlight w:val="none"/>
        </w:rPr>
        <w:t>人，退休人员</w:t>
      </w:r>
      <w:r>
        <w:rPr>
          <w:rFonts w:hint="eastAsia"/>
          <w:sz w:val="32"/>
          <w:szCs w:val="32"/>
          <w:highlight w:val="none"/>
          <w:lang w:val="en-US" w:eastAsia="zh-CN"/>
        </w:rPr>
        <w:t>19</w:t>
      </w:r>
      <w:r>
        <w:rPr>
          <w:rFonts w:hint="eastAsia" w:ascii="仿宋_GB2312" w:eastAsia="仿宋_GB2312"/>
          <w:sz w:val="32"/>
          <w:szCs w:val="32"/>
          <w:highlight w:val="none"/>
        </w:rPr>
        <w:t>人。</w:t>
      </w:r>
      <w:r>
        <w:rPr>
          <w:rFonts w:hint="eastAsia"/>
          <w:sz w:val="32"/>
          <w:szCs w:val="32"/>
          <w:highlight w:val="none"/>
          <w:lang w:val="en-US" w:eastAsia="zh-CN"/>
        </w:rPr>
        <w:t>实有人数50人。</w:t>
      </w:r>
    </w:p>
    <w:p>
      <w:pPr>
        <w:pStyle w:val="2"/>
        <w:pageBreakBefore w:val="0"/>
        <w:widowControl w:val="0"/>
        <w:kinsoku/>
        <w:wordWrap/>
        <w:overflowPunct/>
        <w:topLinePunct w:val="0"/>
        <w:autoSpaceDE/>
        <w:autoSpaceDN/>
        <w:bidi w:val="0"/>
        <w:adjustRightInd w:val="0"/>
        <w:snapToGrid w:val="0"/>
        <w:spacing w:before="0" w:beforeLines="0" w:afterLines="0" w:line="560" w:lineRule="exact"/>
        <w:textAlignment w:val="auto"/>
        <w:outlineLvl w:val="1"/>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（二）部门单位年度重点工作</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3" w:firstLineChars="200"/>
        <w:textAlignment w:val="auto"/>
        <w:rPr>
          <w:rFonts w:hint="default" w:ascii="Times New Roman" w:hAnsi="Times New Roman" w:eastAsia="仿宋_GB2312" w:cs="Times New Roman"/>
          <w:color w:val="auto"/>
          <w:sz w:val="32"/>
          <w:szCs w:val="32"/>
          <w:lang w:val="en-US" w:eastAsia="zh-CN"/>
        </w:rPr>
      </w:pPr>
      <w:r>
        <w:rPr>
          <w:rFonts w:hint="eastAsia" w:ascii="楷体" w:hAnsi="楷体" w:eastAsia="楷体" w:cs="楷体"/>
          <w:b/>
          <w:bCs/>
          <w:color w:val="auto"/>
          <w:kern w:val="0"/>
          <w:sz w:val="32"/>
          <w:szCs w:val="32"/>
          <w:lang w:val="en-US" w:eastAsia="zh-CN"/>
        </w:rPr>
        <w:t>一、</w:t>
      </w:r>
      <w:r>
        <w:rPr>
          <w:rFonts w:hint="eastAsia" w:ascii="楷体" w:hAnsi="楷体" w:eastAsia="楷体" w:cs="楷体"/>
          <w:b w:val="0"/>
          <w:bCs w:val="0"/>
          <w:color w:val="auto"/>
          <w:kern w:val="0"/>
          <w:sz w:val="32"/>
          <w:szCs w:val="32"/>
          <w:lang w:val="en-US" w:eastAsia="zh-CN"/>
        </w:rPr>
        <w:t>坚持责任落实，</w:t>
      </w:r>
      <w:r>
        <w:rPr>
          <w:rFonts w:hint="eastAsia" w:ascii="楷体" w:hAnsi="楷体" w:eastAsia="楷体" w:cs="楷体"/>
          <w:b w:val="0"/>
          <w:bCs w:val="0"/>
          <w:color w:val="auto"/>
          <w:sz w:val="32"/>
          <w:szCs w:val="32"/>
          <w:u w:val="none"/>
          <w:lang w:val="en-US" w:eastAsia="zh-CN"/>
        </w:rPr>
        <w:t>强化法治建设研究部署。政</w:t>
      </w:r>
      <w:r>
        <w:rPr>
          <w:rFonts w:hint="default" w:ascii="Times New Roman" w:hAnsi="Times New Roman" w:eastAsia="仿宋_GB2312" w:cs="Times New Roman"/>
          <w:sz w:val="32"/>
          <w:szCs w:val="32"/>
          <w:lang w:val="en-US" w:eastAsia="zh-CN"/>
        </w:rPr>
        <w:t>府常务会学习内容，</w:t>
      </w:r>
      <w:r>
        <w:rPr>
          <w:rFonts w:hint="default" w:ascii="Times New Roman" w:hAnsi="Times New Roman" w:eastAsia="仿宋_GB2312" w:cs="Times New Roman"/>
          <w:color w:val="auto"/>
          <w:sz w:val="32"/>
          <w:szCs w:val="32"/>
          <w:u w:val="none"/>
          <w:lang w:val="en-US" w:eastAsia="zh-CN"/>
        </w:rPr>
        <w:t>县委理论学习中心组学法2场次，示范引领全县各单位开展理论中心组学法130余次；县委</w:t>
      </w:r>
      <w:r>
        <w:rPr>
          <w:rFonts w:hint="default" w:ascii="Times New Roman" w:hAnsi="Times New Roman" w:eastAsia="仿宋_GB2312" w:cs="Times New Roman"/>
          <w:sz w:val="32"/>
          <w:szCs w:val="32"/>
          <w:lang w:val="en-US" w:eastAsia="zh-CN"/>
        </w:rPr>
        <w:t>将2023年确定为“法治建设推进年”，</w:t>
      </w:r>
      <w:r>
        <w:rPr>
          <w:rFonts w:hint="default" w:ascii="Times New Roman" w:hAnsi="Times New Roman" w:eastAsia="仿宋_GB2312" w:cs="Times New Roman"/>
          <w:color w:val="auto"/>
          <w:sz w:val="32"/>
          <w:szCs w:val="32"/>
          <w:u w:val="none"/>
          <w:lang w:val="en-US" w:eastAsia="zh-CN"/>
        </w:rPr>
        <w:t>先后召开县委全面依法治县委员会会议2次、法治政府建设推进会1次、办公室会议1次研究部署法治建设工作</w:t>
      </w:r>
      <w:r>
        <w:rPr>
          <w:rFonts w:hint="eastAsia" w:ascii="Times New Roman" w:hAnsi="Times New Roman" w:eastAsia="仿宋_GB2312" w:cs="Times New Roman"/>
          <w:color w:val="auto"/>
          <w:sz w:val="32"/>
          <w:szCs w:val="32"/>
          <w:u w:val="none"/>
          <w:lang w:val="en-US" w:eastAsia="zh-CN"/>
        </w:rPr>
        <w:t>，组织述法评议1次。</w:t>
      </w:r>
      <w:r>
        <w:rPr>
          <w:rFonts w:hint="default" w:ascii="Times New Roman" w:hAnsi="Times New Roman" w:eastAsia="仿宋_GB2312" w:cs="Times New Roman"/>
          <w:sz w:val="32"/>
          <w:szCs w:val="32"/>
          <w:lang w:val="en-US" w:eastAsia="zh-CN"/>
        </w:rPr>
        <w:t>县委、政府主要领导带头</w:t>
      </w:r>
      <w:r>
        <w:rPr>
          <w:rFonts w:hint="eastAsia" w:ascii="Times New Roman" w:hAnsi="Times New Roman" w:eastAsia="仿宋_GB2312" w:cs="Times New Roman"/>
          <w:sz w:val="32"/>
          <w:szCs w:val="32"/>
          <w:lang w:val="en-US" w:eastAsia="zh-CN"/>
        </w:rPr>
        <w:t>履行</w:t>
      </w:r>
      <w:r>
        <w:rPr>
          <w:rFonts w:hint="default" w:ascii="Times New Roman" w:hAnsi="Times New Roman" w:eastAsia="仿宋_GB2312" w:cs="Times New Roman"/>
          <w:sz w:val="32"/>
          <w:szCs w:val="32"/>
          <w:lang w:val="en-US" w:eastAsia="zh-CN"/>
        </w:rPr>
        <w:t>法治建设第一责任人</w:t>
      </w:r>
      <w:r>
        <w:rPr>
          <w:rFonts w:hint="eastAsia" w:ascii="Times New Roman" w:hAnsi="Times New Roman" w:eastAsia="仿宋_GB2312" w:cs="Times New Roman"/>
          <w:sz w:val="32"/>
          <w:szCs w:val="32"/>
          <w:lang w:val="en-US" w:eastAsia="zh-CN"/>
        </w:rPr>
        <w:t>职责</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讲法治课2场次，开展法治调研2场次</w:t>
      </w:r>
      <w:r>
        <w:rPr>
          <w:rFonts w:hint="default" w:ascii="Times New Roman" w:hAnsi="Times New Roman" w:eastAsia="仿宋_GB2312" w:cs="Times New Roman"/>
          <w:color w:val="auto"/>
          <w:sz w:val="32"/>
          <w:szCs w:val="32"/>
          <w:u w:val="none"/>
          <w:lang w:val="en-US" w:eastAsia="zh-CN"/>
        </w:rPr>
        <w:t>；县委依法治县办结合县委第三轮巡察，对教育局、县一中等9个单位开展</w:t>
      </w:r>
      <w:r>
        <w:rPr>
          <w:rFonts w:hint="default" w:ascii="Times New Roman" w:hAnsi="Times New Roman" w:eastAsia="仿宋_GB2312" w:cs="Times New Roman"/>
          <w:kern w:val="2"/>
          <w:sz w:val="32"/>
          <w:szCs w:val="32"/>
          <w:lang w:val="en-US" w:eastAsia="zh-CN" w:bidi="ar-SA"/>
        </w:rPr>
        <w:t>法治督察1次，</w:t>
      </w:r>
      <w:r>
        <w:rPr>
          <w:rFonts w:hint="default" w:ascii="Times New Roman" w:hAnsi="Times New Roman" w:eastAsia="仿宋_GB2312" w:cs="Times New Roman"/>
          <w:sz w:val="32"/>
          <w:szCs w:val="32"/>
          <w:u w:val="none"/>
          <w:lang w:val="en-US" w:eastAsia="zh-CN"/>
        </w:rPr>
        <w:t>反馈</w:t>
      </w:r>
      <w:r>
        <w:rPr>
          <w:rFonts w:hint="eastAsia" w:ascii="Times New Roman" w:hAnsi="Times New Roman" w:eastAsia="仿宋_GB2312" w:cs="Times New Roman"/>
          <w:sz w:val="32"/>
          <w:szCs w:val="32"/>
          <w:u w:val="none"/>
          <w:lang w:val="en-US" w:eastAsia="zh-CN"/>
        </w:rPr>
        <w:t>整改问题</w:t>
      </w:r>
      <w:r>
        <w:rPr>
          <w:rFonts w:hint="default" w:ascii="Times New Roman" w:hAnsi="Times New Roman" w:eastAsia="仿宋_GB2312" w:cs="Times New Roman"/>
          <w:sz w:val="32"/>
          <w:szCs w:val="32"/>
          <w:u w:val="none"/>
          <w:lang w:val="en-US" w:eastAsia="zh-CN"/>
        </w:rPr>
        <w:t>76个。</w:t>
      </w:r>
      <w:r>
        <w:rPr>
          <w:rFonts w:hint="eastAsia" w:ascii="Times New Roman" w:hAnsi="Times New Roman" w:cs="Times New Roman"/>
          <w:sz w:val="32"/>
          <w:szCs w:val="32"/>
          <w:u w:val="none"/>
          <w:lang w:val="en-US" w:eastAsia="zh-CN"/>
        </w:rPr>
        <w:t>二、</w:t>
      </w:r>
      <w:r>
        <w:rPr>
          <w:rFonts w:hint="eastAsia" w:ascii="楷体" w:hAnsi="楷体" w:eastAsia="楷体" w:cs="楷体"/>
          <w:b w:val="0"/>
          <w:bCs w:val="0"/>
          <w:color w:val="auto"/>
          <w:kern w:val="0"/>
          <w:sz w:val="32"/>
          <w:szCs w:val="32"/>
          <w:lang w:val="en-US" w:eastAsia="zh-CN"/>
        </w:rPr>
        <w:t>坚持依法行政，扎实推进法治政府建设。</w:t>
      </w:r>
      <w:r>
        <w:rPr>
          <w:rFonts w:hint="eastAsia" w:ascii="Times New Roman" w:hAnsi="Times New Roman" w:eastAsia="仿宋_GB2312" w:cs="Times New Roman"/>
          <w:color w:val="auto"/>
          <w:kern w:val="0"/>
          <w:sz w:val="32"/>
          <w:szCs w:val="32"/>
          <w:lang w:eastAsia="zh-CN"/>
        </w:rPr>
        <w:t>县、县直部门、乡镇、村（社区）法律顾问覆盖率</w:t>
      </w:r>
      <w:r>
        <w:rPr>
          <w:rFonts w:hint="eastAsia" w:ascii="Times New Roman" w:hAnsi="Times New Roman" w:eastAsia="仿宋_GB2312" w:cs="Times New Roman"/>
          <w:color w:val="auto"/>
          <w:kern w:val="0"/>
          <w:sz w:val="32"/>
          <w:szCs w:val="32"/>
          <w:lang w:val="en-US" w:eastAsia="zh-CN"/>
        </w:rPr>
        <w:t>100%，</w:t>
      </w:r>
      <w:r>
        <w:rPr>
          <w:rFonts w:hint="default" w:ascii="Times New Roman" w:hAnsi="Times New Roman" w:eastAsia="仿宋_GB2312" w:cs="Times New Roman"/>
          <w:b w:val="0"/>
          <w:bCs w:val="0"/>
          <w:color w:val="auto"/>
          <w:sz w:val="32"/>
          <w:szCs w:val="32"/>
          <w:u w:val="none"/>
          <w:lang w:val="en-US" w:eastAsia="zh-CN"/>
        </w:rPr>
        <w:t>2023年以来，合法性审核县政府常务会议题</w:t>
      </w:r>
      <w:r>
        <w:rPr>
          <w:rFonts w:hint="eastAsia" w:ascii="Times New Roman" w:hAnsi="Times New Roman" w:eastAsia="仿宋_GB2312" w:cs="Times New Roman"/>
          <w:b w:val="0"/>
          <w:bCs w:val="0"/>
          <w:color w:val="auto"/>
          <w:sz w:val="32"/>
          <w:szCs w:val="32"/>
          <w:u w:val="none"/>
          <w:lang w:val="en-US" w:eastAsia="zh-CN"/>
        </w:rPr>
        <w:t>、合同201</w:t>
      </w:r>
      <w:r>
        <w:rPr>
          <w:rFonts w:hint="default" w:ascii="Times New Roman" w:hAnsi="Times New Roman" w:eastAsia="仿宋_GB2312" w:cs="Times New Roman"/>
          <w:sz w:val="32"/>
          <w:szCs w:val="32"/>
          <w:lang w:val="en-US" w:eastAsia="zh-CN"/>
        </w:rPr>
        <w:t>件、行政规范性文件</w:t>
      </w:r>
      <w:r>
        <w:rPr>
          <w:rFonts w:hint="eastAsia"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lang w:val="en-US" w:eastAsia="zh-CN"/>
        </w:rPr>
        <w:t>件、其他16件，出具法律意见书50余件。</w:t>
      </w:r>
      <w:r>
        <w:rPr>
          <w:rFonts w:hint="default" w:ascii="Times New Roman" w:hAnsi="Times New Roman" w:eastAsia="仿宋_GB2312" w:cs="Times New Roman"/>
          <w:color w:val="auto"/>
          <w:sz w:val="32"/>
          <w:szCs w:val="32"/>
          <w:lang w:val="en-US" w:eastAsia="zh-CN"/>
        </w:rPr>
        <w:t>量化细化行政自由裁量权5类93项，完善30个部门3417项权责清单，“街乡吹哨”执法事项清单指导目录148项</w:t>
      </w:r>
      <w:r>
        <w:rPr>
          <w:rFonts w:hint="eastAsia" w:ascii="Times New Roman" w:hAnsi="Times New Roman" w:eastAsia="仿宋_GB2312" w:cs="Times New Roman"/>
          <w:color w:val="auto"/>
          <w:sz w:val="32"/>
          <w:szCs w:val="32"/>
          <w:lang w:val="en-US" w:eastAsia="zh-CN"/>
        </w:rPr>
        <w:t>,向乡镇下放农业农村、水利、住建等8个领域32</w:t>
      </w:r>
      <w:r>
        <w:rPr>
          <w:rFonts w:hint="default" w:ascii="Times New Roman" w:hAnsi="Times New Roman" w:eastAsia="仿宋_GB2312" w:cs="Times New Roman"/>
          <w:color w:val="auto"/>
          <w:sz w:val="32"/>
          <w:szCs w:val="32"/>
          <w:lang w:val="en-US" w:eastAsia="zh-CN"/>
        </w:rPr>
        <w:t>项</w:t>
      </w:r>
      <w:r>
        <w:rPr>
          <w:rFonts w:hint="eastAsia" w:ascii="Times New Roman" w:hAnsi="Times New Roman" w:eastAsia="仿宋_GB2312" w:cs="Times New Roman"/>
          <w:color w:val="auto"/>
          <w:sz w:val="32"/>
          <w:szCs w:val="32"/>
          <w:lang w:val="en-US" w:eastAsia="zh-CN"/>
        </w:rPr>
        <w:t>行政处罚事项，组织70名新增行政执法人员开展集中培训3轮次。</w:t>
      </w:r>
      <w:r>
        <w:rPr>
          <w:rFonts w:hint="eastAsia" w:ascii="楷体" w:hAnsi="楷体" w:eastAsia="楷体" w:cs="楷体"/>
          <w:b w:val="0"/>
          <w:bCs w:val="0"/>
          <w:color w:val="auto"/>
          <w:sz w:val="32"/>
          <w:szCs w:val="32"/>
          <w:u w:val="none"/>
          <w:lang w:val="en-US" w:eastAsia="zh-CN"/>
        </w:rPr>
        <w:t>三、加强法治宣传教育，提升全民法律素养。</w:t>
      </w:r>
      <w:r>
        <w:rPr>
          <w:rFonts w:hint="default" w:ascii="Times New Roman" w:hAnsi="Times New Roman" w:eastAsia="仿宋_GB2312" w:cs="Times New Roman"/>
          <w:b w:val="0"/>
          <w:bCs w:val="0"/>
          <w:sz w:val="32"/>
          <w:szCs w:val="32"/>
          <w:lang w:val="en-US" w:eastAsia="zh-CN"/>
        </w:rPr>
        <w:t>组织参加自治区“法治讲堂·逢九必讲”法治培训</w:t>
      </w:r>
      <w:r>
        <w:rPr>
          <w:rFonts w:hint="eastAsia" w:ascii="Times New Roman" w:hAnsi="Times New Roman" w:eastAsia="仿宋_GB2312" w:cs="Times New Roman"/>
          <w:b w:val="0"/>
          <w:bCs w:val="0"/>
          <w:sz w:val="32"/>
          <w:szCs w:val="32"/>
          <w:lang w:val="en-US" w:eastAsia="zh-CN"/>
        </w:rPr>
        <w:t>19</w:t>
      </w:r>
      <w:r>
        <w:rPr>
          <w:rFonts w:hint="default" w:ascii="Times New Roman" w:hAnsi="Times New Roman" w:eastAsia="仿宋_GB2312" w:cs="Times New Roman"/>
          <w:b w:val="0"/>
          <w:bCs w:val="0"/>
          <w:sz w:val="32"/>
          <w:szCs w:val="32"/>
          <w:lang w:val="en-US" w:eastAsia="zh-CN"/>
        </w:rPr>
        <w:t>场次</w:t>
      </w:r>
      <w:r>
        <w:rPr>
          <w:rFonts w:hint="eastAsia"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color w:val="auto"/>
          <w:sz w:val="32"/>
          <w:szCs w:val="32"/>
          <w:u w:val="none"/>
          <w:lang w:val="en-US" w:eastAsia="zh-CN"/>
        </w:rPr>
        <w:t>新提任和职级晋升领导干部任前考法</w:t>
      </w:r>
      <w:r>
        <w:rPr>
          <w:rFonts w:hint="eastAsia" w:ascii="Times New Roman" w:hAnsi="Times New Roman" w:eastAsia="仿宋_GB2312" w:cs="Times New Roman"/>
          <w:color w:val="auto"/>
          <w:sz w:val="32"/>
          <w:szCs w:val="32"/>
          <w:u w:val="none"/>
          <w:lang w:val="en-US" w:eastAsia="zh-CN"/>
        </w:rPr>
        <w:t>参考率、合格率100%</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color w:val="auto"/>
          <w:sz w:val="32"/>
          <w:szCs w:val="32"/>
          <w:lang w:val="en-US" w:eastAsia="zh-CN"/>
        </w:rPr>
        <w:t>组织科级领导干部</w:t>
      </w:r>
      <w:r>
        <w:rPr>
          <w:rFonts w:hint="eastAsia" w:ascii="Times New Roman" w:hAnsi="Times New Roman" w:eastAsia="仿宋_GB2312" w:cs="Times New Roman"/>
          <w:color w:val="auto"/>
          <w:sz w:val="32"/>
          <w:szCs w:val="32"/>
          <w:lang w:val="en-US" w:eastAsia="zh-CN"/>
        </w:rPr>
        <w:t>开展线下集中考法2</w:t>
      </w:r>
      <w:r>
        <w:rPr>
          <w:rFonts w:hint="default" w:ascii="Times New Roman" w:hAnsi="Times New Roman" w:eastAsia="仿宋_GB2312" w:cs="Times New Roman"/>
          <w:color w:val="auto"/>
          <w:sz w:val="32"/>
          <w:szCs w:val="32"/>
          <w:lang w:val="en-US" w:eastAsia="zh-CN"/>
        </w:rPr>
        <w:t>场次，4500余名公职人员</w:t>
      </w:r>
      <w:r>
        <w:rPr>
          <w:rFonts w:hint="default" w:ascii="Times New Roman" w:hAnsi="Times New Roman" w:eastAsia="仿宋_GB2312" w:cs="Times New Roman"/>
          <w:b w:val="0"/>
          <w:bCs w:val="0"/>
          <w:sz w:val="32"/>
          <w:szCs w:val="32"/>
          <w:lang w:val="en-US" w:eastAsia="zh-CN"/>
        </w:rPr>
        <w:t>无纸化网络学法考试7场次，考试</w:t>
      </w:r>
      <w:r>
        <w:rPr>
          <w:rFonts w:hint="eastAsia" w:ascii="Times New Roman" w:hAnsi="Times New Roman" w:eastAsia="仿宋_GB2312" w:cs="Times New Roman"/>
          <w:b w:val="0"/>
          <w:bCs w:val="0"/>
          <w:sz w:val="32"/>
          <w:szCs w:val="32"/>
          <w:lang w:val="en-US" w:eastAsia="zh-CN"/>
        </w:rPr>
        <w:t>参考</w:t>
      </w:r>
      <w:r>
        <w:rPr>
          <w:rFonts w:hint="default" w:ascii="Times New Roman" w:hAnsi="Times New Roman" w:eastAsia="仿宋_GB2312" w:cs="Times New Roman"/>
          <w:b w:val="0"/>
          <w:bCs w:val="0"/>
          <w:sz w:val="32"/>
          <w:szCs w:val="32"/>
          <w:lang w:val="en-US" w:eastAsia="zh-CN"/>
        </w:rPr>
        <w:t>率、及格率均达到99%以上</w:t>
      </w:r>
      <w:r>
        <w:rPr>
          <w:rFonts w:hint="eastAsia" w:ascii="Times New Roman" w:hAnsi="Times New Roman" w:eastAsia="仿宋_GB2312" w:cs="Times New Roman"/>
          <w:b w:val="0"/>
          <w:bCs w:val="0"/>
          <w:sz w:val="32"/>
          <w:szCs w:val="32"/>
          <w:lang w:val="en-US" w:eastAsia="zh-CN"/>
        </w:rPr>
        <w:t>，</w:t>
      </w:r>
      <w:r>
        <w:rPr>
          <w:rFonts w:hint="default" w:ascii="Times New Roman" w:hAnsi="Times New Roman" w:eastAsia="仿宋_GB2312" w:cs="Times New Roman"/>
          <w:b w:val="0"/>
          <w:bCs w:val="0"/>
          <w:color w:val="auto"/>
          <w:sz w:val="32"/>
          <w:szCs w:val="32"/>
          <w:u w:val="none"/>
          <w:lang w:val="en-US" w:eastAsia="zh-CN"/>
        </w:rPr>
        <w:t>县委党校主体班次法治课开设率100%</w:t>
      </w:r>
      <w:r>
        <w:rPr>
          <w:rFonts w:hint="default" w:ascii="Times New Roman" w:hAnsi="Times New Roman" w:eastAsia="仿宋_GB2312" w:cs="Times New Roman"/>
          <w:color w:val="auto"/>
          <w:sz w:val="32"/>
          <w:szCs w:val="32"/>
          <w:u w:val="none"/>
          <w:lang w:val="en-US" w:eastAsia="zh-CN"/>
        </w:rPr>
        <w:t>。</w:t>
      </w:r>
      <w:r>
        <w:rPr>
          <w:rFonts w:hint="default" w:ascii="Times New Roman" w:hAnsi="Times New Roman" w:eastAsia="仿宋_GB2312" w:cs="Times New Roman"/>
          <w:b w:val="0"/>
          <w:bCs w:val="0"/>
          <w:sz w:val="32"/>
          <w:szCs w:val="32"/>
          <w:lang w:val="en-US" w:eastAsia="zh-CN"/>
        </w:rPr>
        <w:t>讲宪法”、“宪法晨读”、“课前讲法”、</w:t>
      </w:r>
      <w:r>
        <w:rPr>
          <w:rFonts w:hint="default" w:ascii="Times New Roman" w:hAnsi="Times New Roman" w:eastAsia="仿宋" w:cs="Times New Roman"/>
          <w:b w:val="0"/>
          <w:bCs w:val="0"/>
          <w:color w:val="auto"/>
          <w:kern w:val="2"/>
          <w:sz w:val="32"/>
          <w:szCs w:val="32"/>
          <w:lang w:val="en-US" w:eastAsia="zh-CN" w:bidi="ar-SA"/>
        </w:rPr>
        <w:t>模拟法庭等活动</w:t>
      </w:r>
      <w:r>
        <w:rPr>
          <w:rFonts w:hint="default" w:ascii="Times New Roman" w:hAnsi="Times New Roman" w:eastAsia="仿宋_GB2312" w:cs="Times New Roman"/>
          <w:b w:val="0"/>
          <w:bCs w:val="0"/>
          <w:sz w:val="32"/>
          <w:szCs w:val="32"/>
          <w:lang w:val="en-US" w:eastAsia="zh-CN"/>
        </w:rPr>
        <w:t>10578场次</w:t>
      </w:r>
      <w:r>
        <w:rPr>
          <w:rFonts w:hint="default" w:ascii="Times New Roman" w:hAnsi="Times New Roman" w:eastAsia="仿宋" w:cs="Times New Roman"/>
          <w:b w:val="0"/>
          <w:bCs w:val="0"/>
          <w:color w:val="auto"/>
          <w:kern w:val="2"/>
          <w:sz w:val="32"/>
          <w:szCs w:val="32"/>
          <w:lang w:val="en-US" w:eastAsia="zh-CN" w:bidi="ar-SA"/>
        </w:rPr>
        <w:t>。</w:t>
      </w:r>
      <w:r>
        <w:rPr>
          <w:rFonts w:hint="eastAsia" w:ascii="Times New Roman" w:hAnsi="Times New Roman" w:eastAsia="仿宋_GB2312" w:cs="Times New Roman"/>
          <w:sz w:val="32"/>
          <w:szCs w:val="32"/>
          <w:lang w:val="en-US" w:eastAsia="zh-CN"/>
        </w:rPr>
        <w:t>强化全民法治大培训，组织</w:t>
      </w:r>
      <w:r>
        <w:rPr>
          <w:rFonts w:hint="default" w:ascii="Times New Roman" w:hAnsi="Times New Roman" w:eastAsia="仿宋_GB2312" w:cs="Times New Roman"/>
          <w:sz w:val="32"/>
          <w:szCs w:val="32"/>
          <w:lang w:val="en-US" w:eastAsia="zh-CN"/>
        </w:rPr>
        <w:t>17个授课责任单位</w:t>
      </w:r>
      <w:r>
        <w:rPr>
          <w:rFonts w:hint="eastAsia" w:ascii="Times New Roman" w:hAnsi="Times New Roman" w:eastAsia="仿宋_GB2312" w:cs="Times New Roman"/>
          <w:sz w:val="32"/>
          <w:szCs w:val="32"/>
          <w:lang w:val="en-US" w:eastAsia="zh-CN"/>
        </w:rPr>
        <w:t>深入</w:t>
      </w:r>
      <w:r>
        <w:rPr>
          <w:rFonts w:hint="default" w:ascii="Times New Roman" w:hAnsi="Times New Roman" w:eastAsia="仿宋_GB2312" w:cs="Times New Roman"/>
          <w:sz w:val="32"/>
          <w:szCs w:val="32"/>
          <w:lang w:val="en-US" w:eastAsia="zh-CN"/>
        </w:rPr>
        <w:t>68个村（社区）开展法治大培训795场次，累计培训3.4万余人次。</w:t>
      </w:r>
      <w:r>
        <w:rPr>
          <w:rFonts w:hint="eastAsia" w:ascii="楷体" w:hAnsi="楷体" w:eastAsia="楷体" w:cs="楷体"/>
          <w:b w:val="0"/>
          <w:bCs w:val="0"/>
          <w:color w:val="auto"/>
          <w:sz w:val="32"/>
          <w:szCs w:val="32"/>
          <w:u w:val="none"/>
          <w:lang w:val="en-US" w:eastAsia="zh-CN"/>
        </w:rPr>
        <w:t>四、推进公共法律服务，不断提升群众法治获得感。</w:t>
      </w:r>
      <w:r>
        <w:rPr>
          <w:rFonts w:hint="default" w:ascii="Times New Roman" w:hAnsi="Times New Roman" w:eastAsia="仿宋_GB2312" w:cs="Times New Roman"/>
          <w:sz w:val="32"/>
          <w:szCs w:val="32"/>
          <w:lang w:eastAsia="zh-CN"/>
        </w:rPr>
        <w:t>组织</w:t>
      </w:r>
      <w:r>
        <w:rPr>
          <w:rFonts w:hint="default" w:ascii="Times New Roman" w:hAnsi="Times New Roman" w:eastAsia="仿宋_GB2312" w:cs="Times New Roman"/>
          <w:sz w:val="32"/>
          <w:szCs w:val="32"/>
          <w:lang w:val="en-US" w:eastAsia="zh-CN"/>
        </w:rPr>
        <w:t>83个调解组织开展</w:t>
      </w:r>
      <w:r>
        <w:rPr>
          <w:rFonts w:hint="default" w:ascii="Times New Roman" w:hAnsi="Times New Roman" w:eastAsia="仿宋_GB2312" w:cs="Times New Roman"/>
          <w:sz w:val="32"/>
          <w:szCs w:val="32"/>
          <w:lang w:eastAsia="zh-CN"/>
        </w:rPr>
        <w:t>全方位、多层次拉网式、地毯式排查，</w:t>
      </w:r>
      <w:r>
        <w:rPr>
          <w:rFonts w:hint="default" w:ascii="Times New Roman" w:hAnsi="Times New Roman" w:eastAsia="仿宋_GB2312" w:cs="Times New Roman"/>
          <w:sz w:val="32"/>
          <w:szCs w:val="32"/>
          <w:lang w:val="en-US" w:eastAsia="zh-CN"/>
        </w:rPr>
        <w:t>排查、化解矛盾纠纷906件，发放专职人民调解员“基本补助”和“以案定补”20.1万元。</w:t>
      </w:r>
      <w:r>
        <w:rPr>
          <w:rFonts w:hint="default" w:ascii="Times New Roman" w:hAnsi="Times New Roman" w:eastAsia="仿宋_GB2312" w:cs="Times New Roman"/>
          <w:i w:val="0"/>
          <w:caps w:val="0"/>
          <w:color w:val="000000"/>
          <w:spacing w:val="0"/>
          <w:kern w:val="0"/>
          <w:sz w:val="32"/>
          <w:szCs w:val="32"/>
          <w:shd w:val="clear" w:color="auto" w:fill="FFFFFF"/>
          <w:vertAlign w:val="baseline"/>
          <w:lang w:val="en-US" w:eastAsia="zh-CN" w:bidi="ar"/>
        </w:rPr>
        <w:t>今年以来，县法律顾问共举办普法讲座90余场次，办理涉农法律援助案件5件，审查村规民约等村民自治性规范11件，提供法律意见200余条。</w:t>
      </w:r>
      <w:r>
        <w:rPr>
          <w:rFonts w:hint="default" w:ascii="Times New Roman" w:hAnsi="Times New Roman" w:eastAsia="仿宋_GB2312" w:cs="Times New Roman"/>
          <w:b w:val="0"/>
          <w:bCs w:val="0"/>
          <w:sz w:val="32"/>
          <w:szCs w:val="32"/>
          <w:lang w:val="en-US" w:eastAsia="zh-CN"/>
        </w:rPr>
        <w:t>申请的法律援助坚持应援尽援、应援优援,提供法律援助</w:t>
      </w:r>
      <w:r>
        <w:rPr>
          <w:rFonts w:hint="eastAsia" w:ascii="Times New Roman" w:hAnsi="Times New Roman" w:eastAsia="仿宋_GB2312" w:cs="Times New Roman"/>
          <w:b w:val="0"/>
          <w:bCs w:val="0"/>
          <w:sz w:val="32"/>
          <w:szCs w:val="32"/>
          <w:lang w:val="en-US" w:eastAsia="zh-CN"/>
        </w:rPr>
        <w:t>223</w:t>
      </w:r>
      <w:r>
        <w:rPr>
          <w:rFonts w:hint="default" w:ascii="Times New Roman" w:hAnsi="Times New Roman" w:eastAsia="仿宋_GB2312" w:cs="Times New Roman"/>
          <w:b w:val="0"/>
          <w:bCs w:val="0"/>
          <w:sz w:val="32"/>
          <w:szCs w:val="32"/>
          <w:lang w:val="en-US" w:eastAsia="zh-CN"/>
        </w:rPr>
        <w:t>件</w:t>
      </w:r>
      <w:r>
        <w:rPr>
          <w:rFonts w:hint="eastAsia" w:ascii="Times New Roman" w:hAnsi="Times New Roman" w:eastAsia="仿宋_GB2312" w:cs="Times New Roman"/>
          <w:b w:val="0"/>
          <w:bCs w:val="0"/>
          <w:sz w:val="32"/>
          <w:szCs w:val="32"/>
          <w:lang w:val="en-US" w:eastAsia="zh-CN"/>
        </w:rPr>
        <w:t>（刑事139件，民事84件）</w:t>
      </w:r>
      <w:r>
        <w:rPr>
          <w:rFonts w:hint="default" w:ascii="Times New Roman" w:hAnsi="Times New Roman" w:eastAsia="仿宋_GB2312" w:cs="Times New Roman"/>
          <w:b w:val="0"/>
          <w:bCs w:val="0"/>
          <w:sz w:val="32"/>
          <w:szCs w:val="32"/>
          <w:lang w:val="en-US" w:eastAsia="zh-CN"/>
        </w:rPr>
        <w:t>、法律帮助</w:t>
      </w:r>
      <w:r>
        <w:rPr>
          <w:rFonts w:hint="eastAsia" w:ascii="Times New Roman" w:hAnsi="Times New Roman" w:eastAsia="仿宋_GB2312" w:cs="Times New Roman"/>
          <w:b w:val="0"/>
          <w:bCs w:val="0"/>
          <w:sz w:val="32"/>
          <w:szCs w:val="32"/>
          <w:lang w:val="en-US" w:eastAsia="zh-CN"/>
        </w:rPr>
        <w:t>45</w:t>
      </w:r>
      <w:r>
        <w:rPr>
          <w:rFonts w:hint="default" w:ascii="Times New Roman" w:hAnsi="Times New Roman" w:eastAsia="仿宋_GB2312" w:cs="Times New Roman"/>
          <w:b w:val="0"/>
          <w:bCs w:val="0"/>
          <w:sz w:val="32"/>
          <w:szCs w:val="32"/>
          <w:lang w:val="en-US" w:eastAsia="zh-CN"/>
        </w:rPr>
        <w:t>件</w:t>
      </w:r>
      <w:r>
        <w:rPr>
          <w:rFonts w:hint="eastAsia" w:ascii="Times New Roman" w:hAnsi="Times New Roman" w:eastAsia="仿宋_GB2312" w:cs="Times New Roman"/>
          <w:b w:val="0"/>
          <w:bCs w:val="0"/>
          <w:sz w:val="32"/>
          <w:szCs w:val="32"/>
          <w:lang w:val="en-US" w:eastAsia="zh-CN"/>
        </w:rPr>
        <w:t>，发放上半年村（社区）法律顾问工作补助17万元，足额兑付法律援助、法律帮助办案补贴</w:t>
      </w:r>
      <w:r>
        <w:rPr>
          <w:rFonts w:hint="default" w:ascii="Times New Roman" w:hAnsi="Times New Roman" w:eastAsia="仿宋_GB2312" w:cs="Times New Roman"/>
          <w:b w:val="0"/>
          <w:bCs w:val="0"/>
          <w:sz w:val="32"/>
          <w:szCs w:val="32"/>
          <w:lang w:val="en-US" w:eastAsia="zh-CN"/>
        </w:rPr>
        <w:t>。</w:t>
      </w:r>
      <w:r>
        <w:rPr>
          <w:rFonts w:hint="eastAsia" w:ascii="楷体" w:hAnsi="楷体" w:eastAsia="楷体" w:cs="楷体"/>
          <w:b w:val="0"/>
          <w:bCs w:val="0"/>
          <w:color w:val="auto"/>
          <w:sz w:val="32"/>
          <w:szCs w:val="32"/>
          <w:u w:val="none"/>
          <w:lang w:val="en-US" w:eastAsia="zh-CN"/>
        </w:rPr>
        <w:t>五、坚持完善机制，推动特殊群体服务管理精细化。</w:t>
      </w:r>
      <w:r>
        <w:rPr>
          <w:rFonts w:hint="default" w:ascii="Times New Roman" w:hAnsi="Times New Roman" w:eastAsia="仿宋" w:cs="Times New Roman"/>
          <w:sz w:val="32"/>
          <w:lang w:val="en-US" w:eastAsia="zh-CN"/>
        </w:rPr>
        <w:t>紧紧围绕安全稳定、教育帮扶这一主线，采取“信息化+铁脚板”相结合方式，全面加强社区矫正人员、安置帮教对象教育服务管理。</w:t>
      </w:r>
    </w:p>
    <w:p>
      <w:pPr>
        <w:pStyle w:val="2"/>
        <w:pageBreakBefore w:val="0"/>
        <w:widowControl w:val="0"/>
        <w:kinsoku/>
        <w:wordWrap/>
        <w:overflowPunct/>
        <w:topLinePunct w:val="0"/>
        <w:autoSpaceDE/>
        <w:autoSpaceDN/>
        <w:bidi w:val="0"/>
        <w:adjustRightInd w:val="0"/>
        <w:snapToGrid w:val="0"/>
        <w:spacing w:before="0" w:beforeLines="0" w:afterLines="0"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（三）部门单位整体预算规模及安排情况</w:t>
      </w:r>
    </w:p>
    <w:p>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1.年初预算安排情况</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shd w:val="clear" w:color="auto" w:fill="auto"/>
          <w:lang w:val="en-US" w:eastAsia="zh-CN"/>
          <w14:textFill>
            <w14:solidFill>
              <w14:schemeClr w14:val="tx1"/>
            </w14:solidFill>
          </w14:textFill>
        </w:rPr>
      </w:pPr>
      <w:r>
        <w:rPr>
          <w:rFonts w:hint="default" w:ascii="Times New Roman" w:hAnsi="Times New Roman" w:cs="Times New Roman"/>
          <w:color w:val="000000" w:themeColor="text1"/>
          <w:shd w:val="clear" w:color="auto" w:fill="auto"/>
          <w:lang w:val="en-US" w:eastAsia="zh-CN"/>
          <w14:textFill>
            <w14:solidFill>
              <w14:schemeClr w14:val="tx1"/>
            </w14:solidFill>
          </w14:textFill>
        </w:rPr>
        <w:t>我单位2023年年初安排预算</w:t>
      </w:r>
      <w:r>
        <w:rPr>
          <w:rFonts w:hint="eastAsia" w:ascii="Times New Roman" w:hAnsi="Times New Roman" w:cs="Times New Roman"/>
          <w:color w:val="000000" w:themeColor="text1"/>
          <w:shd w:val="clear" w:color="auto" w:fill="auto"/>
          <w:lang w:val="en-US" w:eastAsia="zh-CN"/>
          <w14:textFill>
            <w14:solidFill>
              <w14:schemeClr w14:val="tx1"/>
            </w14:solidFill>
          </w14:textFill>
        </w:rPr>
        <w:t>1065.37</w:t>
      </w:r>
      <w:r>
        <w:rPr>
          <w:rFonts w:hint="default" w:ascii="Times New Roman" w:hAnsi="Times New Roman" w:cs="Times New Roman"/>
          <w:color w:val="000000" w:themeColor="text1"/>
          <w:shd w:val="clear" w:color="auto" w:fill="auto"/>
          <w:lang w:val="en-US" w:eastAsia="zh-CN"/>
          <w14:textFill>
            <w14:solidFill>
              <w14:schemeClr w14:val="tx1"/>
            </w14:solidFill>
          </w14:textFill>
        </w:rPr>
        <w:t>万元，其中：基本支出</w:t>
      </w:r>
      <w:r>
        <w:rPr>
          <w:rFonts w:hint="eastAsia" w:ascii="Times New Roman" w:hAnsi="Times New Roman" w:cs="Times New Roman"/>
          <w:color w:val="000000" w:themeColor="text1"/>
          <w:shd w:val="clear" w:color="auto" w:fill="auto"/>
          <w:lang w:val="en-US" w:eastAsia="zh-CN"/>
          <w14:textFill>
            <w14:solidFill>
              <w14:schemeClr w14:val="tx1"/>
            </w14:solidFill>
          </w14:textFill>
        </w:rPr>
        <w:t>910.37</w:t>
      </w:r>
      <w:r>
        <w:rPr>
          <w:rFonts w:hint="default" w:ascii="Times New Roman" w:hAnsi="Times New Roman" w:cs="Times New Roman"/>
          <w:color w:val="000000" w:themeColor="text1"/>
          <w:shd w:val="clear" w:color="auto" w:fill="auto"/>
          <w:lang w:val="en-US" w:eastAsia="zh-CN"/>
          <w14:textFill>
            <w14:solidFill>
              <w14:schemeClr w14:val="tx1"/>
            </w14:solidFill>
          </w14:textFill>
        </w:rPr>
        <w:t>万元，占</w:t>
      </w:r>
      <w:r>
        <w:rPr>
          <w:rFonts w:hint="eastAsia" w:ascii="Times New Roman" w:hAnsi="Times New Roman" w:cs="Times New Roman"/>
          <w:color w:val="000000" w:themeColor="text1"/>
          <w:shd w:val="clear" w:color="auto" w:fill="auto"/>
          <w:lang w:val="en-US" w:eastAsia="zh-CN"/>
          <w14:textFill>
            <w14:solidFill>
              <w14:schemeClr w14:val="tx1"/>
            </w14:solidFill>
          </w14:textFill>
        </w:rPr>
        <w:t>85</w:t>
      </w:r>
      <w:r>
        <w:rPr>
          <w:rFonts w:hint="default" w:ascii="Times New Roman" w:hAnsi="Times New Roman" w:cs="Times New Roman"/>
          <w:color w:val="000000" w:themeColor="text1"/>
          <w:shd w:val="clear" w:color="auto" w:fill="auto"/>
          <w:lang w:val="en-US" w:eastAsia="zh-CN"/>
          <w14:textFill>
            <w14:solidFill>
              <w14:schemeClr w14:val="tx1"/>
            </w14:solidFill>
          </w14:textFill>
        </w:rPr>
        <w:t>%，比上年预算增加</w:t>
      </w:r>
      <w:r>
        <w:rPr>
          <w:rFonts w:hint="eastAsia" w:ascii="Times New Roman" w:hAnsi="Times New Roman" w:cs="Times New Roman"/>
          <w:color w:val="000000" w:themeColor="text1"/>
          <w:shd w:val="clear" w:color="auto" w:fill="auto"/>
          <w:lang w:val="en-US" w:eastAsia="zh-CN"/>
          <w14:textFill>
            <w14:solidFill>
              <w14:schemeClr w14:val="tx1"/>
            </w14:solidFill>
          </w14:textFill>
        </w:rPr>
        <w:t>47.89</w:t>
      </w:r>
      <w:r>
        <w:rPr>
          <w:rFonts w:hint="default" w:ascii="Times New Roman" w:hAnsi="Times New Roman" w:cs="Times New Roman"/>
          <w:color w:val="000000" w:themeColor="text1"/>
          <w:shd w:val="clear" w:color="auto" w:fill="auto"/>
          <w:lang w:val="en-US" w:eastAsia="zh-CN"/>
          <w14:textFill>
            <w14:solidFill>
              <w14:schemeClr w14:val="tx1"/>
            </w14:solidFill>
          </w14:textFill>
        </w:rPr>
        <w:t>万元，增长</w:t>
      </w:r>
      <w:r>
        <w:rPr>
          <w:rFonts w:hint="eastAsia" w:ascii="Times New Roman" w:hAnsi="Times New Roman" w:cs="Times New Roman"/>
          <w:color w:val="000000" w:themeColor="text1"/>
          <w:shd w:val="clear" w:color="auto" w:fill="auto"/>
          <w:lang w:val="en-US" w:eastAsia="zh-CN"/>
          <w14:textFill>
            <w14:solidFill>
              <w14:schemeClr w14:val="tx1"/>
            </w14:solidFill>
          </w14:textFill>
        </w:rPr>
        <w:t>5</w:t>
      </w:r>
      <w:r>
        <w:rPr>
          <w:rFonts w:hint="default" w:ascii="Times New Roman" w:hAnsi="Times New Roman" w:cs="Times New Roman"/>
          <w:color w:val="000000" w:themeColor="text1"/>
          <w:shd w:val="clear" w:color="auto" w:fill="auto"/>
          <w:lang w:val="en-US" w:eastAsia="zh-CN"/>
          <w14:textFill>
            <w14:solidFill>
              <w14:schemeClr w14:val="tx1"/>
            </w14:solidFill>
          </w14:textFill>
        </w:rPr>
        <w:t>%，主要原因是</w:t>
      </w:r>
      <w:r>
        <w:rPr>
          <w:rFonts w:hint="eastAsia" w:ascii="Times New Roman" w:hAnsi="Times New Roman" w:cs="Times New Roman"/>
          <w:color w:val="000000" w:themeColor="text1"/>
          <w:shd w:val="clear" w:color="auto" w:fill="auto"/>
          <w:lang w:val="en-US" w:eastAsia="zh-CN"/>
          <w14:textFill>
            <w14:solidFill>
              <w14:schemeClr w14:val="tx1"/>
            </w14:solidFill>
          </w14:textFill>
        </w:rPr>
        <w:t>工作人员增加</w:t>
      </w:r>
      <w:r>
        <w:rPr>
          <w:rFonts w:hint="default" w:ascii="Times New Roman" w:hAnsi="Times New Roman" w:cs="Times New Roman"/>
          <w:color w:val="000000" w:themeColor="text1"/>
          <w:shd w:val="clear" w:color="auto" w:fill="auto"/>
          <w:lang w:val="en-US" w:eastAsia="zh-CN"/>
          <w14:textFill>
            <w14:solidFill>
              <w14:schemeClr w14:val="tx1"/>
            </w14:solidFill>
          </w14:textFill>
        </w:rPr>
        <w:t>；项目支出</w:t>
      </w:r>
      <w:r>
        <w:rPr>
          <w:rFonts w:hint="eastAsia" w:ascii="Times New Roman" w:hAnsi="Times New Roman" w:cs="Times New Roman"/>
          <w:color w:val="000000" w:themeColor="text1"/>
          <w:shd w:val="clear" w:color="auto" w:fill="auto"/>
          <w:lang w:val="en-US" w:eastAsia="zh-CN"/>
          <w14:textFill>
            <w14:solidFill>
              <w14:schemeClr w14:val="tx1"/>
            </w14:solidFill>
          </w14:textFill>
        </w:rPr>
        <w:t>155</w:t>
      </w:r>
      <w:r>
        <w:rPr>
          <w:rFonts w:hint="default" w:ascii="Times New Roman" w:hAnsi="Times New Roman" w:cs="Times New Roman"/>
          <w:color w:val="000000" w:themeColor="text1"/>
          <w:shd w:val="clear" w:color="auto" w:fill="auto"/>
          <w:lang w:val="en-US" w:eastAsia="zh-CN"/>
          <w14:textFill>
            <w14:solidFill>
              <w14:schemeClr w14:val="tx1"/>
            </w14:solidFill>
          </w14:textFill>
        </w:rPr>
        <w:t>万元，占</w:t>
      </w:r>
      <w:r>
        <w:rPr>
          <w:rFonts w:hint="eastAsia" w:ascii="Times New Roman" w:hAnsi="Times New Roman" w:cs="Times New Roman"/>
          <w:color w:val="000000" w:themeColor="text1"/>
          <w:shd w:val="clear" w:color="auto" w:fill="auto"/>
          <w:lang w:val="en-US" w:eastAsia="zh-CN"/>
          <w14:textFill>
            <w14:solidFill>
              <w14:schemeClr w14:val="tx1"/>
            </w14:solidFill>
          </w14:textFill>
        </w:rPr>
        <w:t>15</w:t>
      </w:r>
      <w:r>
        <w:rPr>
          <w:rFonts w:hint="default" w:ascii="Times New Roman" w:hAnsi="Times New Roman" w:cs="Times New Roman"/>
          <w:color w:val="000000" w:themeColor="text1"/>
          <w:shd w:val="clear" w:color="auto" w:fill="auto"/>
          <w:lang w:val="en-US" w:eastAsia="zh-CN"/>
          <w14:textFill>
            <w14:solidFill>
              <w14:schemeClr w14:val="tx1"/>
            </w14:solidFill>
          </w14:textFill>
        </w:rPr>
        <w:t>%，比上年预算</w:t>
      </w:r>
      <w:r>
        <w:rPr>
          <w:rFonts w:hint="eastAsia" w:ascii="Times New Roman" w:hAnsi="Times New Roman" w:cs="Times New Roman"/>
          <w:color w:val="000000" w:themeColor="text1"/>
          <w:shd w:val="clear" w:color="auto" w:fill="auto"/>
          <w:lang w:val="en-US" w:eastAsia="zh-CN"/>
          <w14:textFill>
            <w14:solidFill>
              <w14:schemeClr w14:val="tx1"/>
            </w14:solidFill>
          </w14:textFill>
        </w:rPr>
        <w:t>增加57.76</w:t>
      </w:r>
      <w:r>
        <w:rPr>
          <w:rFonts w:hint="default" w:ascii="Times New Roman" w:hAnsi="Times New Roman" w:cs="Times New Roman"/>
          <w:color w:val="000000" w:themeColor="text1"/>
          <w:shd w:val="clear" w:color="auto" w:fill="auto"/>
          <w:lang w:val="en-US" w:eastAsia="zh-CN"/>
          <w14:textFill>
            <w14:solidFill>
              <w14:schemeClr w14:val="tx1"/>
            </w14:solidFill>
          </w14:textFill>
        </w:rPr>
        <w:t>万元，增长</w:t>
      </w:r>
      <w:r>
        <w:rPr>
          <w:rFonts w:hint="eastAsia" w:ascii="Times New Roman" w:hAnsi="Times New Roman" w:cs="Times New Roman"/>
          <w:color w:val="000000" w:themeColor="text1"/>
          <w:shd w:val="clear" w:color="auto" w:fill="auto"/>
          <w:lang w:val="en-US" w:eastAsia="zh-CN"/>
          <w14:textFill>
            <w14:solidFill>
              <w14:schemeClr w14:val="tx1"/>
            </w14:solidFill>
          </w14:textFill>
        </w:rPr>
        <w:t>59</w:t>
      </w:r>
      <w:r>
        <w:rPr>
          <w:rFonts w:hint="default" w:ascii="Times New Roman" w:hAnsi="Times New Roman" w:cs="Times New Roman"/>
          <w:color w:val="000000" w:themeColor="text1"/>
          <w:shd w:val="clear" w:color="auto" w:fill="auto"/>
          <w:lang w:val="en-US" w:eastAsia="zh-CN"/>
          <w14:textFill>
            <w14:solidFill>
              <w14:schemeClr w14:val="tx1"/>
            </w14:solidFill>
          </w14:textFill>
        </w:rPr>
        <w:t>%，主要原因是</w:t>
      </w:r>
      <w:r>
        <w:rPr>
          <w:rFonts w:hint="eastAsia" w:ascii="Times New Roman" w:hAnsi="Times New Roman" w:cs="Times New Roman"/>
          <w:color w:val="000000" w:themeColor="text1"/>
          <w:shd w:val="clear" w:color="auto" w:fill="auto"/>
          <w:lang w:val="en-US" w:eastAsia="zh-CN"/>
          <w14:textFill>
            <w14:solidFill>
              <w14:schemeClr w14:val="tx1"/>
            </w14:solidFill>
          </w14:textFill>
        </w:rPr>
        <w:t>中央转移支付项目预算增加</w:t>
      </w:r>
      <w:r>
        <w:rPr>
          <w:rFonts w:hint="default" w:ascii="Times New Roman" w:hAnsi="Times New Roman" w:cs="Times New Roman"/>
          <w:color w:val="000000" w:themeColor="text1"/>
          <w:shd w:val="clear" w:color="auto" w:fill="auto"/>
          <w:lang w:val="en-US" w:eastAsia="zh-CN"/>
          <w14:textFill>
            <w14:solidFill>
              <w14:schemeClr w14:val="tx1"/>
            </w14:solidFill>
          </w14:textFill>
        </w:rPr>
        <w:t>。</w:t>
      </w:r>
    </w:p>
    <w:p>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color w:val="000000" w:themeColor="text1"/>
          <w:lang w:val="en-US" w:eastAsia="zh-CN"/>
          <w14:textFill>
            <w14:solidFill>
              <w14:schemeClr w14:val="tx1"/>
            </w14:solidFill>
          </w14:textFill>
        </w:rPr>
      </w:pPr>
      <w:r>
        <w:rPr>
          <w:rFonts w:hint="default" w:ascii="Times New Roman" w:hAnsi="Times New Roman" w:eastAsia="仿宋_GB2312" w:cs="Times New Roman"/>
          <w:color w:val="000000" w:themeColor="text1"/>
          <w:lang w:val="en-US" w:eastAsia="zh-CN"/>
          <w14:textFill>
            <w14:solidFill>
              <w14:schemeClr w14:val="tx1"/>
            </w14:solidFill>
          </w14:textFill>
        </w:rPr>
        <w:t>2.预算调整（追加减）情况</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bCs/>
          <w:color w:val="000000" w:themeColor="text1"/>
          <w:lang w:eastAsia="zh-CN"/>
          <w14:textFill>
            <w14:solidFill>
              <w14:schemeClr w14:val="tx1"/>
            </w14:solidFill>
          </w14:textFill>
        </w:rPr>
        <w:t>我单位</w:t>
      </w:r>
      <w:r>
        <w:rPr>
          <w:rFonts w:hint="default" w:ascii="Times New Roman" w:hAnsi="Times New Roman" w:cs="Times New Roman"/>
          <w:bCs/>
          <w:color w:val="000000" w:themeColor="text1"/>
          <w14:textFill>
            <w14:solidFill>
              <w14:schemeClr w14:val="tx1"/>
            </w14:solidFill>
          </w14:textFill>
        </w:rPr>
        <w:t>202</w:t>
      </w:r>
      <w:r>
        <w:rPr>
          <w:rFonts w:hint="default" w:ascii="Times New Roman" w:hAnsi="Times New Roman" w:cs="Times New Roman"/>
          <w:bCs/>
          <w:color w:val="000000" w:themeColor="text1"/>
          <w:lang w:val="en-US" w:eastAsia="zh-CN"/>
          <w14:textFill>
            <w14:solidFill>
              <w14:schemeClr w14:val="tx1"/>
            </w14:solidFill>
          </w14:textFill>
        </w:rPr>
        <w:t>3</w:t>
      </w:r>
      <w:r>
        <w:rPr>
          <w:rFonts w:hint="default" w:ascii="Times New Roman" w:hAnsi="Times New Roman" w:cs="Times New Roman"/>
          <w:bCs/>
          <w:color w:val="000000" w:themeColor="text1"/>
          <w14:textFill>
            <w14:solidFill>
              <w14:schemeClr w14:val="tx1"/>
            </w14:solidFill>
          </w14:textFill>
        </w:rPr>
        <w:t>年度全年预算</w:t>
      </w:r>
      <w:r>
        <w:rPr>
          <w:rFonts w:hint="default" w:ascii="Times New Roman" w:hAnsi="Times New Roman" w:cs="Times New Roman"/>
          <w:bCs/>
          <w:color w:val="000000" w:themeColor="text1"/>
          <w:lang w:val="en-US" w:eastAsia="zh-CN"/>
          <w14:textFill>
            <w14:solidFill>
              <w14:schemeClr w14:val="tx1"/>
            </w14:solidFill>
          </w14:textFill>
        </w:rPr>
        <w:t>数</w:t>
      </w:r>
      <w:r>
        <w:rPr>
          <w:rFonts w:hint="default" w:ascii="Times New Roman" w:hAnsi="Times New Roman" w:cs="Times New Roman"/>
          <w:bCs/>
          <w:color w:val="000000" w:themeColor="text1"/>
          <w14:textFill>
            <w14:solidFill>
              <w14:schemeClr w14:val="tx1"/>
            </w14:solidFill>
          </w14:textFill>
        </w:rPr>
        <w:t>为</w:t>
      </w:r>
      <w:r>
        <w:rPr>
          <w:rFonts w:hint="eastAsia" w:ascii="Times New Roman" w:hAnsi="Times New Roman" w:cs="Times New Roman"/>
          <w:color w:val="000000" w:themeColor="text1"/>
          <w:lang w:val="en-US" w:eastAsia="zh-CN"/>
          <w14:textFill>
            <w14:solidFill>
              <w14:schemeClr w14:val="tx1"/>
            </w14:solidFill>
          </w14:textFill>
        </w:rPr>
        <w:t>995.56</w:t>
      </w:r>
      <w:r>
        <w:rPr>
          <w:rFonts w:hint="default" w:ascii="Times New Roman" w:hAnsi="Times New Roman" w:cs="Times New Roman"/>
          <w:bCs/>
          <w:color w:val="000000" w:themeColor="text1"/>
          <w14:textFill>
            <w14:solidFill>
              <w14:schemeClr w14:val="tx1"/>
            </w14:solidFill>
          </w14:textFill>
        </w:rPr>
        <w:t>万元，预算调整数为</w:t>
      </w:r>
      <w:r>
        <w:rPr>
          <w:rFonts w:hint="eastAsia" w:ascii="Times New Roman" w:hAnsi="Times New Roman" w:cs="Times New Roman"/>
          <w:color w:val="000000" w:themeColor="text1"/>
          <w:lang w:val="en-US" w:eastAsia="zh-CN"/>
          <w14:textFill>
            <w14:solidFill>
              <w14:schemeClr w14:val="tx1"/>
            </w14:solidFill>
          </w14:textFill>
        </w:rPr>
        <w:t>-69.81</w:t>
      </w:r>
      <w:r>
        <w:rPr>
          <w:rFonts w:hint="default" w:ascii="Times New Roman" w:hAnsi="Times New Roman" w:cs="Times New Roman"/>
          <w:bCs/>
          <w:color w:val="000000" w:themeColor="text1"/>
          <w14:textFill>
            <w14:solidFill>
              <w14:schemeClr w14:val="tx1"/>
            </w14:solidFill>
          </w14:textFill>
        </w:rPr>
        <w:t>万元，预算</w:t>
      </w:r>
      <w:r>
        <w:rPr>
          <w:rFonts w:hint="default" w:ascii="Times New Roman" w:hAnsi="Times New Roman" w:cs="Times New Roman"/>
          <w:bCs/>
          <w:color w:val="000000" w:themeColor="text1"/>
          <w:lang w:val="en-US" w:eastAsia="zh-CN"/>
          <w14:textFill>
            <w14:solidFill>
              <w14:schemeClr w14:val="tx1"/>
            </w14:solidFill>
          </w14:textFill>
        </w:rPr>
        <w:t>调整</w:t>
      </w:r>
      <w:r>
        <w:rPr>
          <w:rFonts w:hint="default" w:ascii="Times New Roman" w:hAnsi="Times New Roman" w:cs="Times New Roman"/>
          <w:bCs/>
          <w:color w:val="000000" w:themeColor="text1"/>
          <w14:textFill>
            <w14:solidFill>
              <w14:schemeClr w14:val="tx1"/>
            </w14:solidFill>
          </w14:textFill>
        </w:rPr>
        <w:t>率为</w:t>
      </w:r>
      <w:r>
        <w:rPr>
          <w:rFonts w:hint="eastAsia" w:ascii="Times New Roman" w:hAnsi="Times New Roman" w:cs="Times New Roman"/>
          <w:color w:val="000000" w:themeColor="text1"/>
          <w:lang w:val="en-US" w:eastAsia="zh-CN"/>
          <w14:textFill>
            <w14:solidFill>
              <w14:schemeClr w14:val="tx1"/>
            </w14:solidFill>
          </w14:textFill>
        </w:rPr>
        <w:t>-0.06</w:t>
      </w:r>
      <w:r>
        <w:rPr>
          <w:rFonts w:hint="default" w:ascii="Times New Roman" w:hAnsi="Times New Roman" w:cs="Times New Roman"/>
          <w:bCs/>
          <w:color w:val="000000" w:themeColor="text1"/>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。预算调整原因是：追加</w:t>
      </w:r>
      <w:r>
        <w:rPr>
          <w:rFonts w:hint="eastAsia" w:ascii="Times New Roman" w:hAnsi="Times New Roman" w:cs="Times New Roman"/>
          <w:color w:val="000000" w:themeColor="text1"/>
          <w:lang w:val="en-US" w:eastAsia="zh-CN"/>
          <w14:textFill>
            <w14:solidFill>
              <w14:schemeClr w14:val="tx1"/>
            </w14:solidFill>
          </w14:textFill>
        </w:rPr>
        <w:t>人员和公用</w:t>
      </w:r>
      <w:r>
        <w:rPr>
          <w:rFonts w:hint="default" w:ascii="Times New Roman" w:hAnsi="Times New Roman" w:cs="Times New Roman"/>
          <w:color w:val="000000" w:themeColor="text1"/>
          <w:lang w:val="en-US" w:eastAsia="zh-CN"/>
          <w14:textFill>
            <w14:solidFill>
              <w14:schemeClr w14:val="tx1"/>
            </w14:solidFill>
          </w14:textFill>
        </w:rPr>
        <w:t>经费</w:t>
      </w:r>
      <w:r>
        <w:rPr>
          <w:rFonts w:hint="eastAsia" w:ascii="Times New Roman" w:hAnsi="Times New Roman" w:cs="Times New Roman"/>
          <w:color w:val="000000" w:themeColor="text1"/>
          <w:lang w:val="en-US" w:eastAsia="zh-CN"/>
          <w14:textFill>
            <w14:solidFill>
              <w14:schemeClr w14:val="tx1"/>
            </w14:solidFill>
          </w14:textFill>
        </w:rPr>
        <w:t>47.89</w:t>
      </w:r>
      <w:r>
        <w:rPr>
          <w:rFonts w:hint="default" w:ascii="Times New Roman" w:hAnsi="Times New Roman" w:cs="Times New Roman"/>
          <w:color w:val="000000" w:themeColor="text1"/>
          <w:lang w:val="en-US" w:eastAsia="zh-CN"/>
          <w14:textFill>
            <w14:solidFill>
              <w14:schemeClr w14:val="tx1"/>
            </w14:solidFill>
          </w14:textFill>
        </w:rPr>
        <w:t>万元，调减</w:t>
      </w:r>
      <w:r>
        <w:rPr>
          <w:rFonts w:hint="eastAsia" w:ascii="Times New Roman" w:hAnsi="Times New Roman" w:cs="Times New Roman"/>
          <w:color w:val="000000" w:themeColor="text1"/>
          <w:lang w:val="en-US" w:eastAsia="zh-CN"/>
          <w14:textFill>
            <w14:solidFill>
              <w14:schemeClr w14:val="tx1"/>
            </w14:solidFill>
          </w14:textFill>
        </w:rPr>
        <w:t>项目</w:t>
      </w:r>
      <w:r>
        <w:rPr>
          <w:rFonts w:hint="default" w:ascii="Times New Roman" w:hAnsi="Times New Roman" w:cs="Times New Roman"/>
          <w:color w:val="000000" w:themeColor="text1"/>
          <w:lang w:val="en-US" w:eastAsia="zh-CN"/>
          <w14:textFill>
            <w14:solidFill>
              <w14:schemeClr w14:val="tx1"/>
            </w14:solidFill>
          </w14:textFill>
        </w:rPr>
        <w:t>经费</w:t>
      </w:r>
      <w:r>
        <w:rPr>
          <w:rFonts w:hint="eastAsia" w:ascii="Times New Roman" w:hAnsi="Times New Roman" w:cs="Times New Roman"/>
          <w:color w:val="000000" w:themeColor="text1"/>
          <w:lang w:val="en-US" w:eastAsia="zh-CN"/>
          <w14:textFill>
            <w14:solidFill>
              <w14:schemeClr w14:val="tx1"/>
            </w14:solidFill>
          </w14:textFill>
        </w:rPr>
        <w:t>57.76</w:t>
      </w:r>
      <w:r>
        <w:rPr>
          <w:rFonts w:hint="default" w:ascii="Times New Roman" w:hAnsi="Times New Roman" w:cs="Times New Roman"/>
          <w:color w:val="000000" w:themeColor="text1"/>
          <w:lang w:val="en-US" w:eastAsia="zh-CN"/>
          <w14:textFill>
            <w14:solidFill>
              <w14:schemeClr w14:val="tx1"/>
            </w14:solidFill>
          </w14:textFill>
        </w:rPr>
        <w:t>万元等。</w:t>
      </w:r>
    </w:p>
    <w:p>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color w:val="000000" w:themeColor="text1"/>
          <w:lang w:val="en-US" w:eastAsia="zh-CN"/>
          <w14:textFill>
            <w14:solidFill>
              <w14:schemeClr w14:val="tx1"/>
            </w14:solidFill>
          </w14:textFill>
        </w:rPr>
      </w:pPr>
      <w:r>
        <w:rPr>
          <w:rFonts w:hint="default" w:ascii="Times New Roman" w:hAnsi="Times New Roman" w:eastAsia="仿宋_GB2312" w:cs="Times New Roman"/>
          <w:color w:val="000000" w:themeColor="text1"/>
          <w:lang w:val="en-US" w:eastAsia="zh-CN"/>
          <w14:textFill>
            <w14:solidFill>
              <w14:schemeClr w14:val="tx1"/>
            </w14:solidFill>
          </w14:textFill>
        </w:rPr>
        <w:t>3.资金使用主要内容、涉及的范围</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我单位2023年度部门整体支出为</w:t>
      </w:r>
      <w:r>
        <w:rPr>
          <w:rFonts w:hint="eastAsia" w:ascii="Times New Roman" w:hAnsi="Times New Roman" w:cs="Times New Roman"/>
          <w:color w:val="000000" w:themeColor="text1"/>
          <w:lang w:val="en-US" w:eastAsia="zh-CN"/>
          <w14:textFill>
            <w14:solidFill>
              <w14:schemeClr w14:val="tx1"/>
            </w14:solidFill>
          </w14:textFill>
        </w:rPr>
        <w:t>995.56</w:t>
      </w:r>
      <w:r>
        <w:rPr>
          <w:rFonts w:hint="default" w:ascii="Times New Roman" w:hAnsi="Times New Roman" w:cs="Times New Roman"/>
          <w:color w:val="000000" w:themeColor="text1"/>
          <w:lang w:val="en-US" w:eastAsia="zh-CN"/>
          <w14:textFill>
            <w14:solidFill>
              <w14:schemeClr w14:val="tx1"/>
            </w14:solidFill>
          </w14:textFill>
        </w:rPr>
        <w:t>万元，其中：</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1.支出性质：基本支出</w:t>
      </w:r>
      <w:r>
        <w:rPr>
          <w:rFonts w:hint="eastAsia" w:ascii="Times New Roman" w:hAnsi="Times New Roman" w:cs="Times New Roman"/>
          <w:color w:val="000000" w:themeColor="text1"/>
          <w:lang w:val="en-US" w:eastAsia="zh-CN"/>
          <w14:textFill>
            <w14:solidFill>
              <w14:schemeClr w14:val="tx1"/>
            </w14:solidFill>
          </w14:textFill>
        </w:rPr>
        <w:t>910.37</w:t>
      </w:r>
      <w:r>
        <w:rPr>
          <w:rFonts w:hint="default" w:ascii="Times New Roman" w:hAnsi="Times New Roman" w:cs="Times New Roman"/>
          <w:color w:val="000000" w:themeColor="text1"/>
          <w:lang w:val="en-US" w:eastAsia="zh-CN"/>
          <w14:textFill>
            <w14:solidFill>
              <w14:schemeClr w14:val="tx1"/>
            </w14:solidFill>
          </w14:textFill>
        </w:rPr>
        <w:t>万元，资金的使用方向为我单位机关人员经费支出</w:t>
      </w:r>
      <w:r>
        <w:rPr>
          <w:rFonts w:hint="eastAsia" w:ascii="Times New Roman" w:hAnsi="Times New Roman" w:cs="Times New Roman"/>
          <w:color w:val="000000" w:themeColor="text1"/>
          <w:lang w:val="en-US" w:eastAsia="zh-CN"/>
          <w14:textFill>
            <w14:solidFill>
              <w14:schemeClr w14:val="tx1"/>
            </w14:solidFill>
          </w14:textFill>
        </w:rPr>
        <w:t>734.53</w:t>
      </w:r>
      <w:r>
        <w:rPr>
          <w:rFonts w:hint="default" w:ascii="Times New Roman" w:hAnsi="Times New Roman" w:cs="Times New Roman"/>
          <w:color w:val="000000" w:themeColor="text1"/>
          <w:lang w:val="en-US" w:eastAsia="zh-CN"/>
          <w14:textFill>
            <w14:solidFill>
              <w14:schemeClr w14:val="tx1"/>
            </w14:solidFill>
          </w14:textFill>
        </w:rPr>
        <w:t>万元，日常公用经费支出</w:t>
      </w:r>
      <w:r>
        <w:rPr>
          <w:rFonts w:hint="eastAsia" w:ascii="Times New Roman" w:hAnsi="Times New Roman" w:cs="Times New Roman"/>
          <w:color w:val="000000" w:themeColor="text1"/>
          <w:lang w:val="en-US" w:eastAsia="zh-CN"/>
          <w14:textFill>
            <w14:solidFill>
              <w14:schemeClr w14:val="tx1"/>
            </w14:solidFill>
          </w14:textFill>
        </w:rPr>
        <w:t>175.84</w:t>
      </w:r>
      <w:r>
        <w:rPr>
          <w:rFonts w:hint="default" w:ascii="Times New Roman" w:hAnsi="Times New Roman" w:cs="Times New Roman"/>
          <w:color w:val="000000" w:themeColor="text1"/>
          <w:lang w:val="en-US" w:eastAsia="zh-CN"/>
          <w14:textFill>
            <w14:solidFill>
              <w14:schemeClr w14:val="tx1"/>
            </w14:solidFill>
          </w14:textFill>
        </w:rPr>
        <w:t>万元；项目支出共计</w:t>
      </w:r>
      <w:r>
        <w:rPr>
          <w:rFonts w:hint="eastAsia" w:ascii="Times New Roman" w:hAnsi="Times New Roman" w:cs="Times New Roman"/>
          <w:color w:val="000000" w:themeColor="text1"/>
          <w:lang w:val="en-US" w:eastAsia="zh-CN"/>
          <w14:textFill>
            <w14:solidFill>
              <w14:schemeClr w14:val="tx1"/>
            </w14:solidFill>
          </w14:textFill>
        </w:rPr>
        <w:t>155</w:t>
      </w:r>
      <w:r>
        <w:rPr>
          <w:rFonts w:hint="default" w:ascii="Times New Roman" w:hAnsi="Times New Roman" w:cs="Times New Roman"/>
          <w:color w:val="000000" w:themeColor="text1"/>
          <w:lang w:val="en-US" w:eastAsia="zh-CN"/>
          <w14:textFill>
            <w14:solidFill>
              <w14:schemeClr w14:val="tx1"/>
            </w14:solidFill>
          </w14:textFill>
        </w:rPr>
        <w:t>万元，主要用于保障</w:t>
      </w:r>
      <w:r>
        <w:rPr>
          <w:rFonts w:hint="eastAsia" w:ascii="Times New Roman" w:hAnsi="Times New Roman" w:cs="Times New Roman"/>
          <w:color w:val="000000" w:themeColor="text1"/>
          <w:lang w:val="en-US" w:eastAsia="zh-CN"/>
          <w14:textFill>
            <w14:solidFill>
              <w14:schemeClr w14:val="tx1"/>
            </w14:solidFill>
          </w14:textFill>
        </w:rPr>
        <w:t>中央转移支付</w:t>
      </w:r>
      <w:r>
        <w:rPr>
          <w:rFonts w:hint="default" w:ascii="Times New Roman" w:hAnsi="Times New Roman" w:cs="Times New Roman"/>
          <w:color w:val="000000" w:themeColor="text1"/>
          <w:lang w:val="en-US" w:eastAsia="zh-CN"/>
          <w14:textFill>
            <w14:solidFill>
              <w14:schemeClr w14:val="tx1"/>
            </w14:solidFill>
          </w14:textFill>
        </w:rPr>
        <w:t>项目支出；</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lang w:val="en-US" w:eastAsia="zh-CN"/>
          <w14:textFill>
            <w14:solidFill>
              <w14:schemeClr w14:val="tx1"/>
            </w14:solidFill>
          </w14:textFill>
        </w:rPr>
        <w:t>.涉及范围</w:t>
      </w:r>
      <w:r>
        <w:rPr>
          <w:rFonts w:hint="eastAsia"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按经济分类) ：包括工资福利支出</w:t>
      </w:r>
      <w:r>
        <w:rPr>
          <w:rFonts w:hint="eastAsia" w:ascii="Times New Roman" w:hAnsi="Times New Roman" w:cs="Times New Roman"/>
          <w:color w:val="000000" w:themeColor="text1"/>
          <w:lang w:val="en-US" w:eastAsia="zh-CN"/>
          <w14:textFill>
            <w14:solidFill>
              <w14:schemeClr w14:val="tx1"/>
            </w14:solidFill>
          </w14:textFill>
        </w:rPr>
        <w:t>742.78</w:t>
      </w:r>
      <w:r>
        <w:rPr>
          <w:rFonts w:hint="default" w:ascii="Times New Roman" w:hAnsi="Times New Roman" w:cs="Times New Roman"/>
          <w:color w:val="000000" w:themeColor="text1"/>
          <w:lang w:val="en-US" w:eastAsia="zh-CN"/>
          <w14:textFill>
            <w14:solidFill>
              <w14:schemeClr w14:val="tx1"/>
            </w14:solidFill>
          </w14:textFill>
        </w:rPr>
        <w:t>万元，商品和服务支出</w:t>
      </w:r>
      <w:r>
        <w:rPr>
          <w:rFonts w:hint="eastAsia" w:ascii="Times New Roman" w:hAnsi="Times New Roman" w:cs="Times New Roman"/>
          <w:color w:val="000000" w:themeColor="text1"/>
          <w:lang w:val="en-US" w:eastAsia="zh-CN"/>
          <w14:textFill>
            <w14:solidFill>
              <w14:schemeClr w14:val="tx1"/>
            </w14:solidFill>
          </w14:textFill>
        </w:rPr>
        <w:t>246.82</w:t>
      </w:r>
      <w:r>
        <w:rPr>
          <w:rFonts w:hint="default" w:ascii="Times New Roman" w:hAnsi="Times New Roman" w:cs="Times New Roman"/>
          <w:color w:val="000000" w:themeColor="text1"/>
          <w:lang w:val="en-US" w:eastAsia="zh-CN"/>
          <w14:textFill>
            <w14:solidFill>
              <w14:schemeClr w14:val="tx1"/>
            </w14:solidFill>
          </w14:textFill>
        </w:rPr>
        <w:t>万元，对个人和家庭的补助</w:t>
      </w:r>
      <w:r>
        <w:rPr>
          <w:rFonts w:hint="eastAsia" w:ascii="Times New Roman" w:hAnsi="Times New Roman" w:cs="Times New Roman"/>
          <w:color w:val="000000" w:themeColor="text1"/>
          <w:lang w:val="en-US" w:eastAsia="zh-CN"/>
          <w14:textFill>
            <w14:solidFill>
              <w14:schemeClr w14:val="tx1"/>
            </w14:solidFill>
          </w14:textFill>
        </w:rPr>
        <w:t>4.84</w:t>
      </w:r>
      <w:r>
        <w:rPr>
          <w:rFonts w:hint="default" w:ascii="Times New Roman" w:hAnsi="Times New Roman" w:cs="Times New Roman"/>
          <w:color w:val="000000" w:themeColor="text1"/>
          <w:lang w:val="en-US" w:eastAsia="zh-CN"/>
          <w14:textFill>
            <w14:solidFill>
              <w14:schemeClr w14:val="tx1"/>
            </w14:solidFill>
          </w14:textFill>
        </w:rPr>
        <w:t>万元。</w:t>
      </w:r>
    </w:p>
    <w:p>
      <w:pPr>
        <w:pStyle w:val="3"/>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rPr>
      </w:pPr>
      <w:bookmarkStart w:id="1" w:name="_Toc32535_WPSOffice_Level1"/>
      <w:r>
        <w:rPr>
          <w:rFonts w:hint="default" w:ascii="Times New Roman" w:hAnsi="Times New Roman" w:cs="Times New Roman"/>
          <w:color w:val="auto"/>
          <w:lang w:val="en-US" w:eastAsia="zh-CN"/>
        </w:rPr>
        <w:t>二、</w:t>
      </w:r>
      <w:r>
        <w:rPr>
          <w:rFonts w:hint="default" w:ascii="Times New Roman" w:hAnsi="Times New Roman" w:cs="Times New Roman"/>
          <w:color w:val="auto"/>
        </w:rPr>
        <w:t>部门单位整体支出管理及使用情况</w:t>
      </w:r>
      <w:bookmarkEnd w:id="1"/>
    </w:p>
    <w:p>
      <w:pPr>
        <w:pStyle w:val="2"/>
        <w:pageBreakBefore w:val="0"/>
        <w:widowControl w:val="0"/>
        <w:kinsoku/>
        <w:wordWrap/>
        <w:overflowPunct/>
        <w:topLinePunct w:val="0"/>
        <w:autoSpaceDE/>
        <w:autoSpaceDN/>
        <w:bidi w:val="0"/>
        <w:adjustRightInd w:val="0"/>
        <w:snapToGrid w:val="0"/>
        <w:spacing w:before="0" w:beforeLines="0" w:afterLines="0"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（一）部门收入支出总体情况</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我单位2023年度全年部门整体支出</w:t>
      </w:r>
      <w:r>
        <w:rPr>
          <w:rFonts w:hint="eastAsia" w:ascii="Times New Roman" w:hAnsi="Times New Roman" w:cs="Times New Roman"/>
          <w:color w:val="000000" w:themeColor="text1"/>
          <w:lang w:val="en-US" w:eastAsia="zh-CN"/>
          <w14:textFill>
            <w14:solidFill>
              <w14:schemeClr w14:val="tx1"/>
            </w14:solidFill>
          </w14:textFill>
        </w:rPr>
        <w:t>994.44</w:t>
      </w:r>
      <w:r>
        <w:rPr>
          <w:rFonts w:hint="default" w:ascii="Times New Roman" w:hAnsi="Times New Roman" w:cs="Times New Roman"/>
          <w:color w:val="000000" w:themeColor="text1"/>
          <w:lang w:val="en-US" w:eastAsia="zh-CN"/>
          <w14:textFill>
            <w14:solidFill>
              <w14:schemeClr w14:val="tx1"/>
            </w14:solidFill>
          </w14:textFill>
        </w:rPr>
        <w:t>万元，其中：基本支出</w:t>
      </w:r>
      <w:r>
        <w:rPr>
          <w:rFonts w:hint="eastAsia" w:ascii="Times New Roman" w:hAnsi="Times New Roman" w:cs="Times New Roman"/>
          <w:color w:val="000000" w:themeColor="text1"/>
          <w:lang w:val="en-US" w:eastAsia="zh-CN"/>
          <w14:textFill>
            <w14:solidFill>
              <w14:schemeClr w14:val="tx1"/>
            </w14:solidFill>
          </w14:textFill>
        </w:rPr>
        <w:t>819.44</w:t>
      </w:r>
      <w:r>
        <w:rPr>
          <w:rFonts w:hint="default" w:ascii="Times New Roman" w:hAnsi="Times New Roman" w:cs="Times New Roman"/>
          <w:color w:val="000000" w:themeColor="text1"/>
          <w:lang w:val="en-US" w:eastAsia="zh-CN"/>
          <w14:textFill>
            <w14:solidFill>
              <w14:schemeClr w14:val="tx1"/>
            </w14:solidFill>
          </w14:textFill>
        </w:rPr>
        <w:t>万元，项目支出</w:t>
      </w:r>
      <w:r>
        <w:rPr>
          <w:rFonts w:hint="eastAsia" w:ascii="Times New Roman" w:hAnsi="Times New Roman" w:cs="Times New Roman"/>
          <w:color w:val="000000" w:themeColor="text1"/>
          <w:lang w:val="en-US" w:eastAsia="zh-CN"/>
          <w14:textFill>
            <w14:solidFill>
              <w14:schemeClr w14:val="tx1"/>
            </w14:solidFill>
          </w14:textFill>
        </w:rPr>
        <w:t>175</w:t>
      </w:r>
      <w:r>
        <w:rPr>
          <w:rFonts w:hint="default" w:ascii="Times New Roman" w:hAnsi="Times New Roman" w:cs="Times New Roman"/>
          <w:color w:val="000000" w:themeColor="text1"/>
          <w:lang w:val="en-US" w:eastAsia="zh-CN"/>
          <w14:textFill>
            <w14:solidFill>
              <w14:schemeClr w14:val="tx1"/>
            </w14:solidFill>
          </w14:textFill>
        </w:rPr>
        <w:t>万元。全年预算执行率为</w:t>
      </w:r>
      <w:r>
        <w:rPr>
          <w:rFonts w:hint="eastAsia" w:ascii="Times New Roman" w:hAnsi="Times New Roman" w:cs="Times New Roman"/>
          <w:color w:val="000000" w:themeColor="text1"/>
          <w:lang w:val="en-US" w:eastAsia="zh-CN"/>
          <w14:textFill>
            <w14:solidFill>
              <w14:schemeClr w14:val="tx1"/>
            </w14:solidFill>
          </w14:textFill>
        </w:rPr>
        <w:t>99</w:t>
      </w:r>
      <w:r>
        <w:rPr>
          <w:rFonts w:hint="default" w:ascii="Times New Roman" w:hAnsi="Times New Roman" w:cs="Times New Roman"/>
          <w:color w:val="000000" w:themeColor="text1"/>
          <w:lang w:val="en-US" w:eastAsia="zh-CN"/>
          <w14:textFill>
            <w14:solidFill>
              <w14:schemeClr w14:val="tx1"/>
            </w14:solidFill>
          </w14:textFill>
        </w:rPr>
        <w:t>%。</w:t>
      </w:r>
    </w:p>
    <w:p>
      <w:pPr>
        <w:pStyle w:val="2"/>
        <w:pageBreakBefore w:val="0"/>
        <w:widowControl w:val="0"/>
        <w:kinsoku/>
        <w:wordWrap/>
        <w:overflowPunct/>
        <w:topLinePunct w:val="0"/>
        <w:autoSpaceDE/>
        <w:autoSpaceDN/>
        <w:bidi w:val="0"/>
        <w:adjustRightInd w:val="0"/>
        <w:snapToGrid w:val="0"/>
        <w:spacing w:before="0" w:beforeLines="0" w:afterLines="0" w:line="560" w:lineRule="exact"/>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（二）基本支出和使用情况</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基本支出预算是指为保障部门正常运转、完成日常工作任务而制定的本单位人员薪酬福利支出计划和日常办公经费支出计划，可分为人员经费支出和公用经费支出。2023年我单位部门基本支出全年预算总额</w:t>
      </w:r>
      <w:r>
        <w:rPr>
          <w:rFonts w:hint="eastAsia" w:ascii="Times New Roman" w:hAnsi="Times New Roman" w:cs="Times New Roman"/>
          <w:color w:val="auto"/>
          <w:lang w:val="en-US" w:eastAsia="zh-CN"/>
        </w:rPr>
        <w:t>820.56</w:t>
      </w:r>
      <w:r>
        <w:rPr>
          <w:rFonts w:hint="default" w:ascii="Times New Roman" w:hAnsi="Times New Roman" w:cs="Times New Roman"/>
          <w:color w:val="auto"/>
          <w:lang w:val="en-US" w:eastAsia="zh-CN"/>
        </w:rPr>
        <w:t>万元，全年实际支出</w:t>
      </w:r>
      <w:r>
        <w:rPr>
          <w:rFonts w:hint="eastAsia" w:ascii="Times New Roman" w:hAnsi="Times New Roman" w:cs="Times New Roman"/>
          <w:color w:val="auto"/>
          <w:lang w:val="en-US" w:eastAsia="zh-CN"/>
        </w:rPr>
        <w:t>819.44</w:t>
      </w:r>
      <w:r>
        <w:rPr>
          <w:rFonts w:hint="default" w:ascii="Times New Roman" w:hAnsi="Times New Roman" w:cs="Times New Roman"/>
          <w:color w:val="auto"/>
          <w:lang w:val="en-US" w:eastAsia="zh-CN"/>
        </w:rPr>
        <w:t>万元，资金执行率</w:t>
      </w:r>
      <w:r>
        <w:rPr>
          <w:rFonts w:hint="eastAsia" w:ascii="Times New Roman" w:hAnsi="Times New Roman" w:cs="Times New Roman"/>
          <w:color w:val="auto"/>
          <w:lang w:val="en-US" w:eastAsia="zh-CN"/>
        </w:rPr>
        <w:t>99</w:t>
      </w:r>
      <w:r>
        <w:rPr>
          <w:rFonts w:hint="default" w:ascii="Times New Roman" w:hAnsi="Times New Roman" w:cs="Times New Roman"/>
          <w:color w:val="auto"/>
          <w:lang w:val="en-US" w:eastAsia="zh-CN"/>
        </w:rPr>
        <w:t>%。基本支出严格按照财务管理制度执行，人员工资由相关部门逐个审核，按月申报及发放，其中：</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000000" w:themeColor="text1"/>
          <w:lang w:val="en-US" w:eastAsia="zh-CN"/>
          <w14:textFill>
            <w14:solidFill>
              <w14:schemeClr w14:val="tx1"/>
            </w14:solidFill>
          </w14:textFill>
        </w:rPr>
        <w:t>人员经费支出</w:t>
      </w:r>
      <w:r>
        <w:rPr>
          <w:rFonts w:hint="eastAsia" w:ascii="Times New Roman" w:hAnsi="Times New Roman" w:cs="Times New Roman"/>
          <w:color w:val="000000" w:themeColor="text1"/>
          <w:lang w:val="en-US" w:eastAsia="zh-CN"/>
          <w14:textFill>
            <w14:solidFill>
              <w14:schemeClr w14:val="tx1"/>
            </w14:solidFill>
          </w14:textFill>
        </w:rPr>
        <w:t>747.62</w:t>
      </w:r>
      <w:r>
        <w:rPr>
          <w:rFonts w:hint="default" w:ascii="Times New Roman" w:hAnsi="Times New Roman" w:cs="Times New Roman"/>
          <w:color w:val="000000" w:themeColor="text1"/>
          <w:lang w:val="en-US" w:eastAsia="zh-CN"/>
          <w14:textFill>
            <w14:solidFill>
              <w14:schemeClr w14:val="tx1"/>
            </w14:solidFill>
          </w14:textFill>
        </w:rPr>
        <w:t>万元，</w:t>
      </w:r>
      <w:r>
        <w:rPr>
          <w:rFonts w:hint="default" w:ascii="Times New Roman" w:hAnsi="Times New Roman" w:cs="Times New Roman"/>
          <w:color w:val="auto"/>
          <w:lang w:val="en-US" w:eastAsia="zh-CN"/>
        </w:rPr>
        <w:t>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000000" w:themeColor="text1"/>
          <w:lang w:val="en-US" w:eastAsia="zh-CN"/>
          <w14:textFill>
            <w14:solidFill>
              <w14:schemeClr w14:val="tx1"/>
            </w14:solidFill>
          </w14:textFill>
        </w:rPr>
        <w:t>公用经费支出</w:t>
      </w:r>
      <w:r>
        <w:rPr>
          <w:rFonts w:hint="eastAsia" w:ascii="Times New Roman" w:hAnsi="Times New Roman" w:cs="Times New Roman"/>
          <w:color w:val="000000" w:themeColor="text1"/>
          <w:lang w:val="en-US" w:eastAsia="zh-CN"/>
          <w14:textFill>
            <w14:solidFill>
              <w14:schemeClr w14:val="tx1"/>
            </w14:solidFill>
          </w14:textFill>
        </w:rPr>
        <w:t>71.82</w:t>
      </w:r>
      <w:r>
        <w:rPr>
          <w:rFonts w:hint="default" w:ascii="Times New Roman" w:hAnsi="Times New Roman" w:cs="Times New Roman"/>
          <w:color w:val="000000" w:themeColor="text1"/>
          <w:lang w:val="en-US" w:eastAsia="zh-CN"/>
          <w14:textFill>
            <w14:solidFill>
              <w14:schemeClr w14:val="tx1"/>
            </w14:solidFill>
          </w14:textFill>
        </w:rPr>
        <w:t>万元，</w:t>
      </w:r>
      <w:r>
        <w:rPr>
          <w:rFonts w:hint="default" w:ascii="Times New Roman" w:hAnsi="Times New Roman" w:cs="Times New Roman"/>
          <w:color w:val="auto"/>
          <w:lang w:val="en-US" w:eastAsia="zh-CN"/>
        </w:rPr>
        <w:t>主要包括：办公费、印刷费、水费、电费、邮电费、取暖费、物业管理费、差旅费、培训费、公务接待费、工会经费、福利费、公务用车运行维护费、其他交通费用、其他商品和服务支出。</w:t>
      </w:r>
    </w:p>
    <w:p>
      <w:pPr>
        <w:pStyle w:val="2"/>
        <w:pageBreakBefore w:val="0"/>
        <w:widowControl w:val="0"/>
        <w:kinsoku/>
        <w:wordWrap/>
        <w:overflowPunct/>
        <w:topLinePunct w:val="0"/>
        <w:autoSpaceDE/>
        <w:autoSpaceDN/>
        <w:bidi w:val="0"/>
        <w:adjustRightInd w:val="0"/>
        <w:snapToGrid w:val="0"/>
        <w:spacing w:before="0" w:beforeLines="0" w:afterLines="0"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（三）项目支出管理和使用情况</w:t>
      </w:r>
    </w:p>
    <w:p>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1.项目支出安排落实、总投入情况分析</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我单位</w:t>
      </w:r>
      <w:r>
        <w:rPr>
          <w:rFonts w:hint="default" w:ascii="Times New Roman" w:hAnsi="Times New Roman" w:cs="Times New Roman"/>
          <w:color w:val="000000" w:themeColor="text1"/>
          <w:lang w:eastAsia="zh-CN"/>
          <w14:textFill>
            <w14:solidFill>
              <w14:schemeClr w14:val="tx1"/>
            </w14:solidFill>
          </w14:textFill>
        </w:rPr>
        <w:t>202</w:t>
      </w:r>
      <w:r>
        <w:rPr>
          <w:rFonts w:hint="default"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14:textFill>
            <w14:solidFill>
              <w14:schemeClr w14:val="tx1"/>
            </w14:solidFill>
          </w14:textFill>
        </w:rPr>
        <w:t>年</w:t>
      </w:r>
      <w:r>
        <w:rPr>
          <w:rFonts w:hint="default" w:ascii="Times New Roman" w:hAnsi="Times New Roman" w:cs="Times New Roman"/>
          <w:color w:val="000000" w:themeColor="text1"/>
          <w:lang w:val="en-US" w:eastAsia="zh-CN"/>
          <w14:textFill>
            <w14:solidFill>
              <w14:schemeClr w14:val="tx1"/>
            </w14:solidFill>
          </w14:textFill>
        </w:rPr>
        <w:t>度共</w:t>
      </w:r>
      <w:r>
        <w:rPr>
          <w:rFonts w:hint="default" w:ascii="Times New Roman" w:hAnsi="Times New Roman" w:cs="Times New Roman"/>
          <w:color w:val="000000" w:themeColor="text1"/>
          <w:lang w:eastAsia="zh-CN"/>
          <w14:textFill>
            <w14:solidFill>
              <w14:schemeClr w14:val="tx1"/>
            </w14:solidFill>
          </w14:textFill>
        </w:rPr>
        <w:t>安排</w:t>
      </w:r>
      <w:r>
        <w:rPr>
          <w:rFonts w:hint="default" w:ascii="Times New Roman" w:hAnsi="Times New Roman" w:cs="Times New Roman"/>
          <w:color w:val="000000" w:themeColor="text1"/>
          <w:lang w:val="en-US" w:eastAsia="zh-CN"/>
          <w14:textFill>
            <w14:solidFill>
              <w14:schemeClr w14:val="tx1"/>
            </w14:solidFill>
          </w14:textFill>
        </w:rPr>
        <w:t>项目支出预算</w:t>
      </w:r>
      <w:r>
        <w:rPr>
          <w:rFonts w:hint="eastAsia" w:ascii="Times New Roman" w:hAnsi="Times New Roman" w:cs="Times New Roman"/>
          <w:color w:val="000000" w:themeColor="text1"/>
          <w:lang w:val="en-US" w:eastAsia="zh-CN"/>
          <w14:textFill>
            <w14:solidFill>
              <w14:schemeClr w14:val="tx1"/>
            </w14:solidFill>
          </w14:textFill>
        </w:rPr>
        <w:t>155</w:t>
      </w:r>
      <w:r>
        <w:rPr>
          <w:rFonts w:hint="default" w:ascii="Times New Roman" w:hAnsi="Times New Roman" w:cs="Times New Roman"/>
          <w:color w:val="000000" w:themeColor="text1"/>
          <w:lang w:eastAsia="zh-CN"/>
          <w14:textFill>
            <w14:solidFill>
              <w14:schemeClr w14:val="tx1"/>
            </w14:solidFill>
          </w14:textFill>
        </w:rPr>
        <w:t>万元，</w:t>
      </w:r>
      <w:r>
        <w:rPr>
          <w:rFonts w:hint="default" w:ascii="Times New Roman" w:hAnsi="Times New Roman" w:cs="Times New Roman"/>
          <w:color w:val="000000" w:themeColor="text1"/>
          <w:lang w:val="en-US" w:eastAsia="zh-CN"/>
          <w14:textFill>
            <w14:solidFill>
              <w14:schemeClr w14:val="tx1"/>
            </w14:solidFill>
          </w14:textFill>
        </w:rPr>
        <w:t>其中：上级专项资金</w:t>
      </w:r>
      <w:r>
        <w:rPr>
          <w:rFonts w:hint="eastAsia" w:ascii="Times New Roman" w:hAnsi="Times New Roman" w:cs="Times New Roman"/>
          <w:color w:val="000000" w:themeColor="text1"/>
          <w:lang w:val="en-US" w:eastAsia="zh-CN"/>
          <w14:textFill>
            <w14:solidFill>
              <w14:schemeClr w14:val="tx1"/>
            </w14:solidFill>
          </w14:textFill>
        </w:rPr>
        <w:t>155</w:t>
      </w:r>
      <w:r>
        <w:rPr>
          <w:rFonts w:hint="default" w:ascii="Times New Roman" w:hAnsi="Times New Roman" w:cs="Times New Roman"/>
          <w:color w:val="000000" w:themeColor="text1"/>
          <w:lang w:val="en-US" w:eastAsia="zh-CN"/>
          <w14:textFill>
            <w14:solidFill>
              <w14:schemeClr w14:val="tx1"/>
            </w14:solidFill>
          </w14:textFill>
        </w:rPr>
        <w:t>万元</w:t>
      </w:r>
      <w:r>
        <w:rPr>
          <w:rFonts w:hint="default" w:ascii="Times New Roman" w:hAnsi="Times New Roman" w:cs="Times New Roman"/>
          <w:color w:val="000000" w:themeColor="text1"/>
          <w:lang w:eastAsia="zh-CN"/>
          <w14:textFill>
            <w14:solidFill>
              <w14:schemeClr w14:val="tx1"/>
            </w14:solidFill>
          </w14:textFill>
        </w:rPr>
        <w:t>。</w:t>
      </w:r>
    </w:p>
    <w:p>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2.项目支出实际使用、管理情况分析</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我单位</w:t>
      </w:r>
      <w:r>
        <w:rPr>
          <w:rFonts w:hint="default" w:ascii="Times New Roman" w:hAnsi="Times New Roman" w:cs="Times New Roman"/>
          <w:color w:val="000000" w:themeColor="text1"/>
          <w:lang w:eastAsia="zh-CN"/>
          <w14:textFill>
            <w14:solidFill>
              <w14:schemeClr w14:val="tx1"/>
            </w14:solidFill>
          </w14:textFill>
        </w:rPr>
        <w:t>202</w:t>
      </w:r>
      <w:r>
        <w:rPr>
          <w:rFonts w:hint="default"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lang w:eastAsia="zh-CN"/>
          <w14:textFill>
            <w14:solidFill>
              <w14:schemeClr w14:val="tx1"/>
            </w14:solidFill>
          </w14:textFill>
        </w:rPr>
        <w:t>年</w:t>
      </w:r>
      <w:r>
        <w:rPr>
          <w:rFonts w:hint="default" w:ascii="Times New Roman" w:hAnsi="Times New Roman" w:cs="Times New Roman"/>
          <w:color w:val="000000" w:themeColor="text1"/>
          <w:lang w:val="en-US" w:eastAsia="zh-CN"/>
          <w14:textFill>
            <w14:solidFill>
              <w14:schemeClr w14:val="tx1"/>
            </w14:solidFill>
          </w14:textFill>
        </w:rPr>
        <w:t>度</w:t>
      </w:r>
      <w:r>
        <w:rPr>
          <w:rFonts w:hint="default" w:ascii="Times New Roman" w:hAnsi="Times New Roman" w:cs="Times New Roman"/>
          <w:color w:val="000000" w:themeColor="text1"/>
          <w:lang w:eastAsia="zh-CN"/>
          <w14:textFill>
            <w14:solidFill>
              <w14:schemeClr w14:val="tx1"/>
            </w14:solidFill>
          </w14:textFill>
        </w:rPr>
        <w:t>专项资金实际</w:t>
      </w:r>
      <w:r>
        <w:rPr>
          <w:rFonts w:hint="default" w:ascii="Times New Roman" w:hAnsi="Times New Roman" w:cs="Times New Roman"/>
          <w:color w:val="000000" w:themeColor="text1"/>
          <w:lang w:val="en-US" w:eastAsia="zh-CN"/>
          <w14:textFill>
            <w14:solidFill>
              <w14:schemeClr w14:val="tx1"/>
            </w14:solidFill>
          </w14:textFill>
        </w:rPr>
        <w:t>支出</w:t>
      </w:r>
      <w:r>
        <w:rPr>
          <w:rFonts w:hint="eastAsia" w:ascii="Times New Roman" w:hAnsi="Times New Roman" w:cs="Times New Roman"/>
          <w:color w:val="000000" w:themeColor="text1"/>
          <w:lang w:val="en-US" w:eastAsia="zh-CN"/>
          <w14:textFill>
            <w14:solidFill>
              <w14:schemeClr w14:val="tx1"/>
            </w14:solidFill>
          </w14:textFill>
        </w:rPr>
        <w:t>175</w:t>
      </w:r>
      <w:r>
        <w:rPr>
          <w:rFonts w:hint="default" w:ascii="Times New Roman" w:hAnsi="Times New Roman" w:cs="Times New Roman"/>
          <w:color w:val="000000" w:themeColor="text1"/>
          <w:lang w:eastAsia="zh-CN"/>
          <w14:textFill>
            <w14:solidFill>
              <w14:schemeClr w14:val="tx1"/>
            </w14:solidFill>
          </w14:textFill>
        </w:rPr>
        <w:t>万元，</w:t>
      </w:r>
      <w:r>
        <w:rPr>
          <w:rFonts w:hint="default" w:ascii="Times New Roman" w:hAnsi="Times New Roman" w:cs="Times New Roman"/>
          <w:color w:val="000000" w:themeColor="text1"/>
          <w:lang w:val="en-US" w:eastAsia="zh-CN"/>
          <w14:textFill>
            <w14:solidFill>
              <w14:schemeClr w14:val="tx1"/>
            </w14:solidFill>
          </w14:textFill>
        </w:rPr>
        <w:t>其中：上级专项资金支出</w:t>
      </w:r>
      <w:r>
        <w:rPr>
          <w:rFonts w:hint="eastAsia" w:ascii="Times New Roman" w:hAnsi="Times New Roman" w:cs="Times New Roman"/>
          <w:color w:val="000000" w:themeColor="text1"/>
          <w:lang w:val="en-US" w:eastAsia="zh-CN"/>
          <w14:textFill>
            <w14:solidFill>
              <w14:schemeClr w14:val="tx1"/>
            </w14:solidFill>
          </w14:textFill>
        </w:rPr>
        <w:t>175</w:t>
      </w:r>
      <w:r>
        <w:rPr>
          <w:rFonts w:hint="default" w:ascii="Times New Roman" w:hAnsi="Times New Roman" w:cs="Times New Roman"/>
          <w:color w:val="000000" w:themeColor="text1"/>
          <w:lang w:val="en-US" w:eastAsia="zh-CN"/>
          <w14:textFill>
            <w14:solidFill>
              <w14:schemeClr w14:val="tx1"/>
            </w14:solidFill>
          </w14:textFill>
        </w:rPr>
        <w:t>万元，项目预算资金</w:t>
      </w:r>
      <w:r>
        <w:rPr>
          <w:rFonts w:hint="default" w:ascii="Times New Roman" w:hAnsi="Times New Roman" w:cs="Times New Roman"/>
          <w:color w:val="000000" w:themeColor="text1"/>
          <w14:textFill>
            <w14:solidFill>
              <w14:schemeClr w14:val="tx1"/>
            </w14:solidFill>
          </w14:textFill>
        </w:rPr>
        <w:t>执行率</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bookmarkStart w:id="2" w:name="_Toc1734_WPSOffice_Level1"/>
      <w:r>
        <w:rPr>
          <w:rFonts w:hint="eastAsia"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具体项目支出实际使用及管理情况如下：</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（1）上级安排支出项目支出情况</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lang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1.</w:t>
      </w:r>
      <w:r>
        <w:rPr>
          <w:rFonts w:hint="eastAsia" w:ascii="Times New Roman" w:hAnsi="Times New Roman" w:cs="Times New Roman"/>
          <w:color w:val="000000" w:themeColor="text1"/>
          <w:lang w:val="en-US" w:eastAsia="zh-CN"/>
          <w14:textFill>
            <w14:solidFill>
              <w14:schemeClr w14:val="tx1"/>
            </w14:solidFill>
          </w14:textFill>
        </w:rPr>
        <w:t>中央转移支付资金业务装备费</w:t>
      </w:r>
      <w:r>
        <w:rPr>
          <w:rFonts w:hint="default" w:ascii="Times New Roman" w:hAnsi="Times New Roman" w:cs="Times New Roman"/>
          <w:color w:val="000000" w:themeColor="text1"/>
          <w:lang w:val="en-US" w:eastAsia="zh-CN"/>
          <w14:textFill>
            <w14:solidFill>
              <w14:schemeClr w14:val="tx1"/>
            </w14:solidFill>
          </w14:textFill>
        </w:rPr>
        <w:t>项目安排预算资金</w:t>
      </w:r>
      <w:r>
        <w:rPr>
          <w:rFonts w:hint="eastAsia" w:ascii="Times New Roman" w:hAnsi="Times New Roman" w:cs="Times New Roman"/>
          <w:color w:val="000000" w:themeColor="text1"/>
          <w:lang w:val="en-US" w:eastAsia="zh-CN"/>
          <w14:textFill>
            <w14:solidFill>
              <w14:schemeClr w14:val="tx1"/>
            </w14:solidFill>
          </w14:textFill>
        </w:rPr>
        <w:t>175</w:t>
      </w:r>
      <w:r>
        <w:rPr>
          <w:rFonts w:hint="default" w:ascii="Times New Roman" w:hAnsi="Times New Roman" w:cs="Times New Roman"/>
          <w:color w:val="000000" w:themeColor="text1"/>
          <w:lang w:eastAsia="zh-CN"/>
          <w14:textFill>
            <w14:solidFill>
              <w14:schemeClr w14:val="tx1"/>
            </w14:solidFill>
          </w14:textFill>
        </w:rPr>
        <w:t>万元，</w:t>
      </w:r>
      <w:r>
        <w:rPr>
          <w:rFonts w:hint="default" w:ascii="Times New Roman" w:hAnsi="Times New Roman" w:cs="Times New Roman"/>
          <w:color w:val="000000" w:themeColor="text1"/>
          <w:lang w:val="en-US" w:eastAsia="zh-CN"/>
          <w14:textFill>
            <w14:solidFill>
              <w14:schemeClr w14:val="tx1"/>
            </w14:solidFill>
          </w14:textFill>
        </w:rPr>
        <w:t>项目支出</w:t>
      </w:r>
      <w:r>
        <w:rPr>
          <w:rFonts w:hint="eastAsia" w:ascii="Times New Roman" w:hAnsi="Times New Roman" w:cs="Times New Roman"/>
          <w:color w:val="000000" w:themeColor="text1"/>
          <w:lang w:val="en-US" w:eastAsia="zh-CN"/>
          <w14:textFill>
            <w14:solidFill>
              <w14:schemeClr w14:val="tx1"/>
            </w14:solidFill>
          </w14:textFill>
        </w:rPr>
        <w:t>175</w:t>
      </w:r>
      <w:r>
        <w:rPr>
          <w:rFonts w:hint="default" w:ascii="Times New Roman" w:hAnsi="Times New Roman" w:cs="Times New Roman"/>
          <w:color w:val="000000" w:themeColor="text1"/>
          <w:lang w:eastAsia="zh-CN"/>
          <w14:textFill>
            <w14:solidFill>
              <w14:schemeClr w14:val="tx1"/>
            </w14:solidFill>
          </w14:textFill>
        </w:rPr>
        <w:t>万元。</w:t>
      </w:r>
    </w:p>
    <w:p>
      <w:pPr>
        <w:pageBreakBefore w:val="0"/>
        <w:widowControl w:val="0"/>
        <w:kinsoku/>
        <w:wordWrap/>
        <w:overflowPunct/>
        <w:topLinePunct w:val="0"/>
        <w:autoSpaceDE/>
        <w:autoSpaceDN/>
        <w:bidi w:val="0"/>
        <w:adjustRightInd w:val="0"/>
        <w:snapToGrid w:val="0"/>
        <w:spacing w:line="560" w:lineRule="exact"/>
        <w:textAlignment w:val="auto"/>
        <w:rPr>
          <w:rStyle w:val="19"/>
          <w:rFonts w:hint="default" w:ascii="Times New Roman" w:hAnsi="Times New Roman" w:eastAsia="仿宋_GB2312" w:cs="Times New Roman"/>
          <w:b w:val="0"/>
          <w:bCs w:val="0"/>
          <w:color w:val="000000" w:themeColor="text1"/>
          <w:spacing w:val="-4"/>
          <w:szCs w:val="32"/>
          <w:highlight w:val="none"/>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我单位明确项目职责分工和成本控制要求，严格按照相关的专项资金管理办法，实行多重审批控制专项经费的支出，科学地组织实施成本控制，支出严格控制在预算范围内，严格控制成本，本着节约成本，防止资源浪费的原则将项目成效最大化。</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val="0"/>
          <w:bCs w:val="0"/>
          <w:color w:val="000000" w:themeColor="text1"/>
          <w:lang w:val="en-US" w:eastAsia="zh-CN"/>
          <w14:textFill>
            <w14:solidFill>
              <w14:schemeClr w14:val="tx1"/>
            </w14:solidFill>
          </w14:textFill>
        </w:rPr>
      </w:pPr>
      <w:r>
        <w:rPr>
          <w:rFonts w:hint="default" w:ascii="Times New Roman" w:hAnsi="Times New Roman" w:cs="Times New Roman"/>
          <w:b w:val="0"/>
          <w:bCs w:val="0"/>
          <w:color w:val="000000" w:themeColor="text1"/>
          <w:lang w:val="en-US" w:eastAsia="zh-CN"/>
          <w14:textFill>
            <w14:solidFill>
              <w14:schemeClr w14:val="tx1"/>
            </w14:solidFill>
          </w14:textFill>
        </w:rPr>
        <w:t>我单位在</w:t>
      </w:r>
      <w:r>
        <w:rPr>
          <w:rFonts w:hint="default" w:ascii="Times New Roman" w:hAnsi="Times New Roman" w:cs="Times New Roman"/>
          <w:color w:val="000000" w:themeColor="text1"/>
          <w:lang w:val="en-US" w:eastAsia="zh-CN"/>
          <w14:textFill>
            <w14:solidFill>
              <w14:schemeClr w14:val="tx1"/>
            </w14:solidFill>
          </w14:textFill>
        </w:rPr>
        <w:t>项目实施过程加强项目进度管理，及时跟踪项目进展，加强项目督办，充分调动职能部门的积极性，项目于</w:t>
      </w:r>
      <w:r>
        <w:rPr>
          <w:rFonts w:hint="eastAsia" w:ascii="Times New Roman" w:hAnsi="Times New Roman" w:cs="Times New Roman"/>
          <w:color w:val="000000" w:themeColor="text1"/>
          <w:lang w:val="en-US" w:eastAsia="zh-CN"/>
          <w14:textFill>
            <w14:solidFill>
              <w14:schemeClr w14:val="tx1"/>
            </w14:solidFill>
          </w14:textFill>
        </w:rPr>
        <w:t>2023年2月</w:t>
      </w:r>
      <w:r>
        <w:rPr>
          <w:rFonts w:hint="default" w:ascii="Times New Roman" w:hAnsi="Times New Roman" w:cs="Times New Roman"/>
          <w:color w:val="000000" w:themeColor="text1"/>
          <w:lang w:val="en-US" w:eastAsia="zh-CN"/>
          <w14:textFill>
            <w14:solidFill>
              <w14:schemeClr w14:val="tx1"/>
            </w14:solidFill>
          </w14:textFill>
        </w:rPr>
        <w:t>开始实施，</w:t>
      </w:r>
      <w:r>
        <w:rPr>
          <w:rFonts w:hint="eastAsia" w:ascii="Times New Roman" w:hAnsi="Times New Roman" w:cs="Times New Roman"/>
          <w:color w:val="000000" w:themeColor="text1"/>
          <w:lang w:val="en-US" w:eastAsia="zh-CN"/>
          <w14:textFill>
            <w14:solidFill>
              <w14:schemeClr w14:val="tx1"/>
            </w14:solidFill>
          </w14:textFill>
        </w:rPr>
        <w:t>2023年12月</w:t>
      </w:r>
      <w:r>
        <w:rPr>
          <w:rFonts w:hint="default" w:ascii="Times New Roman" w:hAnsi="Times New Roman" w:cs="Times New Roman"/>
          <w:color w:val="000000" w:themeColor="text1"/>
          <w:lang w:val="en-US" w:eastAsia="zh-CN"/>
          <w14:textFill>
            <w14:solidFill>
              <w14:schemeClr w14:val="tx1"/>
            </w14:solidFill>
          </w14:textFill>
        </w:rPr>
        <w:t>完工</w:t>
      </w:r>
      <w:r>
        <w:rPr>
          <w:rFonts w:hint="default" w:ascii="Times New Roman" w:hAnsi="Times New Roman" w:cs="Times New Roman"/>
          <w:b w:val="0"/>
          <w:bCs w:val="0"/>
          <w:color w:val="000000" w:themeColor="text1"/>
          <w:lang w:val="en-US" w:eastAsia="zh-CN"/>
          <w14:textFill>
            <w14:solidFill>
              <w14:schemeClr w14:val="tx1"/>
            </w14:solidFill>
          </w14:textFill>
        </w:rPr>
        <w:t>。</w:t>
      </w:r>
    </w:p>
    <w:p>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3.</w:t>
      </w:r>
      <w:r>
        <w:rPr>
          <w:rFonts w:hint="default" w:ascii="Times New Roman" w:hAnsi="Times New Roman" w:cs="Times New Roman"/>
          <w:color w:val="auto"/>
          <w:lang w:val="en-US" w:eastAsia="zh-CN"/>
        </w:rPr>
        <w:t>项目管理情况</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（1）管理制度健全性</w:t>
      </w:r>
    </w:p>
    <w:p>
      <w:pPr>
        <w:keepNext w:val="0"/>
        <w:keepLines w:val="0"/>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为加强本单位预算管理、规范财务行为，我单位依据《中华人民共和国预算法》《中华人民共和国预算法实施条例》等规定，结合我单位实际组织架构、业务类型、重点保障领域等因素，制定了</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财务管理制度</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项目管理制度</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、《政府采购管理制度》</w:t>
      </w:r>
      <w:r>
        <w:rPr>
          <w:rFonts w:hint="default" w:ascii="Times New Roman" w:hAnsi="Times New Roman" w:cs="Times New Roman"/>
          <w:color w:val="auto"/>
          <w:lang w:val="en-US" w:eastAsia="zh-CN"/>
        </w:rPr>
        <w:t>等管理制度，已建立管理制度均健全且有效运行。</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（2）资金使用合规性和安全性</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我单位根据专项资金的使用范围和要求，合理安排资金计划，按时完成专项资金项目绩效目标及执行情况的跟踪评价，严格遵循</w:t>
      </w:r>
      <w:r>
        <w:rPr>
          <w:rFonts w:hint="default" w:ascii="Times New Roman" w:hAnsi="Times New Roman" w:cs="Times New Roman"/>
          <w:color w:val="000000" w:themeColor="text1"/>
          <w14:textFill>
            <w14:solidFill>
              <w14:schemeClr w14:val="tx1"/>
            </w14:solidFill>
          </w14:textFill>
        </w:rPr>
        <w:t>国家法规和财务管理制度</w:t>
      </w:r>
      <w:r>
        <w:rPr>
          <w:rFonts w:hint="default" w:ascii="Times New Roman" w:hAnsi="Times New Roman" w:cs="Times New Roman"/>
          <w:color w:val="000000" w:themeColor="text1"/>
          <w:lang w:val="en-US" w:eastAsia="zh-CN"/>
          <w14:textFill>
            <w14:solidFill>
              <w14:schemeClr w14:val="tx1"/>
            </w14:solidFill>
          </w14:textFill>
        </w:rPr>
        <w:t>合法合规使用</w:t>
      </w:r>
      <w:r>
        <w:rPr>
          <w:rFonts w:hint="default" w:ascii="Times New Roman" w:hAnsi="Times New Roman" w:cs="Times New Roman"/>
          <w:color w:val="000000" w:themeColor="text1"/>
          <w14:textFill>
            <w14:solidFill>
              <w14:schemeClr w14:val="tx1"/>
            </w14:solidFill>
          </w14:textFill>
        </w:rPr>
        <w:t>专项资金，</w:t>
      </w:r>
      <w:r>
        <w:rPr>
          <w:rFonts w:hint="default" w:ascii="Times New Roman" w:hAnsi="Times New Roman" w:cs="Times New Roman"/>
          <w:color w:val="000000" w:themeColor="text1"/>
          <w:lang w:val="en-US" w:eastAsia="zh-CN"/>
          <w14:textFill>
            <w14:solidFill>
              <w14:schemeClr w14:val="tx1"/>
            </w14:solidFill>
          </w14:textFill>
        </w:rPr>
        <w:t>保证</w:t>
      </w:r>
      <w:r>
        <w:rPr>
          <w:rFonts w:hint="default" w:ascii="Times New Roman" w:hAnsi="Times New Roman" w:cs="Times New Roman"/>
          <w:color w:val="000000" w:themeColor="text1"/>
          <w14:textFill>
            <w14:solidFill>
              <w14:schemeClr w14:val="tx1"/>
            </w14:solidFill>
          </w14:textFill>
        </w:rPr>
        <w:t>资金拨付有完整的审批程序和手续，符合项目预算批复或合同规定的用途，不存在截留、挤占、挪用、虚列支出等情况。</w:t>
      </w:r>
    </w:p>
    <w:p>
      <w:pPr>
        <w:pStyle w:val="2"/>
        <w:pageBreakBefore w:val="0"/>
        <w:widowControl w:val="0"/>
        <w:kinsoku/>
        <w:wordWrap/>
        <w:overflowPunct/>
        <w:topLinePunct w:val="0"/>
        <w:autoSpaceDE/>
        <w:autoSpaceDN/>
        <w:bidi w:val="0"/>
        <w:adjustRightInd w:val="0"/>
        <w:snapToGrid w:val="0"/>
        <w:spacing w:before="0" w:beforeLines="0" w:afterLines="0"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（四）其中重要支出事项</w:t>
      </w:r>
    </w:p>
    <w:p>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1.三公经费控制情况</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eastAsia="zh-CN"/>
        </w:rPr>
      </w:pPr>
      <w:r>
        <w:rPr>
          <w:rFonts w:hint="default" w:ascii="Times New Roman" w:hAnsi="Times New Roman" w:cs="Times New Roman"/>
          <w:color w:val="auto"/>
          <w:lang w:eastAsia="zh-CN"/>
        </w:rPr>
        <w:t>我单位坚决贯彻落实中央、自治区、</w:t>
      </w:r>
      <w:r>
        <w:rPr>
          <w:rFonts w:hint="eastAsia" w:ascii="Times New Roman" w:hAnsi="Times New Roman" w:cs="Times New Roman"/>
          <w:color w:val="auto"/>
          <w:lang w:val="en-US" w:eastAsia="zh-CN"/>
        </w:rPr>
        <w:t>昌吉州</w:t>
      </w:r>
      <w:r>
        <w:rPr>
          <w:rFonts w:hint="default" w:ascii="Times New Roman" w:hAnsi="Times New Roman" w:cs="Times New Roman"/>
          <w:color w:val="auto"/>
          <w:lang w:eastAsia="zh-CN"/>
        </w:rPr>
        <w:t>厉行勤俭办公的工作要求，提倡本单位全体干部职工，勤俭节约，切实降低行政运行成本，确</w:t>
      </w:r>
      <w:r>
        <w:rPr>
          <w:rFonts w:hint="default" w:ascii="Times New Roman" w:hAnsi="Times New Roman" w:cs="Times New Roman"/>
          <w:color w:val="000000" w:themeColor="text1"/>
          <w:lang w:eastAsia="zh-CN"/>
          <w14:textFill>
            <w14:solidFill>
              <w14:schemeClr w14:val="tx1"/>
            </w14:solidFill>
          </w14:textFill>
        </w:rPr>
        <w:t>保了每年“三公经费”只减不增。我单位202</w:t>
      </w:r>
      <w:r>
        <w:rPr>
          <w:rFonts w:hint="default" w:ascii="Times New Roman" w:hAnsi="Times New Roman" w:cs="Times New Roman"/>
          <w:color w:val="000000" w:themeColor="text1"/>
          <w:lang w:val="en-US" w:eastAsia="zh-CN"/>
          <w14:textFill>
            <w14:solidFill>
              <w14:schemeClr w14:val="tx1"/>
            </w14:solidFill>
          </w14:textFill>
        </w:rPr>
        <w:t>3</w:t>
      </w:r>
      <w:r>
        <w:rPr>
          <w:rFonts w:hint="default" w:ascii="Times New Roman" w:hAnsi="Times New Roman" w:cs="Times New Roman"/>
          <w:color w:val="000000" w:themeColor="text1"/>
          <w:lang w:eastAsia="zh-CN"/>
          <w14:textFill>
            <w14:solidFill>
              <w14:schemeClr w14:val="tx1"/>
            </w14:solidFill>
          </w14:textFill>
        </w:rPr>
        <w:t>年</w:t>
      </w:r>
      <w:r>
        <w:rPr>
          <w:rFonts w:hint="default" w:ascii="Times New Roman" w:hAnsi="Times New Roman" w:cs="Times New Roman"/>
          <w:color w:val="000000" w:themeColor="text1"/>
          <w:lang w:val="en-US" w:eastAsia="zh-CN"/>
          <w14:textFill>
            <w14:solidFill>
              <w14:schemeClr w14:val="tx1"/>
            </w14:solidFill>
          </w14:textFill>
        </w:rPr>
        <w:t>度</w:t>
      </w:r>
      <w:r>
        <w:rPr>
          <w:rFonts w:hint="default" w:ascii="Times New Roman" w:hAnsi="Times New Roman" w:cs="Times New Roman"/>
          <w:color w:val="000000" w:themeColor="text1"/>
          <w:lang w:eastAsia="zh-CN"/>
          <w14:textFill>
            <w14:solidFill>
              <w14:schemeClr w14:val="tx1"/>
            </w14:solidFill>
          </w14:textFill>
        </w:rPr>
        <w:t>“三公经费”预算为</w:t>
      </w:r>
      <w:r>
        <w:rPr>
          <w:rFonts w:hint="eastAsia" w:ascii="Times New Roman" w:hAnsi="Times New Roman" w:cs="Times New Roman"/>
          <w:color w:val="000000" w:themeColor="text1"/>
          <w:lang w:val="en-US" w:eastAsia="zh-CN"/>
          <w14:textFill>
            <w14:solidFill>
              <w14:schemeClr w14:val="tx1"/>
            </w14:solidFill>
          </w14:textFill>
        </w:rPr>
        <w:t>5.60</w:t>
      </w:r>
      <w:r>
        <w:rPr>
          <w:rFonts w:hint="default" w:ascii="Times New Roman" w:hAnsi="Times New Roman" w:cs="Times New Roman"/>
          <w:color w:val="000000" w:themeColor="text1"/>
          <w:lang w:eastAsia="zh-CN"/>
          <w14:textFill>
            <w14:solidFill>
              <w14:schemeClr w14:val="tx1"/>
            </w14:solidFill>
          </w14:textFill>
        </w:rPr>
        <w:t>万元，实际支出</w:t>
      </w:r>
      <w:r>
        <w:rPr>
          <w:rFonts w:hint="eastAsia" w:ascii="Times New Roman" w:hAnsi="Times New Roman" w:cs="Times New Roman"/>
          <w:color w:val="000000" w:themeColor="text1"/>
          <w:lang w:val="en-US" w:eastAsia="zh-CN"/>
          <w14:textFill>
            <w14:solidFill>
              <w14:schemeClr w14:val="tx1"/>
            </w14:solidFill>
          </w14:textFill>
        </w:rPr>
        <w:t>5.60</w:t>
      </w:r>
      <w:r>
        <w:rPr>
          <w:rFonts w:hint="default" w:ascii="Times New Roman" w:hAnsi="Times New Roman" w:cs="Times New Roman"/>
          <w:color w:val="000000" w:themeColor="text1"/>
          <w:lang w:eastAsia="zh-CN"/>
          <w14:textFill>
            <w14:solidFill>
              <w14:schemeClr w14:val="tx1"/>
            </w14:solidFill>
          </w14:textFill>
        </w:rPr>
        <w:t>万元，</w:t>
      </w:r>
      <w:r>
        <w:rPr>
          <w:rFonts w:hint="default" w:ascii="Times New Roman" w:hAnsi="Times New Roman" w:cs="Times New Roman"/>
          <w:color w:val="000000" w:themeColor="text1"/>
          <w:lang w:val="en-US" w:eastAsia="zh-CN"/>
          <w14:textFill>
            <w14:solidFill>
              <w14:schemeClr w14:val="tx1"/>
            </w14:solidFill>
          </w14:textFill>
        </w:rPr>
        <w:t>较上一年增加</w:t>
      </w:r>
      <w:r>
        <w:rPr>
          <w:rFonts w:hint="eastAsia" w:ascii="Times New Roman" w:hAnsi="Times New Roman" w:cs="Times New Roman"/>
          <w:color w:val="000000" w:themeColor="text1"/>
          <w:lang w:val="en-US" w:eastAsia="zh-CN"/>
          <w14:textFill>
            <w14:solidFill>
              <w14:schemeClr w14:val="tx1"/>
            </w14:solidFill>
          </w14:textFill>
        </w:rPr>
        <w:t>0</w:t>
      </w:r>
      <w:r>
        <w:rPr>
          <w:rFonts w:hint="default" w:ascii="Times New Roman" w:hAnsi="Times New Roman" w:cs="Times New Roman"/>
          <w:color w:val="000000" w:themeColor="text1"/>
          <w:lang w:eastAsia="zh-CN"/>
          <w14:textFill>
            <w14:solidFill>
              <w14:schemeClr w14:val="tx1"/>
            </w14:solidFill>
          </w14:textFill>
        </w:rPr>
        <w:t>万元，“三公经费”控制率为</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eastAsia="zh-CN"/>
          <w14:textFill>
            <w14:solidFill>
              <w14:schemeClr w14:val="tx1"/>
            </w14:solidFill>
          </w14:textFill>
        </w:rPr>
        <w:t>%，“三公经费”支出控制较好。其中：</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eastAsia="zh-CN"/>
        </w:rPr>
      </w:pPr>
      <w:r>
        <w:rPr>
          <w:rFonts w:hint="default" w:ascii="Times New Roman" w:hAnsi="Times New Roman" w:cs="Times New Roman"/>
          <w:color w:val="auto"/>
          <w:lang w:val="en-US" w:eastAsia="zh-CN"/>
        </w:rPr>
        <w:t>（1）无</w:t>
      </w:r>
      <w:r>
        <w:rPr>
          <w:rFonts w:hint="default" w:ascii="Times New Roman" w:hAnsi="Times New Roman" w:cs="Times New Roman"/>
          <w:color w:val="auto"/>
          <w:lang w:eastAsia="zh-CN"/>
        </w:rPr>
        <w:t>因公出国（境）</w:t>
      </w:r>
      <w:r>
        <w:rPr>
          <w:rFonts w:hint="default" w:ascii="Times New Roman" w:hAnsi="Times New Roman" w:cs="Times New Roman"/>
          <w:color w:val="auto"/>
          <w:lang w:val="en-US" w:eastAsia="zh-CN"/>
        </w:rPr>
        <w:t>情况</w:t>
      </w:r>
      <w:r>
        <w:rPr>
          <w:rFonts w:hint="default" w:ascii="Times New Roman" w:hAnsi="Times New Roman" w:cs="Times New Roman"/>
          <w:color w:val="auto"/>
          <w:lang w:eastAsia="zh-CN"/>
        </w:rPr>
        <w:t>；</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2</w:t>
      </w:r>
      <w:r>
        <w:rPr>
          <w:rFonts w:hint="default" w:ascii="Times New Roman" w:hAnsi="Times New Roman" w:cs="Times New Roman"/>
          <w:color w:val="auto"/>
          <w:lang w:eastAsia="zh-CN"/>
        </w:rPr>
        <w:t>）公务接待费预算为</w:t>
      </w:r>
      <w:r>
        <w:rPr>
          <w:rFonts w:hint="eastAsia" w:ascii="Times New Roman" w:hAnsi="Times New Roman" w:cs="Times New Roman"/>
          <w:color w:val="auto"/>
          <w:lang w:val="en-US" w:eastAsia="zh-CN"/>
        </w:rPr>
        <w:t>0.35</w:t>
      </w:r>
      <w:r>
        <w:rPr>
          <w:rFonts w:hint="default" w:ascii="Times New Roman" w:hAnsi="Times New Roman" w:cs="Times New Roman"/>
          <w:color w:val="auto"/>
          <w:lang w:eastAsia="zh-CN"/>
        </w:rPr>
        <w:t>万元，实际支出</w:t>
      </w:r>
      <w:r>
        <w:rPr>
          <w:rFonts w:hint="eastAsia" w:ascii="Times New Roman" w:hAnsi="Times New Roman" w:cs="Times New Roman"/>
          <w:color w:val="auto"/>
          <w:lang w:val="en-US" w:eastAsia="zh-CN"/>
        </w:rPr>
        <w:t>0.1</w:t>
      </w:r>
      <w:r>
        <w:rPr>
          <w:rFonts w:hint="default" w:ascii="Times New Roman" w:hAnsi="Times New Roman" w:cs="Times New Roman"/>
          <w:color w:val="auto"/>
          <w:lang w:eastAsia="zh-CN"/>
        </w:rPr>
        <w:t>万元，</w:t>
      </w:r>
      <w:r>
        <w:rPr>
          <w:rFonts w:hint="default" w:ascii="Times New Roman" w:hAnsi="Times New Roman" w:cs="Times New Roman"/>
          <w:color w:val="auto"/>
          <w:lang w:val="en-US" w:eastAsia="zh-CN"/>
        </w:rPr>
        <w:t>较上一年</w:t>
      </w:r>
      <w:r>
        <w:rPr>
          <w:rFonts w:hint="eastAsia" w:ascii="Times New Roman" w:hAnsi="Times New Roman" w:cs="Times New Roman"/>
          <w:color w:val="auto"/>
          <w:lang w:val="en-US" w:eastAsia="zh-CN"/>
        </w:rPr>
        <w:t>减少0.04</w:t>
      </w:r>
      <w:r>
        <w:rPr>
          <w:rFonts w:hint="default" w:ascii="Times New Roman" w:hAnsi="Times New Roman" w:cs="Times New Roman"/>
          <w:color w:val="auto"/>
          <w:lang w:eastAsia="zh-CN"/>
        </w:rPr>
        <w:t>万元，</w:t>
      </w:r>
      <w:r>
        <w:rPr>
          <w:rFonts w:hint="default" w:ascii="Times New Roman" w:hAnsi="Times New Roman" w:cs="Times New Roman"/>
          <w:color w:val="auto"/>
          <w:lang w:val="en-US" w:eastAsia="zh-CN"/>
        </w:rPr>
        <w:t>主要原因是</w:t>
      </w:r>
      <w:r>
        <w:rPr>
          <w:rFonts w:hint="eastAsia" w:ascii="Times New Roman" w:hAnsi="Times New Roman" w:cs="Times New Roman"/>
          <w:color w:val="auto"/>
          <w:lang w:val="en-US" w:eastAsia="zh-CN"/>
        </w:rPr>
        <w:t>公务接待减少</w:t>
      </w:r>
      <w:r>
        <w:rPr>
          <w:rFonts w:hint="default" w:ascii="Times New Roman" w:hAnsi="Times New Roman" w:cs="Times New Roman"/>
          <w:color w:val="auto"/>
          <w:lang w:val="en-US" w:eastAsia="zh-CN"/>
        </w:rPr>
        <w:t>。</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eastAsia="zh-CN"/>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3</w:t>
      </w:r>
      <w:r>
        <w:rPr>
          <w:rFonts w:hint="default" w:ascii="Times New Roman" w:hAnsi="Times New Roman" w:cs="Times New Roman"/>
          <w:color w:val="auto"/>
          <w:lang w:eastAsia="zh-CN"/>
        </w:rPr>
        <w:t>）公务用车购置</w:t>
      </w:r>
      <w:r>
        <w:rPr>
          <w:rFonts w:hint="default" w:ascii="Times New Roman" w:hAnsi="Times New Roman" w:cs="Times New Roman"/>
          <w:color w:val="auto"/>
          <w:lang w:val="en-US" w:eastAsia="zh-CN"/>
        </w:rPr>
        <w:t>及运维</w:t>
      </w:r>
      <w:r>
        <w:rPr>
          <w:rFonts w:hint="default" w:ascii="Times New Roman" w:hAnsi="Times New Roman" w:cs="Times New Roman"/>
          <w:color w:val="auto"/>
          <w:lang w:eastAsia="zh-CN"/>
        </w:rPr>
        <w:t>费预算为</w:t>
      </w:r>
      <w:r>
        <w:rPr>
          <w:rFonts w:hint="eastAsia" w:ascii="Times New Roman" w:hAnsi="Times New Roman" w:cs="Times New Roman"/>
          <w:color w:val="auto"/>
          <w:lang w:val="en-US" w:eastAsia="zh-CN"/>
        </w:rPr>
        <w:t>0</w:t>
      </w:r>
      <w:r>
        <w:rPr>
          <w:rFonts w:hint="default" w:ascii="Times New Roman" w:hAnsi="Times New Roman" w:cs="Times New Roman"/>
          <w:color w:val="auto"/>
          <w:lang w:eastAsia="zh-CN"/>
        </w:rPr>
        <w:t>万元，实际支出</w:t>
      </w:r>
      <w:r>
        <w:rPr>
          <w:rFonts w:hint="eastAsia" w:ascii="Times New Roman" w:hAnsi="Times New Roman" w:cs="Times New Roman"/>
          <w:color w:val="auto"/>
          <w:lang w:val="en-US" w:eastAsia="zh-CN"/>
        </w:rPr>
        <w:t>0</w:t>
      </w:r>
      <w:r>
        <w:rPr>
          <w:rFonts w:hint="default" w:ascii="Times New Roman" w:hAnsi="Times New Roman" w:cs="Times New Roman"/>
          <w:color w:val="auto"/>
          <w:lang w:eastAsia="zh-CN"/>
        </w:rPr>
        <w:t>万元，</w:t>
      </w:r>
      <w:r>
        <w:rPr>
          <w:rFonts w:hint="default" w:ascii="Times New Roman" w:hAnsi="Times New Roman" w:cs="Times New Roman"/>
          <w:color w:val="auto"/>
          <w:lang w:val="en-US" w:eastAsia="zh-CN"/>
        </w:rPr>
        <w:t>较上一年增加</w:t>
      </w:r>
      <w:r>
        <w:rPr>
          <w:rFonts w:hint="eastAsia" w:ascii="Times New Roman" w:hAnsi="Times New Roman" w:cs="Times New Roman"/>
          <w:color w:val="auto"/>
          <w:lang w:val="en-US" w:eastAsia="zh-CN"/>
        </w:rPr>
        <w:t>0</w:t>
      </w:r>
      <w:r>
        <w:rPr>
          <w:rFonts w:hint="default" w:ascii="Times New Roman" w:hAnsi="Times New Roman" w:cs="Times New Roman"/>
          <w:color w:val="auto"/>
          <w:lang w:eastAsia="zh-CN"/>
        </w:rPr>
        <w:t>万元，</w:t>
      </w:r>
      <w:r>
        <w:rPr>
          <w:rFonts w:hint="default" w:ascii="Times New Roman" w:hAnsi="Times New Roman" w:cs="Times New Roman"/>
          <w:color w:val="auto"/>
          <w:lang w:val="en-US" w:eastAsia="zh-CN"/>
        </w:rPr>
        <w:t>主要原因是</w:t>
      </w:r>
      <w:r>
        <w:rPr>
          <w:rFonts w:hint="eastAsia" w:ascii="Times New Roman" w:hAnsi="Times New Roman" w:cs="Times New Roman"/>
          <w:color w:val="auto"/>
          <w:lang w:val="en-US" w:eastAsia="zh-CN"/>
        </w:rPr>
        <w:t>未购置车辆</w:t>
      </w:r>
      <w:r>
        <w:rPr>
          <w:rFonts w:hint="default" w:ascii="Times New Roman" w:hAnsi="Times New Roman" w:cs="Times New Roman"/>
          <w:color w:val="auto"/>
          <w:lang w:eastAsia="zh-CN"/>
        </w:rPr>
        <w:t>。</w:t>
      </w:r>
    </w:p>
    <w:p>
      <w:pPr>
        <w:pStyle w:val="4"/>
        <w:pageBreakBefore w:val="0"/>
        <w:widowControl w:val="0"/>
        <w:kinsoku/>
        <w:wordWrap/>
        <w:overflowPunct/>
        <w:topLinePunct w:val="0"/>
        <w:autoSpaceDE/>
        <w:autoSpaceDN/>
        <w:bidi w:val="0"/>
        <w:adjustRightInd w:val="0"/>
        <w:snapToGrid w:val="0"/>
        <w:spacing w:before="0" w:line="560" w:lineRule="exact"/>
        <w:textAlignment w:val="auto"/>
        <w:rPr>
          <w:rFonts w:hint="default" w:ascii="Times New Roman" w:hAnsi="Times New Roman" w:eastAsia="仿宋_GB2312" w:cs="Times New Roman"/>
          <w:color w:val="auto"/>
          <w:lang w:val="en-US" w:eastAsia="zh-CN"/>
        </w:rPr>
      </w:pPr>
      <w:r>
        <w:rPr>
          <w:rFonts w:hint="default" w:ascii="Times New Roman" w:hAnsi="Times New Roman" w:eastAsia="仿宋_GB2312" w:cs="Times New Roman"/>
          <w:color w:val="auto"/>
          <w:lang w:val="en-US" w:eastAsia="zh-CN"/>
        </w:rPr>
        <w:t xml:space="preserve">2.政府采购执行情况 </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2023年我单位政府采购预算数为</w:t>
      </w:r>
      <w:r>
        <w:rPr>
          <w:rFonts w:hint="eastAsia" w:ascii="Times New Roman" w:hAnsi="Times New Roman" w:cs="Times New Roman"/>
          <w:color w:val="000000" w:themeColor="text1"/>
          <w:lang w:val="en-US" w:eastAsia="zh-CN"/>
          <w14:textFill>
            <w14:solidFill>
              <w14:schemeClr w14:val="tx1"/>
            </w14:solidFill>
          </w14:textFill>
        </w:rPr>
        <w:t>30.58</w:t>
      </w:r>
      <w:r>
        <w:rPr>
          <w:rFonts w:hint="default" w:ascii="Times New Roman" w:hAnsi="Times New Roman" w:cs="Times New Roman"/>
          <w:color w:val="000000" w:themeColor="text1"/>
          <w:lang w:val="en-US" w:eastAsia="zh-CN"/>
          <w14:textFill>
            <w14:solidFill>
              <w14:schemeClr w14:val="tx1"/>
            </w14:solidFill>
          </w14:textFill>
        </w:rPr>
        <w:t>万元，实际政府采购执行数为</w:t>
      </w:r>
      <w:r>
        <w:rPr>
          <w:rFonts w:hint="eastAsia" w:ascii="Times New Roman" w:hAnsi="Times New Roman" w:cs="Times New Roman"/>
          <w:color w:val="000000" w:themeColor="text1"/>
          <w:lang w:val="en-US" w:eastAsia="zh-CN"/>
          <w14:textFill>
            <w14:solidFill>
              <w14:schemeClr w14:val="tx1"/>
            </w14:solidFill>
          </w14:textFill>
        </w:rPr>
        <w:t>30.58</w:t>
      </w:r>
      <w:r>
        <w:rPr>
          <w:rFonts w:hint="default" w:ascii="Times New Roman" w:hAnsi="Times New Roman" w:cs="Times New Roman"/>
          <w:color w:val="000000" w:themeColor="text1"/>
          <w:lang w:val="en-US" w:eastAsia="zh-CN"/>
          <w14:textFill>
            <w14:solidFill>
              <w14:schemeClr w14:val="tx1"/>
            </w14:solidFill>
          </w14:textFill>
        </w:rPr>
        <w:t>万元，政府采购执行率为</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p>
    <w:bookmarkEnd w:id="2"/>
    <w:p>
      <w:pPr>
        <w:pStyle w:val="3"/>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eastAsia="黑体" w:cs="Times New Roman"/>
          <w:color w:val="auto"/>
          <w:lang w:val="en-US" w:eastAsia="zh-CN"/>
        </w:rPr>
      </w:pPr>
      <w:bookmarkStart w:id="3" w:name="_Toc13582_WPSOffice_Level1"/>
      <w:r>
        <w:rPr>
          <w:rFonts w:hint="default" w:ascii="Times New Roman" w:hAnsi="Times New Roman" w:cs="Times New Roman"/>
          <w:color w:val="auto"/>
          <w:lang w:val="en-US" w:eastAsia="zh-CN"/>
        </w:rPr>
        <w:t>三、</w:t>
      </w:r>
      <w:r>
        <w:rPr>
          <w:rFonts w:hint="default" w:ascii="Times New Roman" w:hAnsi="Times New Roman" w:cs="Times New Roman"/>
          <w:color w:val="auto"/>
        </w:rPr>
        <w:t>部门单位整体支出绩效</w:t>
      </w:r>
      <w:bookmarkEnd w:id="3"/>
      <w:r>
        <w:rPr>
          <w:rFonts w:hint="default" w:ascii="Times New Roman" w:hAnsi="Times New Roman" w:cs="Times New Roman"/>
          <w:color w:val="auto"/>
          <w:lang w:val="en-US" w:eastAsia="zh-CN"/>
        </w:rPr>
        <w:t>分析</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rPr>
      </w:pPr>
      <w:r>
        <w:rPr>
          <w:rFonts w:hint="default" w:ascii="Times New Roman" w:hAnsi="Times New Roman" w:cs="Times New Roman"/>
          <w:color w:val="auto"/>
          <w:lang w:eastAsia="zh-CN"/>
        </w:rPr>
        <w:t>我</w:t>
      </w:r>
      <w:r>
        <w:rPr>
          <w:rFonts w:hint="default" w:ascii="Times New Roman" w:hAnsi="Times New Roman" w:cs="Times New Roman"/>
          <w:color w:val="auto"/>
        </w:rPr>
        <w:t>单位202</w:t>
      </w:r>
      <w:r>
        <w:rPr>
          <w:rFonts w:hint="default" w:ascii="Times New Roman" w:hAnsi="Times New Roman" w:cs="Times New Roman"/>
          <w:color w:val="auto"/>
          <w:lang w:val="en-US" w:eastAsia="zh-CN"/>
        </w:rPr>
        <w:t>3</w:t>
      </w:r>
      <w:r>
        <w:rPr>
          <w:rFonts w:hint="default" w:ascii="Times New Roman" w:hAnsi="Times New Roman" w:cs="Times New Roman"/>
          <w:color w:val="auto"/>
        </w:rPr>
        <w:t>年度部门整体支出绩效目标，</w:t>
      </w:r>
      <w:r>
        <w:rPr>
          <w:rFonts w:hint="default" w:ascii="Times New Roman" w:hAnsi="Times New Roman" w:cs="Times New Roman"/>
          <w:color w:val="auto"/>
          <w:lang w:val="en-US" w:eastAsia="zh-CN"/>
        </w:rPr>
        <w:t>围绕</w:t>
      </w:r>
      <w:r>
        <w:rPr>
          <w:rFonts w:hint="default" w:ascii="Times New Roman" w:hAnsi="Times New Roman" w:cs="Times New Roman"/>
          <w:color w:val="auto"/>
        </w:rPr>
        <w:t>部门职能、中长期规划、年度工作计划、重点工作任务及要求，确定年度部门整体支出的绩效目标，按照确定的部门职责履行情况、部门运行有效情况及部门职能</w:t>
      </w:r>
      <w:r>
        <w:rPr>
          <w:rFonts w:hint="default" w:ascii="Times New Roman" w:hAnsi="Times New Roman" w:cs="Times New Roman"/>
          <w:color w:val="auto"/>
          <w:lang w:val="en-US" w:eastAsia="zh-CN"/>
        </w:rPr>
        <w:t>设置具体的指标</w:t>
      </w:r>
      <w:r>
        <w:rPr>
          <w:rFonts w:hint="default" w:ascii="Times New Roman" w:hAnsi="Times New Roman" w:cs="Times New Roman"/>
          <w:color w:val="auto"/>
        </w:rPr>
        <w:t>。</w:t>
      </w:r>
      <w:r>
        <w:rPr>
          <w:rFonts w:hint="default" w:ascii="Times New Roman" w:hAnsi="Times New Roman" w:cs="Times New Roman"/>
          <w:color w:val="auto"/>
          <w:lang w:val="en-US" w:eastAsia="zh-CN"/>
        </w:rPr>
        <w:t>拟</w:t>
      </w:r>
      <w:r>
        <w:rPr>
          <w:rFonts w:hint="default" w:ascii="Times New Roman" w:hAnsi="Times New Roman" w:cs="Times New Roman"/>
          <w:color w:val="auto"/>
        </w:rPr>
        <w:t>通过绩效评价分析部门整体支出对单位基本运转及单位职能履职的保障作用，总结经验做法，找出资金使用和管理中的薄弱环节，进一步加强预算管理，提高财政资金使用效益，为部门科学决策、规范管理提供参考。</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部门单位整体支出</w:t>
      </w:r>
      <w:r>
        <w:rPr>
          <w:rFonts w:hint="default" w:ascii="Times New Roman" w:hAnsi="Times New Roman" w:cs="Times New Roman"/>
          <w:color w:val="000000" w:themeColor="text1"/>
          <w:lang w:eastAsia="zh-CN"/>
          <w14:textFill>
            <w14:solidFill>
              <w14:schemeClr w14:val="tx1"/>
            </w14:solidFill>
          </w14:textFill>
        </w:rPr>
        <w:t>自评表，</w:t>
      </w:r>
      <w:r>
        <w:rPr>
          <w:rFonts w:hint="default" w:ascii="Times New Roman" w:hAnsi="Times New Roman" w:cs="Times New Roman"/>
          <w:color w:val="000000" w:themeColor="text1"/>
          <w14:textFill>
            <w14:solidFill>
              <w14:schemeClr w14:val="tx1"/>
            </w14:solidFill>
          </w14:textFill>
        </w:rPr>
        <w:t>共设置一级指标</w:t>
      </w:r>
      <w:r>
        <w:rPr>
          <w:rFonts w:hint="eastAsia" w:ascii="Times New Roman" w:hAnsi="Times New Roman" w:cs="Times New Roman"/>
          <w:color w:val="000000" w:themeColor="text1"/>
          <w:lang w:val="en-US" w:eastAsia="zh-CN"/>
          <w14:textFill>
            <w14:solidFill>
              <w14:schemeClr w14:val="tx1"/>
            </w14:solidFill>
          </w14:textFill>
        </w:rPr>
        <w:t>4</w:t>
      </w:r>
      <w:r>
        <w:rPr>
          <w:rFonts w:hint="default" w:ascii="Times New Roman" w:hAnsi="Times New Roman" w:cs="Times New Roman"/>
          <w:color w:val="000000" w:themeColor="text1"/>
          <w14:textFill>
            <w14:solidFill>
              <w14:schemeClr w14:val="tx1"/>
            </w14:solidFill>
          </w14:textFill>
        </w:rPr>
        <w:t>个，二级指标</w:t>
      </w:r>
      <w:r>
        <w:rPr>
          <w:rFonts w:hint="eastAsia" w:ascii="Times New Roman" w:hAnsi="Times New Roman" w:cs="Times New Roman"/>
          <w:color w:val="000000" w:themeColor="text1"/>
          <w:lang w:val="en-US" w:eastAsia="zh-CN"/>
          <w14:textFill>
            <w14:solidFill>
              <w14:schemeClr w14:val="tx1"/>
            </w14:solidFill>
          </w14:textFill>
        </w:rPr>
        <w:t>5</w:t>
      </w:r>
      <w:r>
        <w:rPr>
          <w:rFonts w:hint="default" w:ascii="Times New Roman" w:hAnsi="Times New Roman" w:cs="Times New Roman"/>
          <w:color w:val="000000" w:themeColor="text1"/>
          <w14:textFill>
            <w14:solidFill>
              <w14:schemeClr w14:val="tx1"/>
            </w14:solidFill>
          </w14:textFill>
        </w:rPr>
        <w:t>个，三级指标</w:t>
      </w:r>
      <w:r>
        <w:rPr>
          <w:rFonts w:hint="eastAsia" w:ascii="Times New Roman" w:hAnsi="Times New Roman" w:cs="Times New Roman"/>
          <w:color w:val="000000" w:themeColor="text1"/>
          <w:lang w:val="en-US" w:eastAsia="zh-CN"/>
          <w14:textFill>
            <w14:solidFill>
              <w14:schemeClr w14:val="tx1"/>
            </w14:solidFill>
          </w14:textFill>
        </w:rPr>
        <w:t>8</w:t>
      </w:r>
      <w:r>
        <w:rPr>
          <w:rFonts w:hint="default" w:ascii="Times New Roman" w:hAnsi="Times New Roman" w:cs="Times New Roman"/>
          <w:color w:val="000000" w:themeColor="text1"/>
          <w14:textFill>
            <w14:solidFill>
              <w14:schemeClr w14:val="tx1"/>
            </w14:solidFill>
          </w14:textFill>
        </w:rPr>
        <w:t>个</w:t>
      </w:r>
      <w:r>
        <w:rPr>
          <w:rFonts w:hint="default" w:ascii="Times New Roman" w:hAnsi="Times New Roman" w:cs="Times New Roman"/>
          <w:color w:val="000000" w:themeColor="text1"/>
          <w:lang w:eastAsia="zh-CN"/>
          <w14:textFill>
            <w14:solidFill>
              <w14:schemeClr w14:val="tx1"/>
            </w14:solidFill>
          </w14:textFill>
        </w:rPr>
        <w:t>，其中已完成三级指标</w:t>
      </w:r>
      <w:r>
        <w:rPr>
          <w:rFonts w:hint="eastAsia" w:ascii="Times New Roman" w:hAnsi="Times New Roman" w:cs="Times New Roman"/>
          <w:color w:val="000000" w:themeColor="text1"/>
          <w:lang w:val="en-US" w:eastAsia="zh-CN"/>
          <w14:textFill>
            <w14:solidFill>
              <w14:schemeClr w14:val="tx1"/>
            </w14:solidFill>
          </w14:textFill>
        </w:rPr>
        <w:t>8</w:t>
      </w:r>
      <w:r>
        <w:rPr>
          <w:rFonts w:hint="default" w:ascii="Times New Roman" w:hAnsi="Times New Roman" w:cs="Times New Roman"/>
          <w:color w:val="000000" w:themeColor="text1"/>
          <w:lang w:eastAsia="zh-CN"/>
          <w14:textFill>
            <w14:solidFill>
              <w14:schemeClr w14:val="tx1"/>
            </w14:solidFill>
          </w14:textFill>
        </w:rPr>
        <w:t>个，指标完成率为</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14:textFill>
            <w14:solidFill>
              <w14:schemeClr w14:val="tx1"/>
            </w14:solidFill>
          </w14:textFill>
        </w:rPr>
        <w:t>。部门整体支出绩效情况如下</w:t>
      </w:r>
      <w:r>
        <w:rPr>
          <w:rFonts w:hint="default" w:ascii="Times New Roman" w:hAnsi="Times New Roman" w:cs="Times New Roman"/>
          <w:color w:val="000000" w:themeColor="text1"/>
          <w:lang w:val="en-US" w:eastAsia="zh-CN"/>
          <w14:textFill>
            <w14:solidFill>
              <w14:schemeClr w14:val="tx1"/>
            </w14:solidFill>
          </w14:textFill>
        </w:rPr>
        <w:t>：</w:t>
      </w:r>
    </w:p>
    <w:p>
      <w:pPr>
        <w:pStyle w:val="2"/>
        <w:pageBreakBefore w:val="0"/>
        <w:widowControl w:val="0"/>
        <w:kinsoku/>
        <w:wordWrap/>
        <w:overflowPunct/>
        <w:topLinePunct w:val="0"/>
        <w:autoSpaceDE/>
        <w:autoSpaceDN/>
        <w:bidi w:val="0"/>
        <w:adjustRightInd w:val="0"/>
        <w:snapToGrid w:val="0"/>
        <w:spacing w:before="0" w:beforeLines="0" w:afterLines="0" w:line="560" w:lineRule="exact"/>
        <w:textAlignment w:val="auto"/>
        <w:rPr>
          <w:rFonts w:hint="default" w:ascii="Times New Roman" w:hAnsi="Times New Roman" w:cs="Times New Roman"/>
          <w:color w:val="auto"/>
        </w:rPr>
      </w:pP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一）</w:t>
      </w:r>
      <w:r>
        <w:rPr>
          <w:rFonts w:hint="eastAsia" w:ascii="Times New Roman" w:hAnsi="Times New Roman" w:cs="Times New Roman"/>
          <w:color w:val="auto"/>
          <w:lang w:val="en-US" w:eastAsia="zh-CN"/>
        </w:rPr>
        <w:t>履职效能</w:t>
      </w:r>
      <w:r>
        <w:rPr>
          <w:rFonts w:hint="default" w:ascii="Times New Roman" w:hAnsi="Times New Roman" w:cs="Times New Roman"/>
          <w:color w:val="auto"/>
        </w:rPr>
        <w:t>指标完成情况分析</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目标设定情况，年中绩效运行监控情况，本次评价实际完成情况及成效分析，偏差原因分析及下一步措施。例如：</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1.“三公经费控制率”</w:t>
      </w:r>
      <w:r>
        <w:rPr>
          <w:rFonts w:hint="default" w:ascii="Times New Roman" w:hAnsi="Times New Roman" w:cs="Times New Roman"/>
          <w:color w:val="000000" w:themeColor="text1"/>
          <w:lang w:val="en-US" w:eastAsia="zh-CN"/>
          <w14:textFill>
            <w14:solidFill>
              <w14:schemeClr w14:val="tx1"/>
            </w14:solidFill>
          </w14:textFill>
        </w:rPr>
        <w:t>指标年初设定目标是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年终实际完成值是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，指标完成率是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按照三公经费控制率支付三公经费</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2.</w:t>
      </w:r>
      <w:r>
        <w:rPr>
          <w:rFonts w:hint="eastAsia" w:ascii="Times New Roman" w:hAnsi="Times New Roman" w:cs="Times New Roman"/>
          <w:color w:val="000000" w:themeColor="text1"/>
          <w:lang w:val="en-US" w:eastAsia="zh-CN"/>
          <w14:textFill>
            <w14:solidFill>
              <w14:schemeClr w14:val="tx1"/>
            </w14:solidFill>
          </w14:textFill>
        </w:rPr>
        <w:t>财政供养人员指标年初设定目标</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29人，</w:t>
      </w:r>
      <w:r>
        <w:rPr>
          <w:rFonts w:hint="default" w:ascii="Times New Roman" w:hAnsi="Times New Roman" w:cs="Times New Roman"/>
          <w:color w:val="000000" w:themeColor="text1"/>
          <w:lang w:val="en-US" w:eastAsia="zh-CN"/>
          <w14:textFill>
            <w14:solidFill>
              <w14:schemeClr w14:val="tx1"/>
            </w14:solidFill>
          </w14:textFill>
        </w:rPr>
        <w:t>年终实际完成值是</w:t>
      </w:r>
      <w:r>
        <w:rPr>
          <w:rFonts w:hint="eastAsia" w:ascii="Times New Roman" w:hAnsi="Times New Roman" w:cs="Times New Roman"/>
          <w:color w:val="000000" w:themeColor="text1"/>
          <w:lang w:val="en-US" w:eastAsia="zh-CN"/>
          <w14:textFill>
            <w14:solidFill>
              <w14:schemeClr w14:val="tx1"/>
            </w14:solidFill>
          </w14:textFill>
        </w:rPr>
        <w:t>31人</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调入2人，</w:t>
      </w:r>
      <w:r>
        <w:rPr>
          <w:rFonts w:hint="default" w:ascii="Times New Roman" w:hAnsi="Times New Roman" w:cs="Times New Roman"/>
          <w:color w:val="000000" w:themeColor="text1"/>
          <w:lang w:val="en-US" w:eastAsia="zh-CN"/>
          <w14:textFill>
            <w14:solidFill>
              <w14:schemeClr w14:val="tx1"/>
            </w14:solidFill>
          </w14:textFill>
        </w:rPr>
        <w:t>指标完成率是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3.预决算信息公开性</w:t>
      </w:r>
      <w:r>
        <w:rPr>
          <w:rFonts w:hint="default" w:ascii="Times New Roman" w:hAnsi="Times New Roman" w:cs="Times New Roman"/>
          <w:color w:val="000000" w:themeColor="text1"/>
          <w:lang w:val="en-US" w:eastAsia="zh-CN"/>
          <w14:textFill>
            <w14:solidFill>
              <w14:schemeClr w14:val="tx1"/>
            </w14:solidFill>
          </w14:textFill>
        </w:rPr>
        <w:t>指标年初设定目标是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；年终实际完成值是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，指标完成率是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按照2023年部门预算批复的函</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4.“矛盾纠纷调解率”</w:t>
      </w:r>
      <w:r>
        <w:rPr>
          <w:rFonts w:hint="default" w:ascii="Times New Roman" w:hAnsi="Times New Roman" w:cs="Times New Roman"/>
          <w:color w:val="000000" w:themeColor="text1"/>
          <w:lang w:val="en-US" w:eastAsia="zh-CN"/>
          <w14:textFill>
            <w14:solidFill>
              <w14:schemeClr w14:val="tx1"/>
            </w14:solidFill>
          </w14:textFill>
        </w:rPr>
        <w:t>指标年初设定目标是≥</w:t>
      </w:r>
      <w:r>
        <w:rPr>
          <w:rFonts w:hint="eastAsia" w:ascii="Times New Roman" w:hAnsi="Times New Roman" w:cs="Times New Roman"/>
          <w:color w:val="000000" w:themeColor="text1"/>
          <w:lang w:val="en-US" w:eastAsia="zh-CN"/>
          <w14:textFill>
            <w14:solidFill>
              <w14:schemeClr w14:val="tx1"/>
            </w14:solidFill>
          </w14:textFill>
        </w:rPr>
        <w:t>95%</w:t>
      </w:r>
      <w:r>
        <w:rPr>
          <w:rFonts w:hint="default" w:ascii="Times New Roman" w:hAnsi="Times New Roman" w:cs="Times New Roman"/>
          <w:color w:val="000000" w:themeColor="text1"/>
          <w:lang w:val="en-US" w:eastAsia="zh-CN"/>
          <w14:textFill>
            <w14:solidFill>
              <w14:schemeClr w14:val="tx1"/>
            </w14:solidFill>
          </w14:textFill>
        </w:rPr>
        <w:t>；年终实际完成值是</w:t>
      </w:r>
      <w:r>
        <w:rPr>
          <w:rFonts w:hint="eastAsia" w:ascii="Times New Roman" w:hAnsi="Times New Roman" w:cs="Times New Roman"/>
          <w:color w:val="000000" w:themeColor="text1"/>
          <w:lang w:val="en-US" w:eastAsia="zh-CN"/>
          <w14:textFill>
            <w14:solidFill>
              <w14:schemeClr w14:val="tx1"/>
            </w14:solidFill>
          </w14:textFill>
        </w:rPr>
        <w:t>95%</w:t>
      </w:r>
      <w:r>
        <w:rPr>
          <w:rFonts w:hint="default" w:ascii="Times New Roman" w:hAnsi="Times New Roman" w:cs="Times New Roman"/>
          <w:color w:val="000000" w:themeColor="text1"/>
          <w:lang w:val="en-US" w:eastAsia="zh-CN"/>
          <w14:textFill>
            <w14:solidFill>
              <w14:schemeClr w14:val="tx1"/>
            </w14:solidFill>
          </w14:textFill>
        </w:rPr>
        <w:t>，指标完成率是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按照矛盾纠纷调解案件数来计算</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5.“受理公证案件数”</w:t>
      </w:r>
      <w:r>
        <w:rPr>
          <w:rFonts w:hint="default" w:ascii="Times New Roman" w:hAnsi="Times New Roman" w:cs="Times New Roman"/>
          <w:color w:val="000000" w:themeColor="text1"/>
          <w:lang w:val="en-US" w:eastAsia="zh-CN"/>
          <w14:textFill>
            <w14:solidFill>
              <w14:schemeClr w14:val="tx1"/>
            </w14:solidFill>
          </w14:textFill>
        </w:rPr>
        <w:t>指标年初设定目标是≥</w:t>
      </w:r>
      <w:r>
        <w:rPr>
          <w:rFonts w:hint="eastAsia" w:ascii="Times New Roman" w:hAnsi="Times New Roman" w:cs="Times New Roman"/>
          <w:color w:val="000000" w:themeColor="text1"/>
          <w:lang w:val="en-US" w:eastAsia="zh-CN"/>
          <w14:textFill>
            <w14:solidFill>
              <w14:schemeClr w14:val="tx1"/>
            </w14:solidFill>
          </w14:textFill>
        </w:rPr>
        <w:t>500件</w:t>
      </w:r>
      <w:r>
        <w:rPr>
          <w:rFonts w:hint="default" w:ascii="Times New Roman" w:hAnsi="Times New Roman" w:cs="Times New Roman"/>
          <w:color w:val="000000" w:themeColor="text1"/>
          <w:lang w:val="en-US" w:eastAsia="zh-CN"/>
          <w14:textFill>
            <w14:solidFill>
              <w14:schemeClr w14:val="tx1"/>
            </w14:solidFill>
          </w14:textFill>
        </w:rPr>
        <w:t>；年终实际完成值是</w:t>
      </w:r>
      <w:r>
        <w:rPr>
          <w:rFonts w:hint="eastAsia" w:ascii="Times New Roman" w:hAnsi="Times New Roman" w:cs="Times New Roman"/>
          <w:color w:val="000000" w:themeColor="text1"/>
          <w:lang w:val="en-US" w:eastAsia="zh-CN"/>
          <w14:textFill>
            <w14:solidFill>
              <w14:schemeClr w14:val="tx1"/>
            </w14:solidFill>
          </w14:textFill>
        </w:rPr>
        <w:t>501件</w:t>
      </w:r>
      <w:r>
        <w:rPr>
          <w:rFonts w:hint="default" w:ascii="Times New Roman" w:hAnsi="Times New Roman" w:cs="Times New Roman"/>
          <w:color w:val="000000" w:themeColor="text1"/>
          <w:lang w:val="en-US" w:eastAsia="zh-CN"/>
          <w14:textFill>
            <w14:solidFill>
              <w14:schemeClr w14:val="tx1"/>
            </w14:solidFill>
          </w14:textFill>
        </w:rPr>
        <w:t>，指标完成率是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6.“受理法律援助案件数”</w:t>
      </w:r>
      <w:r>
        <w:rPr>
          <w:rFonts w:hint="default" w:ascii="Times New Roman" w:hAnsi="Times New Roman" w:cs="Times New Roman"/>
          <w:color w:val="000000" w:themeColor="text1"/>
          <w:lang w:val="en-US" w:eastAsia="zh-CN"/>
          <w14:textFill>
            <w14:solidFill>
              <w14:schemeClr w14:val="tx1"/>
            </w14:solidFill>
          </w14:textFill>
        </w:rPr>
        <w:t>指标年初设定目标是≥</w:t>
      </w:r>
      <w:r>
        <w:rPr>
          <w:rFonts w:hint="eastAsia" w:ascii="Times New Roman" w:hAnsi="Times New Roman" w:cs="Times New Roman"/>
          <w:color w:val="000000" w:themeColor="text1"/>
          <w:lang w:val="en-US" w:eastAsia="zh-CN"/>
          <w14:textFill>
            <w14:solidFill>
              <w14:schemeClr w14:val="tx1"/>
            </w14:solidFill>
          </w14:textFill>
        </w:rPr>
        <w:t>100件</w:t>
      </w:r>
      <w:r>
        <w:rPr>
          <w:rFonts w:hint="default" w:ascii="Times New Roman" w:hAnsi="Times New Roman" w:cs="Times New Roman"/>
          <w:color w:val="000000" w:themeColor="text1"/>
          <w:lang w:val="en-US" w:eastAsia="zh-CN"/>
          <w14:textFill>
            <w14:solidFill>
              <w14:schemeClr w14:val="tx1"/>
            </w14:solidFill>
          </w14:textFill>
        </w:rPr>
        <w:t>；年终实际完成值是</w:t>
      </w:r>
      <w:r>
        <w:rPr>
          <w:rFonts w:hint="eastAsia" w:ascii="Times New Roman" w:hAnsi="Times New Roman" w:cs="Times New Roman"/>
          <w:color w:val="000000" w:themeColor="text1"/>
          <w:lang w:val="en-US" w:eastAsia="zh-CN"/>
          <w14:textFill>
            <w14:solidFill>
              <w14:schemeClr w14:val="tx1"/>
            </w14:solidFill>
          </w14:textFill>
        </w:rPr>
        <w:t>100件</w:t>
      </w:r>
      <w:r>
        <w:rPr>
          <w:rFonts w:hint="default" w:ascii="Times New Roman" w:hAnsi="Times New Roman" w:cs="Times New Roman"/>
          <w:color w:val="000000" w:themeColor="text1"/>
          <w:lang w:val="en-US" w:eastAsia="zh-CN"/>
          <w14:textFill>
            <w14:solidFill>
              <w14:schemeClr w14:val="tx1"/>
            </w14:solidFill>
          </w14:textFill>
        </w:rPr>
        <w:t>，指标完成率是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7.“推进行政复议体制改革工作，做到一级政府复议工作以“一个窗口对外”，完成法定办结率”</w:t>
      </w:r>
      <w:r>
        <w:rPr>
          <w:rFonts w:hint="default" w:ascii="Times New Roman" w:hAnsi="Times New Roman" w:cs="Times New Roman"/>
          <w:color w:val="000000" w:themeColor="text1"/>
          <w:lang w:val="en-US" w:eastAsia="zh-CN"/>
          <w14:textFill>
            <w14:solidFill>
              <w14:schemeClr w14:val="tx1"/>
            </w14:solidFill>
          </w14:textFill>
        </w:rPr>
        <w:t>指标年初设定目标是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；年终实际完成值是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，指标完成率是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r>
        <w:rPr>
          <w:rFonts w:hint="eastAsia" w:ascii="Times New Roman" w:hAnsi="Times New Roman" w:cs="Times New Roman"/>
          <w:color w:val="000000" w:themeColor="text1"/>
          <w:lang w:val="en-US" w:eastAsia="zh-CN"/>
          <w14:textFill>
            <w14:solidFill>
              <w14:schemeClr w14:val="tx1"/>
            </w14:solidFill>
          </w14:textFill>
        </w:rPr>
        <w:t>8.“县委管理的领导干部提拔任用和职级晋升前均组织进行任前法律考试参考率”</w:t>
      </w:r>
      <w:r>
        <w:rPr>
          <w:rFonts w:hint="default" w:ascii="Times New Roman" w:hAnsi="Times New Roman" w:cs="Times New Roman"/>
          <w:color w:val="000000" w:themeColor="text1"/>
          <w:lang w:val="en-US" w:eastAsia="zh-CN"/>
          <w14:textFill>
            <w14:solidFill>
              <w14:schemeClr w14:val="tx1"/>
            </w14:solidFill>
          </w14:textFill>
        </w:rPr>
        <w:t>指标年初设定目标是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；年终实际完成值是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，指标完成率是</w:t>
      </w:r>
      <w:r>
        <w:rPr>
          <w:rFonts w:hint="eastAsia" w:ascii="Times New Roman" w:hAnsi="Times New Roman" w:cs="Times New Roman"/>
          <w:color w:val="000000" w:themeColor="text1"/>
          <w:lang w:val="en-US" w:eastAsia="zh-CN"/>
          <w14:textFill>
            <w14:solidFill>
              <w14:schemeClr w14:val="tx1"/>
            </w14:solidFill>
          </w14:textFill>
        </w:rPr>
        <w:t>100</w:t>
      </w:r>
      <w:r>
        <w:rPr>
          <w:rFonts w:hint="default" w:ascii="Times New Roman" w:hAnsi="Times New Roman" w:cs="Times New Roman"/>
          <w:color w:val="000000" w:themeColor="text1"/>
          <w:lang w:val="en-US" w:eastAsia="zh-CN"/>
          <w14:textFill>
            <w14:solidFill>
              <w14:schemeClr w14:val="tx1"/>
            </w14:solidFill>
          </w14:textFill>
        </w:rPr>
        <w:t>%。</w:t>
      </w:r>
    </w:p>
    <w:p>
      <w:pPr>
        <w:pStyle w:val="3"/>
        <w:pageBreakBefore w:val="0"/>
        <w:widowControl w:val="0"/>
        <w:numPr>
          <w:ilvl w:val="0"/>
          <w:numId w:val="0"/>
        </w:numPr>
        <w:kinsoku/>
        <w:wordWrap/>
        <w:overflowPunct/>
        <w:topLinePunct w:val="0"/>
        <w:autoSpaceDE/>
        <w:autoSpaceDN/>
        <w:bidi w:val="0"/>
        <w:adjustRightInd w:val="0"/>
        <w:snapToGrid w:val="0"/>
        <w:spacing w:line="560" w:lineRule="exact"/>
        <w:ind w:leftChars="200"/>
        <w:textAlignment w:val="auto"/>
        <w:rPr>
          <w:rFonts w:hint="default" w:ascii="Times New Roman" w:hAnsi="Times New Roman" w:cs="Times New Roman"/>
          <w:color w:val="auto"/>
          <w:lang w:val="en-US"/>
        </w:rPr>
      </w:pPr>
      <w:r>
        <w:rPr>
          <w:rFonts w:hint="default" w:ascii="Times New Roman" w:hAnsi="Times New Roman" w:cs="Times New Roman"/>
          <w:color w:val="auto"/>
          <w:lang w:val="en-US" w:eastAsia="zh-CN"/>
        </w:rPr>
        <w:t>四、评价结论</w:t>
      </w:r>
    </w:p>
    <w:p>
      <w:pPr>
        <w:pageBreakBefore w:val="0"/>
        <w:widowControl w:val="0"/>
        <w:kinsoku/>
        <w:wordWrap/>
        <w:overflowPunct/>
        <w:topLinePunct w:val="0"/>
        <w:autoSpaceDE/>
        <w:autoSpaceDN/>
        <w:bidi w:val="0"/>
        <w:adjustRightInd w:val="0"/>
        <w:snapToGrid w:val="0"/>
        <w:spacing w:line="560" w:lineRule="exac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我单位</w:t>
      </w:r>
      <w:r>
        <w:rPr>
          <w:rFonts w:hint="eastAsia" w:ascii="仿宋" w:hAnsi="仿宋" w:eastAsia="仿宋" w:cs="仿宋"/>
          <w:color w:val="auto"/>
          <w:sz w:val="32"/>
          <w:szCs w:val="32"/>
          <w:lang w:eastAsia="zh-CN"/>
        </w:rPr>
        <w:t>20</w:t>
      </w:r>
      <w:r>
        <w:rPr>
          <w:rFonts w:hint="eastAsia" w:ascii="仿宋" w:hAnsi="仿宋" w:eastAsia="仿宋" w:cs="仿宋"/>
          <w:color w:val="auto"/>
          <w:sz w:val="32"/>
          <w:szCs w:val="32"/>
          <w:lang w:val="en-US" w:eastAsia="zh-CN"/>
        </w:rPr>
        <w:t>23</w:t>
      </w:r>
      <w:r>
        <w:rPr>
          <w:rFonts w:hint="eastAsia" w:ascii="仿宋" w:hAnsi="仿宋" w:eastAsia="仿宋" w:cs="仿宋"/>
          <w:color w:val="auto"/>
          <w:sz w:val="32"/>
          <w:szCs w:val="32"/>
          <w:lang w:eastAsia="zh-CN"/>
        </w:rPr>
        <w:t>年度部门整体支出绩效自评综合得分</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lang w:eastAsia="zh-CN"/>
        </w:rPr>
        <w:t>分，评价结果为“优”。我单位</w:t>
      </w: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rPr>
        <w:t>年部门履职效果良好，</w:t>
      </w:r>
      <w:r>
        <w:rPr>
          <w:rFonts w:hint="eastAsia" w:ascii="仿宋" w:hAnsi="仿宋" w:eastAsia="仿宋" w:cs="仿宋"/>
          <w:color w:val="auto"/>
          <w:sz w:val="32"/>
          <w:szCs w:val="32"/>
          <w:lang w:val="en-US" w:eastAsia="zh-CN"/>
        </w:rPr>
        <w:t>主要体现在：</w:t>
      </w:r>
    </w:p>
    <w:p>
      <w:pPr>
        <w:keepNext w:val="0"/>
        <w:keepLines w:val="0"/>
        <w:pageBreakBefore w:val="0"/>
        <w:widowControl w:val="0"/>
        <w:numPr>
          <w:ilvl w:val="0"/>
          <w:numId w:val="0"/>
        </w:numPr>
        <w:pBdr>
          <w:top w:val="single" w:color="FFFFFF" w:sz="4" w:space="0"/>
          <w:left w:val="single" w:color="FFFFFF" w:sz="4" w:space="0"/>
          <w:bottom w:val="single" w:color="FFFFFF" w:sz="4" w:space="14"/>
          <w:right w:val="single" w:color="FFFFFF" w:sz="4" w:space="10"/>
        </w:pBdr>
        <w:shd w:val="clear" w:color="auto"/>
        <w:kinsoku/>
        <w:wordWrap/>
        <w:overflowPunct/>
        <w:topLinePunct w:val="0"/>
        <w:autoSpaceDE/>
        <w:autoSpaceDN/>
        <w:bidi w:val="0"/>
        <w:adjustRightInd w:val="0"/>
        <w:snapToGrid w:val="0"/>
        <w:spacing w:line="580" w:lineRule="exact"/>
        <w:ind w:right="0" w:rightChars="0" w:firstLine="640" w:firstLineChars="200"/>
        <w:jc w:val="both"/>
        <w:textAlignment w:val="auto"/>
        <w:outlineLvl w:val="9"/>
        <w:rPr>
          <w:rFonts w:hint="eastAsia" w:ascii="仿宋" w:hAnsi="仿宋" w:eastAsia="仿宋" w:cs="仿宋"/>
          <w:kern w:val="2"/>
          <w:sz w:val="32"/>
          <w:szCs w:val="32"/>
          <w:lang w:val="en-US" w:eastAsia="zh-CN" w:bidi="ar-SA"/>
        </w:rPr>
      </w:pPr>
      <w:bookmarkStart w:id="4" w:name="_Toc22800_WPSOffice_Level1"/>
      <w:r>
        <w:rPr>
          <w:rFonts w:hint="eastAsia" w:ascii="仿宋" w:hAnsi="仿宋" w:eastAsia="仿宋" w:cs="仿宋"/>
          <w:kern w:val="2"/>
          <w:sz w:val="32"/>
          <w:szCs w:val="32"/>
          <w:lang w:val="en-US" w:eastAsia="zh-CN" w:bidi="ar-SA"/>
        </w:rPr>
        <w:t>2023年以来，吉木萨尔县司法局坚持以习近平新时代中国特色社会主义思想为指导，认真学习贯彻党的二十大精神，践行习近平法治思想，完整准确贯彻新时代党的治疆方略，统筹推进法治吉木萨尔、法治政府、法治社会一体建设，全县法治建设成效明显。</w:t>
      </w:r>
      <w:r>
        <w:rPr>
          <w:rFonts w:hint="eastAsia" w:ascii="仿宋" w:hAnsi="仿宋" w:eastAsia="仿宋" w:cs="仿宋"/>
          <w:b w:val="0"/>
          <w:bCs w:val="0"/>
          <w:kern w:val="2"/>
          <w:sz w:val="32"/>
          <w:szCs w:val="32"/>
          <w:lang w:val="en-US" w:eastAsia="zh-CN" w:bidi="ar-SA"/>
        </w:rPr>
        <w:t>（一）</w:t>
      </w:r>
      <w:r>
        <w:rPr>
          <w:rFonts w:hint="eastAsia" w:ascii="仿宋" w:hAnsi="仿宋" w:eastAsia="仿宋" w:cs="仿宋"/>
          <w:b w:val="0"/>
          <w:bCs w:val="0"/>
          <w:color w:val="auto"/>
          <w:kern w:val="0"/>
          <w:sz w:val="32"/>
          <w:szCs w:val="32"/>
          <w:lang w:val="en-US" w:eastAsia="zh-CN"/>
        </w:rPr>
        <w:t>坚持责任落实，</w:t>
      </w:r>
      <w:r>
        <w:rPr>
          <w:rFonts w:hint="eastAsia" w:ascii="仿宋" w:hAnsi="仿宋" w:eastAsia="仿宋" w:cs="仿宋"/>
          <w:b w:val="0"/>
          <w:bCs w:val="0"/>
          <w:color w:val="auto"/>
          <w:sz w:val="32"/>
          <w:szCs w:val="32"/>
          <w:u w:val="none"/>
          <w:lang w:val="en-US" w:eastAsia="zh-CN"/>
        </w:rPr>
        <w:t>强化法治建设研究部署；</w:t>
      </w:r>
      <w:r>
        <w:rPr>
          <w:rFonts w:hint="eastAsia" w:ascii="仿宋" w:hAnsi="仿宋" w:eastAsia="仿宋" w:cs="仿宋"/>
          <w:b w:val="0"/>
          <w:bCs w:val="0"/>
          <w:color w:val="auto"/>
          <w:kern w:val="0"/>
          <w:sz w:val="32"/>
          <w:szCs w:val="32"/>
          <w:lang w:val="en-US" w:eastAsia="zh-CN"/>
        </w:rPr>
        <w:t>（二）坚持依法行政，扎实推进法治政府建设；</w:t>
      </w:r>
      <w:r>
        <w:rPr>
          <w:rFonts w:hint="eastAsia" w:ascii="仿宋" w:hAnsi="仿宋" w:eastAsia="仿宋" w:cs="仿宋"/>
          <w:b w:val="0"/>
          <w:bCs w:val="0"/>
          <w:color w:val="auto"/>
          <w:sz w:val="32"/>
          <w:szCs w:val="32"/>
          <w:u w:val="none"/>
          <w:lang w:val="en-US" w:eastAsia="zh-CN"/>
        </w:rPr>
        <w:t>（三）加强法治宣传教育，提升全民法律素养；（四）推进公共法律服务，不断提升群众法治获得感；（五）坚持完善机制，推动特殊群体服务管理精细化。</w:t>
      </w:r>
    </w:p>
    <w:p>
      <w:pPr>
        <w:pStyle w:val="3"/>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eastAsia="黑体" w:cs="Times New Roman"/>
          <w:color w:val="auto"/>
          <w:lang w:val="en-US" w:eastAsia="zh-CN"/>
        </w:rPr>
      </w:pPr>
      <w:r>
        <w:rPr>
          <w:rFonts w:hint="default" w:ascii="Times New Roman" w:hAnsi="Times New Roman" w:cs="Times New Roman"/>
          <w:color w:val="auto"/>
          <w:lang w:val="en-US" w:eastAsia="zh-CN"/>
        </w:rPr>
        <w:t>五、</w:t>
      </w:r>
      <w:r>
        <w:rPr>
          <w:rFonts w:hint="default" w:ascii="Times New Roman" w:hAnsi="Times New Roman" w:cs="Times New Roman"/>
          <w:color w:val="auto"/>
        </w:rPr>
        <w:t>存在的主要问题</w:t>
      </w:r>
      <w:bookmarkEnd w:id="4"/>
      <w:r>
        <w:rPr>
          <w:rFonts w:hint="default" w:ascii="Times New Roman" w:hAnsi="Times New Roman" w:cs="Times New Roman"/>
          <w:color w:val="auto"/>
          <w:lang w:val="en-US" w:eastAsia="zh-CN"/>
        </w:rPr>
        <w:t>及原因分析</w:t>
      </w:r>
    </w:p>
    <w:p>
      <w:pPr>
        <w:keepNext w:val="0"/>
        <w:keepLines w:val="0"/>
        <w:pageBreakBefore w:val="0"/>
        <w:widowControl w:val="0"/>
        <w:numPr>
          <w:ilvl w:val="0"/>
          <w:numId w:val="0"/>
        </w:numPr>
        <w:pBdr>
          <w:top w:val="single" w:color="FFFFFF" w:sz="4" w:space="0"/>
          <w:left w:val="single" w:color="FFFFFF" w:sz="4" w:space="0"/>
          <w:bottom w:val="single" w:color="FFFFFF" w:sz="4" w:space="14"/>
          <w:right w:val="single" w:color="FFFFFF" w:sz="4" w:space="10"/>
        </w:pBdr>
        <w:shd w:val="clear" w:color="auto" w:fill="auto"/>
        <w:kinsoku/>
        <w:wordWrap/>
        <w:overflowPunct/>
        <w:topLinePunct w:val="0"/>
        <w:autoSpaceDE/>
        <w:autoSpaceDN/>
        <w:bidi w:val="0"/>
        <w:adjustRightInd w:val="0"/>
        <w:snapToGrid w:val="0"/>
        <w:spacing w:line="580" w:lineRule="exact"/>
        <w:ind w:right="0" w:rightChars="0" w:firstLine="643" w:firstLineChars="200"/>
        <w:jc w:val="both"/>
        <w:textAlignment w:val="auto"/>
        <w:outlineLvl w:val="9"/>
        <w:rPr>
          <w:rFonts w:hint="default" w:ascii="Times New Roman" w:hAnsi="Times New Roman" w:eastAsia="仿宋_GB2312" w:cs="Times New Roman"/>
          <w:color w:val="auto"/>
          <w:kern w:val="2"/>
          <w:sz w:val="32"/>
          <w:szCs w:val="32"/>
          <w:u w:val="none"/>
          <w:lang w:val="en-US" w:eastAsia="zh-CN" w:bidi="ar-SA"/>
        </w:rPr>
      </w:pPr>
      <w:r>
        <w:rPr>
          <w:rFonts w:hint="default" w:ascii="Times New Roman" w:hAnsi="Times New Roman" w:eastAsia="楷体_GB2312" w:cs="Times New Roman"/>
          <w:b/>
          <w:bCs/>
          <w:color w:val="auto"/>
          <w:sz w:val="32"/>
          <w:szCs w:val="32"/>
          <w:u w:val="none"/>
          <w:lang w:val="en-US" w:eastAsia="zh-CN"/>
        </w:rPr>
        <w:t>（一）“关键少数”法治能力有待提升。</w:t>
      </w:r>
      <w:r>
        <w:rPr>
          <w:rFonts w:hint="default" w:ascii="Times New Roman" w:hAnsi="Times New Roman" w:eastAsia="仿宋_GB2312" w:cs="Times New Roman"/>
          <w:b w:val="0"/>
          <w:bCs w:val="0"/>
          <w:color w:val="auto"/>
          <w:sz w:val="32"/>
          <w:szCs w:val="32"/>
          <w:u w:val="none"/>
          <w:lang w:val="en-US" w:eastAsia="zh-CN"/>
        </w:rPr>
        <w:t>部分单位</w:t>
      </w:r>
      <w:r>
        <w:rPr>
          <w:rFonts w:hint="default" w:ascii="Times New Roman" w:hAnsi="Times New Roman" w:eastAsia="仿宋_GB2312" w:cs="Times New Roman"/>
          <w:color w:val="auto"/>
          <w:kern w:val="2"/>
          <w:sz w:val="32"/>
          <w:szCs w:val="32"/>
          <w:u w:val="none"/>
          <w:lang w:val="en-US" w:eastAsia="zh-CN" w:bidi="ar-SA"/>
        </w:rPr>
        <w:t>学习领会中央全面依法治国战略有差距，对推进法治建设第一责任人职责认识还不到位，工作主动性不强，</w:t>
      </w:r>
      <w:r>
        <w:rPr>
          <w:rFonts w:hint="default" w:ascii="Times New Roman" w:hAnsi="Times New Roman" w:eastAsia="仿宋_GB2312" w:cs="Times New Roman"/>
          <w:b w:val="0"/>
          <w:bCs w:val="0"/>
          <w:color w:val="auto"/>
          <w:sz w:val="32"/>
          <w:szCs w:val="32"/>
          <w:u w:val="none"/>
          <w:lang w:val="en-US" w:eastAsia="zh-CN"/>
        </w:rPr>
        <w:t>在宏观层面上强调法治建设工作多，在微观层面上方法单一、思路不清，</w:t>
      </w:r>
      <w:r>
        <w:rPr>
          <w:rFonts w:hint="default" w:ascii="Times New Roman" w:hAnsi="Times New Roman" w:eastAsia="仿宋_GB2312" w:cs="Times New Roman"/>
          <w:color w:val="auto"/>
          <w:kern w:val="2"/>
          <w:sz w:val="32"/>
          <w:szCs w:val="32"/>
          <w:u w:val="none"/>
          <w:lang w:val="en-US" w:eastAsia="zh-CN" w:bidi="ar-SA"/>
        </w:rPr>
        <w:t>向下传导压力不够，法治社会建设力度还不同程度存在自上而下逐级递减的态势。</w:t>
      </w:r>
    </w:p>
    <w:p>
      <w:pPr>
        <w:keepNext w:val="0"/>
        <w:keepLines w:val="0"/>
        <w:pageBreakBefore w:val="0"/>
        <w:widowControl w:val="0"/>
        <w:numPr>
          <w:ilvl w:val="0"/>
          <w:numId w:val="0"/>
        </w:numPr>
        <w:pBdr>
          <w:top w:val="single" w:color="FFFFFF" w:sz="4" w:space="0"/>
          <w:left w:val="single" w:color="FFFFFF" w:sz="4" w:space="0"/>
          <w:bottom w:val="single" w:color="FFFFFF" w:sz="4" w:space="14"/>
          <w:right w:val="single" w:color="FFFFFF" w:sz="4" w:space="10"/>
        </w:pBdr>
        <w:shd w:val="clear" w:color="auto" w:fill="auto"/>
        <w:kinsoku/>
        <w:wordWrap/>
        <w:overflowPunct/>
        <w:topLinePunct w:val="0"/>
        <w:autoSpaceDE/>
        <w:autoSpaceDN/>
        <w:bidi w:val="0"/>
        <w:adjustRightInd w:val="0"/>
        <w:snapToGrid w:val="0"/>
        <w:spacing w:line="580" w:lineRule="exact"/>
        <w:ind w:right="0" w:rightChars="0" w:firstLine="643" w:firstLineChars="200"/>
        <w:jc w:val="both"/>
        <w:textAlignment w:val="auto"/>
        <w:outlineLvl w:val="9"/>
        <w:rPr>
          <w:rFonts w:hint="default" w:ascii="Times New Roman" w:hAnsi="Times New Roman" w:eastAsia="仿宋_GB2312" w:cs="Times New Roman"/>
          <w:b w:val="0"/>
          <w:bCs w:val="0"/>
          <w:color w:val="auto"/>
          <w:sz w:val="32"/>
          <w:szCs w:val="32"/>
          <w:u w:val="none"/>
          <w:lang w:val="en-US" w:eastAsia="zh-CN"/>
        </w:rPr>
      </w:pPr>
      <w:r>
        <w:rPr>
          <w:rFonts w:hint="default" w:ascii="Times New Roman" w:hAnsi="Times New Roman" w:eastAsia="楷体_GB2312" w:cs="Times New Roman"/>
          <w:b/>
          <w:bCs/>
          <w:color w:val="auto"/>
          <w:sz w:val="32"/>
          <w:szCs w:val="32"/>
          <w:u w:val="none"/>
          <w:lang w:val="en-US" w:eastAsia="zh-CN"/>
        </w:rPr>
        <w:t>（二）行政机关执法水平有待增强。</w:t>
      </w:r>
      <w:r>
        <w:rPr>
          <w:rFonts w:hint="default" w:ascii="Times New Roman" w:hAnsi="Times New Roman" w:eastAsia="仿宋_GB2312" w:cs="Times New Roman"/>
          <w:sz w:val="32"/>
          <w:lang w:val="en-US" w:eastAsia="zh-CN"/>
        </w:rPr>
        <w:t>当前我县各行政机关在依法行政实践中，</w:t>
      </w:r>
      <w:r>
        <w:rPr>
          <w:rFonts w:hint="default" w:ascii="Times New Roman" w:hAnsi="Times New Roman" w:eastAsia="仿宋_GB2312" w:cs="Times New Roman"/>
          <w:sz w:val="32"/>
          <w:lang w:eastAsia="zh-CN"/>
        </w:rPr>
        <w:t>主动运用法治思维和法治方式深化改革、推动发展、化解矛盾、维护稳定的意识还不强，存在法律思维不够、执法不规范、执法合力不足、基层执法力量薄弱等问题，与群众日益提升的法治要求不相适应。</w:t>
      </w:r>
    </w:p>
    <w:p>
      <w:pPr>
        <w:keepNext w:val="0"/>
        <w:keepLines w:val="0"/>
        <w:pageBreakBefore w:val="0"/>
        <w:widowControl w:val="0"/>
        <w:numPr>
          <w:ilvl w:val="0"/>
          <w:numId w:val="0"/>
        </w:numPr>
        <w:pBdr>
          <w:top w:val="single" w:color="FFFFFF" w:sz="4" w:space="0"/>
          <w:left w:val="single" w:color="FFFFFF" w:sz="4" w:space="0"/>
          <w:bottom w:val="single" w:color="FFFFFF" w:sz="4" w:space="14"/>
          <w:right w:val="single" w:color="FFFFFF" w:sz="4" w:space="10"/>
        </w:pBdr>
        <w:shd w:val="clear" w:color="auto" w:fill="auto"/>
        <w:kinsoku/>
        <w:wordWrap/>
        <w:overflowPunct/>
        <w:topLinePunct w:val="0"/>
        <w:autoSpaceDE/>
        <w:autoSpaceDN/>
        <w:bidi w:val="0"/>
        <w:adjustRightInd w:val="0"/>
        <w:snapToGrid w:val="0"/>
        <w:spacing w:line="580" w:lineRule="exact"/>
        <w:ind w:right="0" w:rightChars="0" w:firstLine="643" w:firstLineChars="200"/>
        <w:jc w:val="both"/>
        <w:textAlignment w:val="auto"/>
        <w:outlineLvl w:val="9"/>
        <w:rPr>
          <w:rFonts w:hint="default" w:ascii="Times New Roman" w:hAnsi="Times New Roman" w:eastAsia="仿宋_GB2312" w:cs="Times New Roman"/>
          <w:color w:val="auto"/>
          <w:sz w:val="32"/>
          <w:szCs w:val="32"/>
          <w:u w:val="none"/>
          <w:lang w:val="en-US" w:eastAsia="zh-CN"/>
        </w:rPr>
      </w:pPr>
      <w:r>
        <w:rPr>
          <w:rFonts w:hint="default" w:ascii="Times New Roman" w:hAnsi="Times New Roman" w:eastAsia="楷体_GB2312" w:cs="Times New Roman"/>
          <w:b/>
          <w:bCs/>
          <w:color w:val="auto"/>
          <w:sz w:val="32"/>
          <w:szCs w:val="32"/>
          <w:u w:val="none"/>
          <w:lang w:val="en-US" w:eastAsia="zh-CN"/>
        </w:rPr>
        <w:t>（三）基层法治氛围不够浓厚。</w:t>
      </w:r>
      <w:r>
        <w:rPr>
          <w:rFonts w:hint="default" w:ascii="Times New Roman" w:hAnsi="Times New Roman" w:eastAsia="仿宋_GB2312" w:cs="Times New Roman"/>
          <w:color w:val="auto"/>
          <w:kern w:val="2"/>
          <w:sz w:val="32"/>
          <w:szCs w:val="32"/>
          <w:u w:val="none"/>
          <w:lang w:val="en-US" w:eastAsia="zh-CN" w:bidi="ar-SA"/>
        </w:rPr>
        <w:t>各责任单位落实“谁执法谁普法”责任制不扎实，日常普法仅</w:t>
      </w:r>
      <w:r>
        <w:rPr>
          <w:rFonts w:hint="default" w:ascii="Times New Roman" w:hAnsi="Times New Roman" w:eastAsia="仿宋_GB2312" w:cs="Times New Roman"/>
          <w:color w:val="auto"/>
          <w:sz w:val="32"/>
          <w:szCs w:val="32"/>
          <w:u w:val="none"/>
          <w:lang w:val="en-US" w:eastAsia="zh-CN"/>
        </w:rPr>
        <w:t>满足于完成规定动作，日常普法活动大多数停留在制作展板、散发资料、开展法律讲座等方面，普法形式较为单一、宣传工作缺少深度和氛围，特别是部分执法单位，用身边事教育身边人的意识和方法还不足，普法效果还不够显著。</w:t>
      </w:r>
    </w:p>
    <w:p>
      <w:pPr>
        <w:pStyle w:val="3"/>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rPr>
      </w:pPr>
      <w:bookmarkStart w:id="5" w:name="_Toc29546_WPSOffice_Level1"/>
      <w:r>
        <w:rPr>
          <w:rFonts w:hint="default" w:ascii="Times New Roman" w:hAnsi="Times New Roman" w:cs="Times New Roman"/>
          <w:color w:val="auto"/>
          <w:lang w:val="en-US" w:eastAsia="zh-CN"/>
        </w:rPr>
        <w:t>六、</w:t>
      </w:r>
      <w:r>
        <w:rPr>
          <w:rFonts w:hint="default" w:ascii="Times New Roman" w:hAnsi="Times New Roman" w:cs="Times New Roman"/>
          <w:color w:val="auto"/>
        </w:rPr>
        <w:t>改进措施和建议</w:t>
      </w:r>
      <w:bookmarkEnd w:id="5"/>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val="en-US" w:eastAsia="zh-CN"/>
        </w:rPr>
      </w:pPr>
      <w:bookmarkStart w:id="6" w:name="_GoBack"/>
      <w:r>
        <w:rPr>
          <w:rFonts w:hint="default" w:ascii="Times New Roman" w:hAnsi="Times New Roman" w:cs="Times New Roman"/>
          <w:color w:val="auto"/>
          <w:lang w:val="en-US" w:eastAsia="zh-CN"/>
        </w:rPr>
        <w:t>结合各单位部门支出实际实施情况，分析并提出实操过程中具有实践指导和可操作的建议，至少一个问题一条建议，措施和建议也应从单位的总体工作安排和职能出发，从加强部门决策、完善工作机制、发挥履职效能、优化支出结构、提高资金使用效益等角度出发，提出高层次的措施建议，不要局限于具体的资金支出或日常工作。</w:t>
      </w:r>
    </w:p>
    <w:bookmarkEnd w:id="6"/>
    <w:p>
      <w:pPr>
        <w:pStyle w:val="3"/>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七、附表</w:t>
      </w:r>
    </w:p>
    <w:p>
      <w:pPr>
        <w:pageBreakBefore w:val="0"/>
        <w:widowControl w:val="0"/>
        <w:kinsoku/>
        <w:wordWrap/>
        <w:overflowPunct/>
        <w:topLinePunct w:val="0"/>
        <w:autoSpaceDE/>
        <w:autoSpaceDN/>
        <w:bidi w:val="0"/>
        <w:adjustRightInd w:val="0"/>
        <w:snapToGrid w:val="0"/>
        <w:spacing w:line="560" w:lineRule="exact"/>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附件：《部门整体支出绩效自评表》。</w:t>
      </w:r>
    </w:p>
    <w:sectPr>
      <w:footerReference r:id="rId4" w:type="default"/>
      <w:pgSz w:w="11906" w:h="16838"/>
      <w:pgMar w:top="1440" w:right="1800" w:bottom="1440" w:left="1800"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00004FF" w:usb2="00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43" w:usb2="00000009" w:usb3="00000000" w:csb0="400001FF" w:csb1="FFFF0000"/>
  </w:font>
  <w:font w:name="等线 Light">
    <w:panose1 w:val="02010600030101010101"/>
    <w:charset w:val="86"/>
    <w:family w:val="auto"/>
    <w:pitch w:val="default"/>
    <w:sig w:usb0="A00002BF" w:usb1="38CF7CFA" w:usb2="00000016" w:usb3="00000000" w:csb0="0004000F" w:csb1="00000000"/>
  </w:font>
  <w:font w:name="微软雅黑 Light">
    <w:panose1 w:val="020B0502040204020203"/>
    <w:charset w:val="86"/>
    <w:family w:val="auto"/>
    <w:pitch w:val="default"/>
    <w:sig w:usb0="80000287" w:usb1="2ACF0010" w:usb2="00000016" w:usb3="00000000" w:csb0="0004001F" w:csb1="00000000"/>
  </w:font>
  <w:font w:name="等线">
    <w:panose1 w:val="02010600030101010101"/>
    <w:charset w:val="86"/>
    <w:family w:val="auto"/>
    <w:pitch w:val="default"/>
    <w:sig w:usb0="A00002BF" w:usb1="38CF7CFA" w:usb2="00000016" w:usb3="00000000" w:csb0="0004000F"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0" w:leftChars="0"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5ODI3OTZlMjJmZjZkNDhjY2NkNTZiNTU2ZmRkMGYifQ=="/>
    <w:docVar w:name="KSO_WPS_MARK_KEY" w:val="e89e5d35-c8b1-4830-abac-bd085844b888"/>
  </w:docVars>
  <w:rsids>
    <w:rsidRoot w:val="1C6D319F"/>
    <w:rsid w:val="000C4E29"/>
    <w:rsid w:val="000D3AFA"/>
    <w:rsid w:val="000E1B81"/>
    <w:rsid w:val="0012092B"/>
    <w:rsid w:val="00141421"/>
    <w:rsid w:val="00191BA3"/>
    <w:rsid w:val="001C1E1D"/>
    <w:rsid w:val="001E750D"/>
    <w:rsid w:val="0022744B"/>
    <w:rsid w:val="00234372"/>
    <w:rsid w:val="00292A50"/>
    <w:rsid w:val="002939FF"/>
    <w:rsid w:val="002F0C4C"/>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C717F"/>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A2702"/>
    <w:rsid w:val="00FF2ACD"/>
    <w:rsid w:val="01172A03"/>
    <w:rsid w:val="012008EE"/>
    <w:rsid w:val="01941124"/>
    <w:rsid w:val="01CC583F"/>
    <w:rsid w:val="01CE78D1"/>
    <w:rsid w:val="04FF0482"/>
    <w:rsid w:val="05062887"/>
    <w:rsid w:val="056C6B93"/>
    <w:rsid w:val="05F70F85"/>
    <w:rsid w:val="060E3B96"/>
    <w:rsid w:val="067A5F0E"/>
    <w:rsid w:val="072B19D6"/>
    <w:rsid w:val="079C6542"/>
    <w:rsid w:val="084208C4"/>
    <w:rsid w:val="08B80F70"/>
    <w:rsid w:val="08E1005E"/>
    <w:rsid w:val="09715072"/>
    <w:rsid w:val="098A3C0A"/>
    <w:rsid w:val="09ED4C49"/>
    <w:rsid w:val="0A9A7091"/>
    <w:rsid w:val="0DCD726B"/>
    <w:rsid w:val="0EDA6B97"/>
    <w:rsid w:val="10300946"/>
    <w:rsid w:val="10FE60D7"/>
    <w:rsid w:val="111725AC"/>
    <w:rsid w:val="12C50511"/>
    <w:rsid w:val="14C16087"/>
    <w:rsid w:val="15543DCE"/>
    <w:rsid w:val="15591446"/>
    <w:rsid w:val="175D58E3"/>
    <w:rsid w:val="18061B60"/>
    <w:rsid w:val="190C3DF8"/>
    <w:rsid w:val="19434886"/>
    <w:rsid w:val="19AA4D08"/>
    <w:rsid w:val="19F83E30"/>
    <w:rsid w:val="1ACE2BA8"/>
    <w:rsid w:val="1B403139"/>
    <w:rsid w:val="1BCD6688"/>
    <w:rsid w:val="1BCE10AF"/>
    <w:rsid w:val="1C6D319F"/>
    <w:rsid w:val="1CAF67D4"/>
    <w:rsid w:val="1D4D74D6"/>
    <w:rsid w:val="1D69418F"/>
    <w:rsid w:val="1DE32CFD"/>
    <w:rsid w:val="1EA91F7A"/>
    <w:rsid w:val="1F1A602A"/>
    <w:rsid w:val="1F2854B6"/>
    <w:rsid w:val="21C768CD"/>
    <w:rsid w:val="22E14253"/>
    <w:rsid w:val="22F62969"/>
    <w:rsid w:val="23F209A3"/>
    <w:rsid w:val="2403516E"/>
    <w:rsid w:val="24D46CDA"/>
    <w:rsid w:val="256A2A9E"/>
    <w:rsid w:val="2805537E"/>
    <w:rsid w:val="289437EE"/>
    <w:rsid w:val="294D3943"/>
    <w:rsid w:val="297873DB"/>
    <w:rsid w:val="2A285817"/>
    <w:rsid w:val="2AB4113F"/>
    <w:rsid w:val="2AE61515"/>
    <w:rsid w:val="2B9759DA"/>
    <w:rsid w:val="2CE80E2F"/>
    <w:rsid w:val="2E522F6D"/>
    <w:rsid w:val="2E9F3EB4"/>
    <w:rsid w:val="2EBF757D"/>
    <w:rsid w:val="2FC6003C"/>
    <w:rsid w:val="30F42274"/>
    <w:rsid w:val="31AE39CE"/>
    <w:rsid w:val="31B83F5F"/>
    <w:rsid w:val="328E2AB6"/>
    <w:rsid w:val="329B12EA"/>
    <w:rsid w:val="33A83F87"/>
    <w:rsid w:val="33BE6B8B"/>
    <w:rsid w:val="348222AE"/>
    <w:rsid w:val="348F1A9E"/>
    <w:rsid w:val="35571655"/>
    <w:rsid w:val="355C2B3F"/>
    <w:rsid w:val="35C80195"/>
    <w:rsid w:val="35F12468"/>
    <w:rsid w:val="360B1E2F"/>
    <w:rsid w:val="36401AD9"/>
    <w:rsid w:val="36851B5C"/>
    <w:rsid w:val="37D360CA"/>
    <w:rsid w:val="381E4CC0"/>
    <w:rsid w:val="38CB5066"/>
    <w:rsid w:val="38F92413"/>
    <w:rsid w:val="3AC36A27"/>
    <w:rsid w:val="3BC211E2"/>
    <w:rsid w:val="3BE253E0"/>
    <w:rsid w:val="3F301058"/>
    <w:rsid w:val="40BE466E"/>
    <w:rsid w:val="41597EF3"/>
    <w:rsid w:val="417A34F9"/>
    <w:rsid w:val="418810F4"/>
    <w:rsid w:val="41A37673"/>
    <w:rsid w:val="41AF3FB7"/>
    <w:rsid w:val="42C30950"/>
    <w:rsid w:val="42DB1778"/>
    <w:rsid w:val="432714C8"/>
    <w:rsid w:val="45A65C7F"/>
    <w:rsid w:val="46244F73"/>
    <w:rsid w:val="46571881"/>
    <w:rsid w:val="466139C5"/>
    <w:rsid w:val="46804FDD"/>
    <w:rsid w:val="468C2A4A"/>
    <w:rsid w:val="46AD2493"/>
    <w:rsid w:val="46EC7F14"/>
    <w:rsid w:val="48AF4C7F"/>
    <w:rsid w:val="4907292A"/>
    <w:rsid w:val="49097D64"/>
    <w:rsid w:val="49683351"/>
    <w:rsid w:val="4A81677A"/>
    <w:rsid w:val="4C45691F"/>
    <w:rsid w:val="4DA177B2"/>
    <w:rsid w:val="4DF36D4F"/>
    <w:rsid w:val="4EB208FC"/>
    <w:rsid w:val="501B7C76"/>
    <w:rsid w:val="504D5CCF"/>
    <w:rsid w:val="50577CF3"/>
    <w:rsid w:val="533A7469"/>
    <w:rsid w:val="53526129"/>
    <w:rsid w:val="535A6478"/>
    <w:rsid w:val="53EB5CF8"/>
    <w:rsid w:val="54D56C86"/>
    <w:rsid w:val="565F61A9"/>
    <w:rsid w:val="56FA762A"/>
    <w:rsid w:val="57232FC4"/>
    <w:rsid w:val="572D2326"/>
    <w:rsid w:val="57365691"/>
    <w:rsid w:val="59EE1E48"/>
    <w:rsid w:val="5A0F163F"/>
    <w:rsid w:val="5A490F5C"/>
    <w:rsid w:val="5B805E16"/>
    <w:rsid w:val="5BD21464"/>
    <w:rsid w:val="5BDE2B83"/>
    <w:rsid w:val="5BF170D3"/>
    <w:rsid w:val="5C777282"/>
    <w:rsid w:val="5DAF116F"/>
    <w:rsid w:val="5E5F032D"/>
    <w:rsid w:val="601E511D"/>
    <w:rsid w:val="61635F72"/>
    <w:rsid w:val="618606C5"/>
    <w:rsid w:val="63872C9D"/>
    <w:rsid w:val="63E114D3"/>
    <w:rsid w:val="6776379C"/>
    <w:rsid w:val="682602E1"/>
    <w:rsid w:val="6AD46D46"/>
    <w:rsid w:val="6DE07909"/>
    <w:rsid w:val="6E58438A"/>
    <w:rsid w:val="6E9D5508"/>
    <w:rsid w:val="6F8166E3"/>
    <w:rsid w:val="6F871359"/>
    <w:rsid w:val="701D0F50"/>
    <w:rsid w:val="71EB22B3"/>
    <w:rsid w:val="72010FA6"/>
    <w:rsid w:val="748A4F72"/>
    <w:rsid w:val="74961819"/>
    <w:rsid w:val="74E92D60"/>
    <w:rsid w:val="75173CDC"/>
    <w:rsid w:val="75210DC6"/>
    <w:rsid w:val="75664078"/>
    <w:rsid w:val="761E4132"/>
    <w:rsid w:val="76C90BF0"/>
    <w:rsid w:val="78061A79"/>
    <w:rsid w:val="789C633C"/>
    <w:rsid w:val="78AC6800"/>
    <w:rsid w:val="78C8065E"/>
    <w:rsid w:val="79181486"/>
    <w:rsid w:val="79B75C1B"/>
    <w:rsid w:val="7B832F8A"/>
    <w:rsid w:val="7B9562EA"/>
    <w:rsid w:val="7BC003CA"/>
    <w:rsid w:val="7BFC3A7F"/>
    <w:rsid w:val="7CBF4BB4"/>
    <w:rsid w:val="7D284AA0"/>
    <w:rsid w:val="7D381504"/>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ind w:firstLine="640" w:firstLineChars="200"/>
      <w:jc w:val="both"/>
    </w:pPr>
    <w:rPr>
      <w:rFonts w:ascii="仿宋_GB2312" w:hAnsi="仿宋_GB2312" w:eastAsia="仿宋_GB2312"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2">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82</TotalTime>
  <ScaleCrop>false</ScaleCrop>
  <LinksUpToDate>false</LinksUpToDate>
  <CharactersWithSpaces>10787</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Administrator</cp:lastModifiedBy>
  <dcterms:modified xsi:type="dcterms:W3CDTF">2024-04-29T09:34:36Z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B23B89CFDFDF4A2F929D8285E85B6EB2_13</vt:lpwstr>
  </property>
</Properties>
</file>