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3130A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C293B8F">
      <w:pPr>
        <w:spacing w:line="540" w:lineRule="exact"/>
        <w:jc w:val="both"/>
        <w:rPr>
          <w:rFonts w:ascii="华文中宋" w:hAnsi="华文中宋" w:eastAsia="华文中宋" w:cs="宋体"/>
          <w:b/>
          <w:kern w:val="0"/>
          <w:sz w:val="52"/>
          <w:szCs w:val="52"/>
        </w:rPr>
      </w:pPr>
      <w:bookmarkStart w:id="0" w:name="_GoBack"/>
      <w:bookmarkEnd w:id="0"/>
    </w:p>
    <w:p w14:paraId="01F53628">
      <w:pPr>
        <w:spacing w:line="540" w:lineRule="exact"/>
        <w:jc w:val="center"/>
        <w:rPr>
          <w:rFonts w:ascii="华文中宋" w:hAnsi="华文中宋" w:eastAsia="华文中宋" w:cs="宋体"/>
          <w:b/>
          <w:kern w:val="0"/>
          <w:sz w:val="52"/>
          <w:szCs w:val="52"/>
        </w:rPr>
      </w:pPr>
    </w:p>
    <w:p w14:paraId="746D515C">
      <w:pPr>
        <w:spacing w:line="540" w:lineRule="exact"/>
        <w:jc w:val="center"/>
        <w:rPr>
          <w:rFonts w:ascii="华文中宋" w:hAnsi="华文中宋" w:eastAsia="华文中宋" w:cs="宋体"/>
          <w:b/>
          <w:kern w:val="0"/>
          <w:sz w:val="52"/>
          <w:szCs w:val="52"/>
        </w:rPr>
      </w:pPr>
    </w:p>
    <w:p w14:paraId="56E08345">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FDB21F7">
      <w:pPr>
        <w:spacing w:line="540" w:lineRule="exact"/>
        <w:jc w:val="center"/>
        <w:rPr>
          <w:rFonts w:ascii="华文中宋" w:hAnsi="华文中宋" w:eastAsia="华文中宋" w:cs="宋体"/>
          <w:b/>
          <w:kern w:val="0"/>
          <w:sz w:val="52"/>
          <w:szCs w:val="52"/>
        </w:rPr>
      </w:pPr>
    </w:p>
    <w:p w14:paraId="6AA77C3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46FBA878">
      <w:pPr>
        <w:spacing w:line="540" w:lineRule="exact"/>
        <w:jc w:val="center"/>
        <w:rPr>
          <w:rFonts w:hAnsi="宋体" w:eastAsia="仿宋_GB2312" w:cs="宋体"/>
          <w:kern w:val="0"/>
          <w:sz w:val="30"/>
          <w:szCs w:val="30"/>
        </w:rPr>
      </w:pPr>
    </w:p>
    <w:p w14:paraId="1C48CE82">
      <w:pPr>
        <w:spacing w:line="540" w:lineRule="exact"/>
        <w:jc w:val="center"/>
        <w:rPr>
          <w:rFonts w:hAnsi="宋体" w:eastAsia="仿宋_GB2312" w:cs="宋体"/>
          <w:kern w:val="0"/>
          <w:sz w:val="30"/>
          <w:szCs w:val="30"/>
        </w:rPr>
      </w:pPr>
    </w:p>
    <w:p w14:paraId="3B9BA1B5">
      <w:pPr>
        <w:spacing w:line="540" w:lineRule="exact"/>
        <w:jc w:val="center"/>
        <w:rPr>
          <w:rFonts w:hAnsi="宋体" w:eastAsia="仿宋_GB2312" w:cs="宋体"/>
          <w:kern w:val="0"/>
          <w:sz w:val="30"/>
          <w:szCs w:val="30"/>
        </w:rPr>
      </w:pPr>
    </w:p>
    <w:p w14:paraId="7F6A6833">
      <w:pPr>
        <w:spacing w:line="540" w:lineRule="exact"/>
        <w:jc w:val="center"/>
        <w:rPr>
          <w:rFonts w:hAnsi="宋体" w:eastAsia="仿宋_GB2312" w:cs="宋体"/>
          <w:kern w:val="0"/>
          <w:sz w:val="30"/>
          <w:szCs w:val="30"/>
        </w:rPr>
      </w:pPr>
    </w:p>
    <w:p w14:paraId="24B77A31">
      <w:pPr>
        <w:spacing w:line="540" w:lineRule="exact"/>
        <w:jc w:val="center"/>
        <w:rPr>
          <w:rFonts w:hAnsi="宋体" w:eastAsia="仿宋_GB2312" w:cs="宋体"/>
          <w:kern w:val="0"/>
          <w:sz w:val="30"/>
          <w:szCs w:val="30"/>
        </w:rPr>
      </w:pPr>
    </w:p>
    <w:p w14:paraId="20FA1EB0">
      <w:pPr>
        <w:spacing w:line="540" w:lineRule="exact"/>
        <w:jc w:val="center"/>
        <w:rPr>
          <w:rFonts w:hAnsi="宋体" w:eastAsia="仿宋_GB2312" w:cs="宋体"/>
          <w:kern w:val="0"/>
          <w:sz w:val="30"/>
          <w:szCs w:val="30"/>
        </w:rPr>
      </w:pPr>
    </w:p>
    <w:p w14:paraId="5F1D714E">
      <w:pPr>
        <w:spacing w:line="540" w:lineRule="exact"/>
        <w:rPr>
          <w:rFonts w:hAnsi="宋体" w:eastAsia="仿宋_GB2312" w:cs="宋体"/>
          <w:kern w:val="0"/>
          <w:sz w:val="30"/>
          <w:szCs w:val="30"/>
        </w:rPr>
      </w:pPr>
    </w:p>
    <w:p w14:paraId="5197C3A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3BCE60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3岁以下婴幼儿照护服务试点项目（关于下达2023年中央专项彩票公益基金支持地方社会公益事业发展资金预算的通知）</w:t>
      </w:r>
    </w:p>
    <w:p w14:paraId="5B026E3F">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吉木萨尔县卫生健康委员会</w:t>
      </w:r>
    </w:p>
    <w:p w14:paraId="3C72ED8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吉木萨尔县卫生健康委员会</w:t>
      </w:r>
    </w:p>
    <w:p w14:paraId="1B92AB6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张庆宇</w:t>
      </w:r>
    </w:p>
    <w:p w14:paraId="0F120B2E">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14:paraId="56830A22">
      <w:pPr>
        <w:spacing w:line="700" w:lineRule="exact"/>
        <w:ind w:firstLine="708" w:firstLineChars="236"/>
        <w:jc w:val="left"/>
        <w:rPr>
          <w:rFonts w:hAnsi="宋体" w:eastAsia="仿宋_GB2312" w:cs="宋体"/>
          <w:kern w:val="0"/>
          <w:sz w:val="30"/>
          <w:szCs w:val="30"/>
        </w:rPr>
      </w:pPr>
    </w:p>
    <w:p w14:paraId="21A6ADE4">
      <w:pPr>
        <w:spacing w:line="540" w:lineRule="exact"/>
        <w:rPr>
          <w:rStyle w:val="18"/>
          <w:rFonts w:ascii="黑体" w:hAnsi="黑体" w:eastAsia="黑体"/>
          <w:b w:val="0"/>
          <w:spacing w:val="-4"/>
          <w:sz w:val="32"/>
          <w:szCs w:val="32"/>
        </w:rPr>
      </w:pPr>
    </w:p>
    <w:p w14:paraId="0C0EFADB">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47B15F7A">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AED22D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深入贯彻落实《国务院办公厅关于促进3岁以下婴幼儿照护服务发展的指导意见》(国办发〔2019〕15号)精神、自治区《关于促进3岁以下婴幼儿照护服务发展的实施意见》(新政办发〔2019〕15号)和《中共昌吉回族自治州委员会、昌吉回族自治州人民政府关于印发《昌吉回族自治州优化生育政策促进人口长期均衡发展实施方案〉的通知》(昌党发〔2022〕14号)要求，推进我县3岁以下婴幼儿照护服务健康有序发展,制定《吉木萨尔县改扩建公办托育机构的请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（1）项目名称：3岁以下婴幼儿照护服务试点项目（关于下达2023年中央专项彩票公益基金支持地方社会公益事业发展资金预算的通知）项目支出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托育服务教室、寝室、活动室、功能室等配套服务用房的改建及室内物品、教具购置，新增托位200个。推进我县3岁以下婴幼儿照护服务健康有序发展，促进人口长期均衡发展的政策体系更加完善，服务管理机制运转高效，生育水平更加适度，人口结构进一步改善;优生优育、幼有所育的服务水平显著提高，形成健全完备的婴幼儿照护服务政策体系和标准体系，多元化、多样化、覆盖城乡的婴幼儿照护服务体系;家庭发展能力明显提高，人的全面发展取得更为明显的实质性进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实施主体：吉木萨尔县卫生健康委员会。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县卫健委负责项目于2023年5月通过发改委审批完成立项工作，6月通过昌吉州审图中心审核完成设计审图工作，7月通过委托代理完成项目招标控价并完成发布项目招标公告工作，8月通过吉木萨尔县政采中心完成项目招标工作，项目已完工并完成验收、结算工作，已委托财务决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组织拟订国民健康政策措施，贯彻执行卫生健康事业发展法律法规、政策、规章和标准并组织实施。统筹规划卫生健康资源配置，研究拟订县卫生健康规划并组织实施。制定并组织实施推进卫生健康基本公共服务均等化、普惠化、便捷化和公共资源向基层延伸等政策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（三）制定并组织落实县疾病预防控制规划、免疫规划以及严重危害人民健康公共卫生问题的干预措施。负责卫生应急工作，负责突发公共卫生事件的预防控制和各类突发公共事件的医疗卫生救援。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（四）组织拟订并协调落实应对人口老龄化政策措施，负责推进县老年健康服务体系建设和医养结合工作。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（五）贯彻落实国家药物政策和国家基本药物制度，负责药品使用监测、临床综合评价和短缺药品预警工作。执行国家药典，提出基本药物价格政策的建议。负责食品安全风险监测评估。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六）负责职责范围内的职业卫生、放射卫生、环境卫生、学校卫生、公共场所卫生、饮用水卫生等公共卫生和监督管理，负责传染病防治监督，健全卫生健康综合监督体系。牵头《烟草控制框架公约》履约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（七）监督实施医疗机构、医疗服务行业管理办法，建立医疗服务评价和监督管理体系。实施卫生健康专业技术人员资格标准。组织实施医疗服务规范、标准和卫生健康专业技术人员执业规则、服务规范。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（八）负责计划生育管理和服务工作，开展人口监测预警，研究提出人口与家庭发展相关政策建议，完善计划生育政策措施。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九）负责基层卫生工作，指导乡镇卫生院及其村卫生室、社区卫生服务中心及其卫生服务站的卫生健康工作，指导医疗卫生、妇幼健康服务体系和全科医生队伍建设。贯彻落实基本公共卫生服务规范。推进卫生健康科技创新发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（十）负责重要会议与重大活动的医疗卫生保障工作。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（十一）承担县老龄委员会的日常工作。指导县计划生育协会的业务工作。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（十二）完成县党委、县人民政府交办的其他任务。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三）职能转变。县卫生健康委员会应当牢固树立大卫生、大健康理念，推动实施健康中国、健康新疆、健康昌吉战略，以改革创新为动力，以促健康、转模式、强基层、重保障为着力点，把以治病为中心转变到以人民健康为中心，为各族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生活困难群众倾斜。三是更加注重提高服务质量和水平，推进卫生健康基本公共卫生服务均等化、普惠化、便捷化。四是协调推进深化医药卫生体制改革，加大公立医院改革力度，推进管办分离，推动卫生健康公共服务提供主体多元化、提供方式多样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（十四）有关职责分工。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与县发展和改革委员会的有关职责分工。县卫生健康委员会负责开展人口监测预警工作，拟订生育政策措施，研究提出与生育相关的人口数量、素质、结构、分布方面的政策建议，促进生育政策和相关经济社会政策配套衔接，参与制定人口发展规划和政策措施，落实国家、区、州、县人口发展规划中的有关任务。县发展和改革委员会负责组织监测和评估人口变动情况及趋势影响，建立人口预测预报制度，负责重大决策人口影响评估，完善重大人口政策咨询机制，研究提出县人口发展战略，拟订人口发展规划和人口政策措施，研究提出人口与经济、社会、资源、环境协调可持续发展，以及统筹促进人口长期均衡发展的政策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与县民政局的有关职责分工。县卫生健康委员会负责拟订县应对人口老龄化、医养结合政策措施，综合协调、督促指导、组织推进老龄事业发展，承担老年疾病防治、老年人医疗照护、老年人心理健康与关怀服务等老年健康工作。县民政局负责统筹推进、督促指导、监督管理全县养老服务工作，拟订养老服务体系建设规划、政策措施并组织实施，承担老年人福利和特殊困难老年人救助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与县市场监督管理局的有关职责分工。县卫生健康委员会负责食品安全风险评估工作，会同县市场监督管理局等部门制定、实施食品安全风险监测计划。县卫生健康委员会对通过食品安全风险监测或者接到举报发现食品可能存在安全隐患的，应当立即组织进行检验和食品安全风险评估，并及时向县市场监督管理局等部门通报食品安全风险评估结果，对得出不安全结论的食品，县市场监督管理局等部门应当立即采取措施。县市场监督管理局等部门在监督管理工作中发现需要进行食品安全风险评估的，应当及时向县卫生健康委员会提出建议。县卫生健康委员会配合具市场监督管理局贯彻落实国家药典，县市场监督管理局会同县卫生健康委员会建立较大药品不良反应和医疗器械不良事件相互通报和联合处置机制。对于既有餐饮服务同时兼有住宿、洗浴、娱乐等服务的公共场所，县市场监督管理局负责餐饮服务安全监管， 县卫生健康委员会负责公共场所卫生监督管理。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4、与县医疗保障局的有关职责分工。县卫生健康委员会、县医疗保障局等部门在医疗、医保、医药等方面加强制度、 政策衔接，建立沟通协商机制，协同推进改革，提高医疗资源使用效率和医疗保障水平。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吉木萨尔县卫生健康委员会无下属预算单位，下设4个处室，分别是：办公室、计划生育与妇幼健康科、医政药政科教科（行政审批科）基层卫生健康科。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吉木萨尔县卫生健康委员会单位编制数33名 ，其中：行政编制12名，机关工勤事业编制2名，参公编制8名，事业编制11名。实有人员27 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本项目预算安排总额为300万元，资金来源为中央专项资金，其中：财政资金300万元，其他资金0万元，2023年实际收到预算资金300万元，预算资金到位率为100%。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截至2023年12月31日，本项目实际支付资金274.74万元，预算执行率91.58%，结转资金25.26万元。本项目资金主要用于支付施工（含前期费）164.5万元、设备购置110.24万元。</w:t>
      </w:r>
    </w:p>
    <w:p w14:paraId="2F16651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158E671C">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通过该项目的实施，卫健委根据《中华人民共和国国民经济和社会发展第十四个五年规划和 2035 年远景目标纲要》，以“一老一小"为重点完善人口服务体系，把0-3岁是婴幼儿照护的作为重要组成部分，把发展托育服务作为一项重要民生工程，增建普惠性托位数200个，促进了三孩政策落地的关键配套措施完成，切实解决了老百姓关切的“托育难”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“建普惠性托位数”指标，预期指标值为“≥200个”；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“托育机构建设要求达标率”指标，预期指标值为“=100%”；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“装修项目验收合格率”指标，预期指标值为“=100%”；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“拖育机构建设完工及时率”指标，预期指标值为“=100%”；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“托育机构建设总成本”指标，预期指标值为“≤300万元”；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“解决老百姓关切的“托育难”问题”指标，预期指标值为“有效解决”；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w:t>
      </w:r>
    </w:p>
    <w:p w14:paraId="43DBC32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0451ADF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72D83C06">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3岁以下婴幼儿照护服务试点项目（关于下达2023年中央专项彩票公益基金支持地方社会公益事业发展资金预算的通知）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（5）关于转发《关于印发自治区项目支出绩效目标设置指引的通知》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（6）关于转发自治区《关于进一步加强和规范第三方机构参与预算绩效管理的通知》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（7）《关于印发&lt;吉木萨尔县财政支出绩效评价管理暂行办法&gt;的通知》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（8）《关于印发&lt;吉木萨尔县预算绩效监控管理暂行办法&gt;的通知》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（9）《2022年度吉木萨尔县全面实施预算绩效管理工作方案》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（10）《关于成立吉木萨尔县预算绩效管理工作领导小组的通知》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（11）《关于加强和规范吉木萨尔县项目支出“全过程”预算绩效管理结果应用的通知》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（12）《关于昌吉州第三托育中心示范性托育服务中心与吉木萨尔县婴幼儿照护托育服务能力提升建设项目合并实施可行性研究报告(代项目建议书)的批复》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（13）《吉木萨尔县改扩建公办托育机构实施方案》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（14）《昌吉州第三托育中心示范性托育服务中心与吉木萨尔县婴幼儿托育服务能力提升建设项目一标段造价咨询报告书》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（15）《昌吉州第三托育中心示范性托育服务中心与吉木萨尔县婴幼儿托育服务能力提升建设项目竣工结算审核报告》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（16）《昌吉州第三托育中心示范性托育服务中心与吉木萨尔县</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婴幼儿托育服务能力提升建设项目竣工财务决算审计报告》</w:t>
      </w:r>
    </w:p>
    <w:p w14:paraId="1C4B7512">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76EFFE7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属于“是”或“否”判断的单一评判定量指标：比较法，符合要求的得满分，不符合要求的不得分或者扣相应的分数。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F6DAEB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353C544F">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陈磊（评价小组组长）：主要负责项目策划和监督，全面负责项目绩效评价办稿的最终质量，对评估人员出具的最终报告质量进行复核，确保评估结果的客观性；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羊飞鸿（评价小组组员）：主要负责资料的收集，取证、数据统计分析；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罗明娜（评价小组组员）：主要负责主要负责项目报告的制定，指标的研判，数据分析及报告撰写。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2024年3月7日-3月10日，评价工作进入实施阶段。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经调研了解，该项目主要受益群体为社会公众。我们根据绩效评价目标和绩效指标体系，设计满意度调查问卷进行问卷调查，其中30受益对象共选取样本30人，共发放问卷30份，最终收回30份；30受益对象共选取样本30人，共发放问卷30份，最终收回30份。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2024年3月11日-3月20日，评价小组按照绩效评价的原则和规范，对取得的资料进行审查核实，对采集的数据进行分析，按照绩效评价指标评分表逐项进行打分、分析、汇总各方评价结果。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2024年3月21-3月31日，评价小组撰写绩效评价报告，按照新疆维吾尔自治区财政绩效管理信息系统绩效评价模块中统一格式和文本框架撰写绩效评价报告并提交审核。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6D13D6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52BA72">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通过项目的实施，完成了增建建普惠性托位200个，托育机构建设要求达标率100%，拖育机构建设完工及时率100%，发挥了解决老百姓关切的“托育难”问题的社会效益。但在实施过程中也存在一些不足：该项目因县教育局负责第八幼儿园建筑主体一直未通过验收，至10月1日进驻开展室内装修，根据工程进度付款，影响资金支付进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18个，实现三级指标数量18个，总体完成率为99.6%。最终评分结果：总分为98.5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项目产出类指标共设置5个，满分指标4个，得分率80%；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项目效益类指标共设置2个，满分指标2个，得分率100%。</w:t>
      </w:r>
    </w:p>
    <w:p w14:paraId="781B58F6">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D7051E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6AC8874A">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吉木萨尔县发改委颁发的《关于昌吉州第三托育中心示范性托育服务中心与吉木萨尔县婴幼儿照护托育服务能力提升建设项目合并实施可行性研究报告(代项目建议书)的批复》（吉县发改〔2023〕122号）中：“项目建设规模及主要建设内容:托育服务教室、寝室、活动室、功能室等配套服务用房的改建及室内物品、教具购置，新增托位200个。”；本项目立项符合《关于昌吉州第三托育中心示范性托育服务中心与吉木萨尔县婴幼儿照护托育服务能力提升建设项目合并实施可行性研究报告(代项目建议书)的批复》中：“托育服务教室、寝室、活动室、功能室等配套服务用房的改建及室内物品、教具购置，新增托位200个。”内容，符合行业发展规划和政策要求；本项目立项符合《吉木萨尔县卫生健康委员会单位配置内设机构和人员编制规定》中职责范围中的“落实国家、区、州、县人口发展规划中的有关任务。”，属于我单位履职所需；根据《财政资金直接支付申请书》，本项目资金性质为“公共财政预算”功能分类为“2296002”经济分类为“50299”属于公共财政支持范围，符合中央、地方事权支出责任划分原则；经检查我单位财政管理一体化信息系统，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按照规定的程序申请设立，主要的审批文件符合单位要求；事前已经过必要的集体决策的程序。2023年5月通过发改委审批完成立项工作，经过可行性研究、专家论证、风险评估、绩效评估、集体决策等。6月通过昌吉州审图中心审核完成设计审图工作，7月通过委托代理完成项目招标控价并完成发布项目招标公告工作，8月通过吉木萨尔县政采中心完成项目招标工作，项目已完工并完成验收、结算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①该项目已设置年度绩效目标，具体内容为“通过该项目的实施，卫健委根据《中华人民共和国国民经济和社会发展第十四个五年规划和 2035 年远景目标纲要》，以“一老一小"为重点完善人口服务体系，把0-3岁是婴幼儿照护的作为重要组成部分，把发展托育服务作为一项重要民生工程，增建普惠性托位数200个，促进了三孩政策落地的关键配套措施完成，切实解决了老百姓关切的“托育难”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该项目实际工作内容为：以“一老一小"为重点完善人口服务体系，把0-3岁是婴幼儿照护的作为重要组成部分，把发展托育服务作为一项重要民生工程，增建普惠性托位数200个，促进了三孩政策落地的关键配套措施完成，切实解决了老百姓关切的“托育难”问题。绩效目标与实际工作内容一致，两者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按照绩效目标完成哪些具体的产出工作（结合数量指标、质量指标、时效指标、成本指标进行描述），完成了增建普惠性托位数200个，装修项目验收合格率100%，拖育机构建设完工及时率100%达到解决老百姓关切的“托育难”问题的社会效益，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④该项目批复的预算金额为300万元，《项目支出绩效目标表》中预算金额为300万元，预算确定的项目资金与预算确定的项目投资额相匹配。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该《项目绩效目标申报表》中，数量指标指标值为建普惠性托位数≥200个、三级指标的年度指标值与年度绩效目标中任务数一致。已设置的绩效目标具备明确性、可衡量性、可实现性、相关性、时限性。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本项目预算编制通过进行初步设计，按设计概算编制本项目预算。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预算编制较科学且经过论证；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内容为托育服务教室、寝室、活动室、功能室等配套服务用房的改建及室内物品、教具购置，新增托位200个，项目实际内容为托育服务教室、寝室、活动室、功能室等配套服务用房的改建及室内物品、教具购置，新增托位200个，预算申请与《3岁以下婴幼儿照护服务试点项目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300万元，我单位在预算申请中严格按照项目实施内容及测算标准进行核算，其中：施工（含前期费）费用164.5万元、设备购置费用110.24万元。预算确定资金量与实际工作任务相匹配。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①本项目实际分配资金以昌州财综〔2022〕9号《关于提前下达2023年中央专项彩票公益金支持地方社会公益事业发展(医疗卫生)资金预算的通知》文件为依据进行资金分配，预算资金分配依据充分。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根据昌州财综〔2022〕9号《关于提前下达2023年中央专项彩票公益金支持地方社会公益事业发展(医疗卫生)资金预算的通知》文件显示，本项目实际到位资金300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综上所述，本指标满分为2.0分，根据评分标准得2.0分，本项目资金分配合理。</w:t>
      </w:r>
      <w:r>
        <w:rPr>
          <w:rStyle w:val="18"/>
          <w:rFonts w:hint="eastAsia" w:ascii="楷体" w:hAnsi="楷体" w:eastAsia="楷体"/>
          <w:b w:val="0"/>
          <w:bCs w:val="0"/>
          <w:spacing w:val="-4"/>
          <w:sz w:val="32"/>
          <w:szCs w:val="32"/>
        </w:rPr>
        <w:tab/>
      </w:r>
    </w:p>
    <w:p w14:paraId="20959A1B">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653C4194">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项目过程管理类指标由2个二级指标和5个三级指标构成，权重分19.0分，实际得分18.6分。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依据昌州财综〔2022〕9号《关于提前下达2023年中央专项彩票公益金支持地方社会公益事业发展(医疗卫生)资金预算的通知》文件，本项目预算资金为300万元，实际到位资金300万元，资金到位率100%。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综上所述，本指标满分为3.0分，根据评分标准得3.0分，本项目预算执行率为100%。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截至到2023年12月底，本项目实际支出资金274.74万元，预算执行率91.58%。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综上所述，本指标满分为5.0分，根据评分标准得4.6分，本项目资金分配合理。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卫健委资金管理办法》《卫健委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卫健委资金管理办法》、《卫健委收支业务管理制度》、《卫健委政府采购业务管理制度》、《卫健委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综上所述，本指标满分为2.0分，根据评分标准得2.0分，项目制度建设健全。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该项目的实施符合《卫健委资金管理办法》《卫健委收支业务管理制度》《卫健委政府采购业务管理制度》《卫健委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②经现场查证项目合同书、验收评审表、财务支付凭证等资料齐全并及时归档。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③该项目是否存在调整，调整手续是否齐全，如未调整，则填“该项目实施过程中不存在调整事项”。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卫健委项目工作领导小组，由陈磊任组长，负责项目的组织工作；蒋倩倩任副组长，负责项目的实施工作；组员包括：羊飞鸿和罗明娜，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综上所述，本指标满分为4.0分，根据评分标准得4.0分，本项目所建立制度执行有效。</w:t>
      </w:r>
    </w:p>
    <w:p w14:paraId="282B297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4DD3CCA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项目产出类指标由4个二级指标和5个三级指标构成，权重分30.0分，实际得分28.9分。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“建普惠性托位数”指标：预期指标值为“≥200个”，实际完成指标值为“200个”，指标完成率为100.0%。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“托育机构建设要求达标率”指标：预期指标值为“100%”，实际完成指标值为“100%”，指标完成率为100%。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“装修项目验收合格率”指标：预期指标值为“100%”，实际完成指标值为“100%”，指标完成率为100%。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综上所述，本指标满分为12.0分，根据评分标准得12.0分。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“拖育机构建设完工及时率”指标：预期指标值为“100%”，实际完成指标值为“100%”，指标完成率为100%。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综上所述，本指标满分为6.0分，根据评分标准得6.0分。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托育机构建设总成本”指标：预期指标值为“≤300万元”，实际完成指标值为“274.74万元”，指标完成率为92.5%。（偏差率为7.5，偏差原因主要为：因招标下浮及竣工结算结余部分资金，目前剩余资金25.26万元（含质保金，待一年质保期满后无质量问题无息支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综上所述，本指标满分为6分，根据评分标准得4.9分。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5.社会成本指标完成情况分析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6.生态环境成本指标完成情况分析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本项目无该指标</w:t>
      </w:r>
    </w:p>
    <w:p w14:paraId="6D290E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7087EB2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“解决老百姓关切的“托育难”问题”指标：预期指标值为“有效解决”，实际完成指标值为“基本达成目标”，指标完成率为100.0%。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本项目无该指标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“受益群众满意度”指标：预期指标值为“≥95%”，实际完成指标值为“98%”，指标完成率为100.0%。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综上所述，本指标满分为10.0分，根据评分标准得10.0分。</w:t>
      </w:r>
    </w:p>
    <w:p w14:paraId="5C2AFF2E">
      <w:pPr>
        <w:spacing w:line="540" w:lineRule="exact"/>
        <w:ind w:firstLine="567"/>
        <w:rPr>
          <w:rStyle w:val="18"/>
          <w:rFonts w:ascii="楷体" w:hAnsi="楷体" w:eastAsia="楷体"/>
          <w:spacing w:val="-4"/>
          <w:sz w:val="32"/>
          <w:szCs w:val="32"/>
        </w:rPr>
      </w:pPr>
    </w:p>
    <w:p w14:paraId="7825F742">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1A8E282B">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本项目年初预算资金总额为300.00万元，全年预算数为300.00万元，全年执行数为274.74万元，预算执行率为92.5%。</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本项目共设置三级指标数量18个，满分指标数量16个，扣分指标数量2个，经分析计算所有三级指标完成率得出，本项目总体完成率为99.6%。</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综上所述本项目预算执行进度与总体完成进度之间的偏差为0.4%。主要偏差原因是：因招标下浮及竣工结算结余部分资金，目前剩余资金25.26万元（含质保金，待一年质保期满后无质量问题无息支付）。</w:t>
      </w:r>
    </w:p>
    <w:p w14:paraId="4F2F0FD0">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4A7BEACA">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本项目能够严格按照《项目实施方案》执行，项目执行情况较好；二是加强组织领导，本项目绩效评价工作，由主要领导亲自负责，分管领导具体负责，从项目立项到验收合格，均能按照规定执行；三是加强沟通协调，能够及时完成工作任务。四是通过不断完善相关制度，强化项目监管力度，确保了托育项目的顺利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要进一步对项目目标各项三级指标及指标值进行优化完善；二是项目监控工作进一步加强及改进；三是绩效评价还存在自我审定的局限性，影响评价质量；四是现场评价的工作量少，后期效益评价具体措施和方法较少。五是该项目争取上级中央专项彩票公益金支持地方社会公益事业发展资金300万元，目前支出各项费用274万元，因招标下浮及竣工结算结余部分资金，目前剩余资金25.26万元（含质保金，待一年质保期满后无质量问题无息支付）。</w:t>
      </w:r>
    </w:p>
    <w:p w14:paraId="08F3A1D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7293F813">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通过绩效管理，发现实施中存在的漏洞，日后加强管理，及时掌握与之相关的项目信息，节约成本，保证质量，使资金效益最大化。二是评价工作应从项目实施方案源头抓起，评价工作应贯穿项目整个过程。三是对于已经完工的项目，将持续关注并严格落实日常监管。同时将继续完善相关制度，加强在建项目监管力度，提高项目监管的效率和效果，做到合规合法，按要求和质量完成项目建设。</w:t>
      </w:r>
    </w:p>
    <w:p w14:paraId="0EABCAAC">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6877827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46E948A">
      <w:pPr>
        <w:spacing w:line="540" w:lineRule="exact"/>
        <w:ind w:firstLine="567"/>
        <w:rPr>
          <w:rStyle w:val="18"/>
          <w:rFonts w:ascii="仿宋" w:hAnsi="仿宋" w:eastAsia="仿宋"/>
          <w:b w:val="0"/>
          <w:spacing w:val="-4"/>
          <w:sz w:val="32"/>
          <w:szCs w:val="32"/>
        </w:rPr>
      </w:pPr>
    </w:p>
    <w:p w14:paraId="2E1D129D">
      <w:pPr>
        <w:spacing w:line="540" w:lineRule="exact"/>
        <w:ind w:firstLine="567"/>
        <w:rPr>
          <w:rStyle w:val="18"/>
          <w:rFonts w:ascii="仿宋" w:hAnsi="仿宋" w:eastAsia="仿宋"/>
          <w:b w:val="0"/>
          <w:spacing w:val="-4"/>
          <w:sz w:val="32"/>
          <w:szCs w:val="32"/>
        </w:rPr>
      </w:pPr>
    </w:p>
    <w:p w14:paraId="2BB2FB60">
      <w:pPr>
        <w:spacing w:line="540" w:lineRule="exact"/>
        <w:ind w:firstLine="567"/>
        <w:rPr>
          <w:rStyle w:val="18"/>
          <w:rFonts w:ascii="仿宋" w:hAnsi="仿宋" w:eastAsia="仿宋"/>
          <w:b w:val="0"/>
          <w:spacing w:val="-4"/>
          <w:sz w:val="32"/>
          <w:szCs w:val="32"/>
        </w:rPr>
      </w:pPr>
    </w:p>
    <w:p w14:paraId="6428559F">
      <w:pPr>
        <w:spacing w:line="540" w:lineRule="exact"/>
        <w:ind w:firstLine="567"/>
        <w:rPr>
          <w:rStyle w:val="18"/>
          <w:rFonts w:ascii="仿宋" w:hAnsi="仿宋" w:eastAsia="仿宋"/>
          <w:b w:val="0"/>
          <w:spacing w:val="-4"/>
          <w:sz w:val="32"/>
          <w:szCs w:val="32"/>
        </w:rPr>
      </w:pPr>
    </w:p>
    <w:p w14:paraId="195DED8F">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E080148">
        <w:pPr>
          <w:pStyle w:val="12"/>
          <w:jc w:val="center"/>
        </w:pPr>
        <w:r>
          <w:fldChar w:fldCharType="begin"/>
        </w:r>
        <w:r>
          <w:instrText xml:space="preserve">PAGE   \* MERGEFORMAT</w:instrText>
        </w:r>
        <w:r>
          <w:fldChar w:fldCharType="separate"/>
        </w:r>
        <w:r>
          <w:rPr>
            <w:lang w:val="zh-CN"/>
          </w:rPr>
          <w:t>2</w:t>
        </w:r>
        <w:r>
          <w:fldChar w:fldCharType="end"/>
        </w:r>
      </w:p>
    </w:sdtContent>
  </w:sdt>
  <w:p w14:paraId="662423B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5A4A34DD"/>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36</Pages>
  <Words>11172</Words>
  <Characters>11576</Characters>
  <Lines>4</Lines>
  <Paragraphs>1</Paragraphs>
  <TotalTime>2</TotalTime>
  <ScaleCrop>false</ScaleCrop>
  <LinksUpToDate>false</LinksUpToDate>
  <CharactersWithSpaces>11602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U</cp:lastModifiedBy>
  <cp:lastPrinted>2018-12-31T10:56:00Z</cp:lastPrinted>
  <dcterms:modified xsi:type="dcterms:W3CDTF">2024-10-28T07:45:31Z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C734C92AAAF24344A0E4232D8EB3359B</vt:lpwstr>
  </property>
</Properties>
</file>