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40" w:firstLineChars="100"/>
        <w:jc w:val="center"/>
        <w:rPr>
          <w:rFonts w:hint="eastAsia" w:ascii="方正小标宋_GBK" w:hAnsi="宋体" w:eastAsia="方正小标宋_GBK"/>
          <w:sz w:val="44"/>
          <w:szCs w:val="24"/>
        </w:rPr>
      </w:pPr>
    </w:p>
    <w:p>
      <w:pPr>
        <w:ind w:firstLine="440" w:firstLineChars="100"/>
        <w:jc w:val="center"/>
        <w:rPr>
          <w:rFonts w:hint="eastAsia" w:ascii="方正小标宋_GBK" w:hAnsi="宋体" w:eastAsia="方正小标宋_GBK"/>
          <w:sz w:val="44"/>
          <w:szCs w:val="24"/>
        </w:rPr>
      </w:pPr>
    </w:p>
    <w:p>
      <w:pPr>
        <w:ind w:firstLine="440" w:firstLineChars="100"/>
        <w:jc w:val="center"/>
        <w:rPr>
          <w:rFonts w:hint="eastAsia" w:ascii="方正小标宋_GBK" w:hAnsi="宋体" w:eastAsia="方正小标宋_GBK"/>
          <w:sz w:val="44"/>
          <w:szCs w:val="24"/>
        </w:rPr>
      </w:pPr>
    </w:p>
    <w:p>
      <w:pPr>
        <w:ind w:firstLine="440" w:firstLineChars="100"/>
        <w:jc w:val="center"/>
        <w:rPr>
          <w:rFonts w:hint="eastAsia" w:ascii="方正小标宋_GBK" w:hAnsi="宋体" w:eastAsia="方正小标宋_GBK"/>
          <w:sz w:val="44"/>
          <w:szCs w:val="24"/>
        </w:rPr>
      </w:pPr>
    </w:p>
    <w:p>
      <w:pPr>
        <w:ind w:firstLine="440" w:firstLineChars="100"/>
        <w:jc w:val="center"/>
        <w:rPr>
          <w:rFonts w:hint="eastAsia" w:ascii="方正小标宋_GBK" w:hAnsi="宋体" w:eastAsia="方正小标宋_GBK"/>
          <w:sz w:val="44"/>
          <w:szCs w:val="24"/>
        </w:rPr>
      </w:pPr>
    </w:p>
    <w:p>
      <w:pPr>
        <w:ind w:firstLine="440" w:firstLineChars="100"/>
        <w:jc w:val="center"/>
        <w:rPr>
          <w:rFonts w:ascii="宋体"/>
          <w:b/>
          <w:bCs/>
          <w:sz w:val="52"/>
          <w:szCs w:val="52"/>
        </w:rPr>
      </w:pPr>
      <w:r>
        <w:rPr>
          <w:rFonts w:hint="eastAsia" w:ascii="方正小标宋_GBK" w:hAnsi="宋体" w:eastAsia="方正小标宋_GBK"/>
          <w:sz w:val="44"/>
          <w:szCs w:val="24"/>
        </w:rPr>
        <w:t>2018年度</w:t>
      </w:r>
      <w:r>
        <w:rPr>
          <w:rFonts w:hint="eastAsia" w:ascii="方正小标宋_GBK" w:hAnsi="宋体" w:eastAsia="方正小标宋_GBK"/>
          <w:sz w:val="44"/>
          <w:szCs w:val="24"/>
          <w:lang w:eastAsia="zh-CN"/>
        </w:rPr>
        <w:t>吉木萨尔县</w:t>
      </w:r>
      <w:r>
        <w:rPr>
          <w:rFonts w:hint="eastAsia" w:ascii="方正小标宋_GBK" w:hAnsi="宋体" w:eastAsia="方正小标宋_GBK"/>
          <w:sz w:val="44"/>
          <w:szCs w:val="24"/>
        </w:rPr>
        <w:t>社会福利管理中心部门决算公开说明</w:t>
      </w: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center"/>
        <w:rPr>
          <w:sz w:val="28"/>
          <w:szCs w:val="28"/>
        </w:rPr>
      </w:pPr>
    </w:p>
    <w:p>
      <w:pPr>
        <w:spacing w:line="540" w:lineRule="exact"/>
        <w:jc w:val="both"/>
        <w:rPr>
          <w:sz w:val="28"/>
          <w:szCs w:val="28"/>
        </w:rPr>
      </w:pPr>
    </w:p>
    <w:p>
      <w:pPr>
        <w:spacing w:line="540" w:lineRule="exact"/>
        <w:jc w:val="center"/>
        <w:rPr>
          <w:rFonts w:hint="eastAsia" w:ascii="黑体" w:hAnsi="黑体" w:eastAsia="黑体"/>
          <w:b w:val="0"/>
          <w:bCs/>
          <w:kern w:val="0"/>
          <w:sz w:val="32"/>
          <w:szCs w:val="32"/>
        </w:rPr>
      </w:pPr>
      <w:r>
        <w:rPr>
          <w:sz w:val="28"/>
          <w:szCs w:val="28"/>
        </w:rPr>
        <w:t xml:space="preserve"> </w:t>
      </w:r>
      <w:r>
        <w:rPr>
          <w:rFonts w:hint="eastAsia" w:ascii="黑体" w:hAnsi="黑体" w:eastAsia="黑体"/>
          <w:b w:val="0"/>
          <w:bCs/>
          <w:kern w:val="0"/>
          <w:sz w:val="32"/>
          <w:szCs w:val="32"/>
        </w:rPr>
        <w:t>目  录</w:t>
      </w:r>
    </w:p>
    <w:p>
      <w:pPr>
        <w:spacing w:line="540" w:lineRule="exact"/>
        <w:ind w:firstLine="0" w:firstLineChars="0"/>
        <w:rPr>
          <w:rFonts w:hint="eastAsia" w:ascii="仿宋_GB2312" w:hAnsi="宋体" w:eastAsia="仿宋_GB2312"/>
          <w:b/>
          <w:kern w:val="0"/>
          <w:sz w:val="32"/>
          <w:szCs w:val="32"/>
        </w:rPr>
      </w:pPr>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（一）国有资产占用情况说明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（二）预算绩效情况的说明</w:t>
      </w:r>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hint="eastAsia"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《一般公共预算财政拨款“三公”经费支出决算表》</w:t>
      </w:r>
    </w:p>
    <w:p>
      <w:pPr>
        <w:ind w:firstLine="640" w:firstLineChars="200"/>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ind w:firstLine="640" w:firstLineChars="200"/>
        <w:rPr>
          <w:rFonts w:hint="eastAsia" w:ascii="仿宋_GB2312" w:eastAsia="仿宋_GB2312"/>
          <w:sz w:val="32"/>
          <w:szCs w:val="32"/>
        </w:rPr>
      </w:pPr>
    </w:p>
    <w:p>
      <w:pPr>
        <w:numPr>
          <w:ilvl w:val="0"/>
          <w:numId w:val="1"/>
        </w:numPr>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部门单位概况</w:t>
      </w:r>
    </w:p>
    <w:p>
      <w:pPr>
        <w:ind w:left="140"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一.主要职能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 xml:space="preserve">社会福利管理中心是根据《农村五保供养条例》，对全县自愿入住的农村五保人员及城镇“三无”人员，孤儿进行集中供养，对残疾人进行托养服务。为入住对象提供膳食服务，后勤保障，康复娱乐，生活护理，医疗保健，按照国家政策规定，妥善办理院民的丧葬事宜。   </w:t>
      </w:r>
    </w:p>
    <w:p>
      <w:pPr>
        <w:ind w:firstLine="640" w:firstLineChars="200"/>
        <w:rPr>
          <w:rFonts w:hint="eastAsia" w:ascii="仿宋" w:hAnsi="仿宋" w:eastAsia="仿宋" w:cs="仿宋"/>
          <w:b/>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 xml:space="preserve">二、机构设置情况 </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从决算单位构成看，</w:t>
      </w:r>
      <w:r>
        <w:rPr>
          <w:rFonts w:hint="eastAsia" w:ascii="仿宋_GB2312" w:hAnsi="仿宋_GB2312" w:eastAsia="仿宋_GB2312" w:cs="仿宋_GB2312"/>
          <w:color w:val="000000" w:themeColor="text1"/>
          <w:sz w:val="32"/>
          <w:szCs w:val="32"/>
          <w:lang w:eastAsia="zh-CN"/>
          <w14:textFill>
            <w14:solidFill>
              <w14:schemeClr w14:val="tx1"/>
            </w14:solidFill>
          </w14:textFill>
        </w:rPr>
        <w:t>吉木萨尔县</w:t>
      </w:r>
      <w:r>
        <w:rPr>
          <w:rFonts w:hint="eastAsia" w:ascii="仿宋_GB2312" w:hAnsi="仿宋_GB2312" w:eastAsia="仿宋_GB2312" w:cs="仿宋_GB2312"/>
          <w:color w:val="000000" w:themeColor="text1"/>
          <w:sz w:val="32"/>
          <w:szCs w:val="32"/>
          <w14:textFill>
            <w14:solidFill>
              <w14:schemeClr w14:val="tx1"/>
            </w14:solidFill>
          </w14:textFill>
        </w:rPr>
        <w:t>社会福利管理中心部门决算包括：</w:t>
      </w:r>
      <w:r>
        <w:rPr>
          <w:rFonts w:hint="eastAsia" w:ascii="仿宋_GB2312" w:hAnsi="仿宋_GB2312" w:eastAsia="仿宋_GB2312" w:cs="仿宋_GB2312"/>
          <w:color w:val="000000" w:themeColor="text1"/>
          <w:sz w:val="32"/>
          <w:szCs w:val="32"/>
          <w:lang w:eastAsia="zh-CN"/>
          <w14:textFill>
            <w14:solidFill>
              <w14:schemeClr w14:val="tx1"/>
            </w14:solidFill>
          </w14:textFill>
        </w:rPr>
        <w:t>吉木萨尔县</w:t>
      </w:r>
      <w:r>
        <w:rPr>
          <w:rFonts w:hint="eastAsia" w:ascii="仿宋_GB2312" w:hAnsi="仿宋_GB2312" w:eastAsia="仿宋_GB2312" w:cs="仿宋_GB2312"/>
          <w:color w:val="000000" w:themeColor="text1"/>
          <w:sz w:val="32"/>
          <w:szCs w:val="32"/>
          <w14:textFill>
            <w14:solidFill>
              <w14:schemeClr w14:val="tx1"/>
            </w14:solidFill>
          </w14:textFill>
        </w:rPr>
        <w:t>社会福利管理中心部门本级决算</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本单位无下属单位。</w:t>
      </w:r>
    </w:p>
    <w:p>
      <w:pPr>
        <w:ind w:firstLine="640" w:firstLineChars="200"/>
        <w:rPr>
          <w:rFonts w:hint="eastAsia" w:ascii="仿宋_GB2312" w:hAnsi="仿宋_GB2312" w:eastAsia="仿宋_GB2312" w:cs="仿宋_GB2312"/>
          <w:spacing w:val="-6"/>
          <w:sz w:val="32"/>
          <w:szCs w:val="32"/>
        </w:rPr>
      </w:pPr>
      <w:r>
        <w:rPr>
          <w:rFonts w:hint="eastAsia" w:ascii="仿宋_GB2312" w:hAnsi="仿宋_GB2312" w:eastAsia="仿宋_GB2312" w:cs="仿宋_GB2312"/>
          <w:color w:val="000000"/>
          <w:sz w:val="32"/>
          <w:szCs w:val="32"/>
        </w:rPr>
        <w:t>纳入</w:t>
      </w:r>
      <w:r>
        <w:rPr>
          <w:rFonts w:hint="eastAsia" w:ascii="仿宋_GB2312" w:hAnsi="仿宋_GB2312" w:eastAsia="仿宋_GB2312" w:cs="仿宋_GB2312"/>
          <w:color w:val="000000" w:themeColor="text1"/>
          <w:sz w:val="32"/>
          <w:szCs w:val="32"/>
          <w:lang w:eastAsia="zh-CN"/>
          <w14:textFill>
            <w14:solidFill>
              <w14:schemeClr w14:val="tx1"/>
            </w14:solidFill>
          </w14:textFill>
        </w:rPr>
        <w:t>吉木萨尔县</w:t>
      </w:r>
      <w:r>
        <w:rPr>
          <w:rFonts w:hint="eastAsia" w:ascii="仿宋_GB2312" w:hAnsi="仿宋_GB2312" w:eastAsia="仿宋_GB2312" w:cs="仿宋_GB2312"/>
          <w:color w:val="000000" w:themeColor="text1"/>
          <w:sz w:val="32"/>
          <w:szCs w:val="32"/>
          <w14:textFill>
            <w14:solidFill>
              <w14:schemeClr w14:val="tx1"/>
            </w14:solidFill>
          </w14:textFill>
        </w:rPr>
        <w:t>社会福利管理中心</w:t>
      </w:r>
      <w:r>
        <w:rPr>
          <w:rFonts w:hint="eastAsia" w:ascii="仿宋_GB2312" w:hAnsi="仿宋_GB2312" w:eastAsia="仿宋_GB2312" w:cs="仿宋_GB2312"/>
          <w:color w:val="000000"/>
          <w:sz w:val="32"/>
          <w:szCs w:val="32"/>
          <w:lang w:val="en-US" w:eastAsia="zh-CN"/>
        </w:rPr>
        <w:t>2018</w:t>
      </w:r>
      <w:r>
        <w:rPr>
          <w:rFonts w:hint="eastAsia" w:ascii="仿宋_GB2312" w:hAnsi="仿宋_GB2312" w:eastAsia="仿宋_GB2312" w:cs="仿宋_GB2312"/>
          <w:color w:val="000000"/>
          <w:sz w:val="32"/>
          <w:szCs w:val="32"/>
        </w:rPr>
        <w:t>年部门决算编制范围的单位名单</w:t>
      </w:r>
      <w:r>
        <w:rPr>
          <w:rFonts w:hint="eastAsia" w:ascii="仿宋_GB2312" w:hAnsi="仿宋_GB2312" w:eastAsia="仿宋_GB2312" w:cs="仿宋_GB2312"/>
          <w:spacing w:val="0"/>
          <w:sz w:val="32"/>
          <w:szCs w:val="32"/>
        </w:rPr>
        <w:t>见下表</w:t>
      </w:r>
      <w:r>
        <w:rPr>
          <w:rFonts w:hint="eastAsia" w:ascii="仿宋_GB2312" w:hAnsi="仿宋_GB2312" w:eastAsia="仿宋_GB2312" w:cs="仿宋_GB2312"/>
          <w:spacing w:val="-6"/>
          <w:sz w:val="32"/>
          <w:szCs w:val="32"/>
        </w:rPr>
        <w:t>：</w:t>
      </w:r>
    </w:p>
    <w:p>
      <w:pPr>
        <w:spacing w:line="500" w:lineRule="exact"/>
        <w:ind w:firstLine="616" w:firstLineChars="200"/>
        <w:rPr>
          <w:rFonts w:hint="eastAsia" w:ascii="仿宋_GB2312" w:hAnsi="仿宋_GB2312" w:eastAsia="仿宋_GB2312" w:cs="仿宋_GB2312"/>
          <w:spacing w:val="-6"/>
          <w:sz w:val="32"/>
          <w:szCs w:val="32"/>
        </w:rPr>
      </w:pP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5244"/>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987" w:type="dxa"/>
            <w:vAlign w:val="center"/>
          </w:tcPr>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5244" w:type="dxa"/>
            <w:vAlign w:val="center"/>
          </w:tcPr>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233" w:type="dxa"/>
            <w:vAlign w:val="center"/>
          </w:tcPr>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987" w:type="dxa"/>
            <w:vAlign w:val="center"/>
          </w:tcPr>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p>
        </w:tc>
        <w:tc>
          <w:tcPr>
            <w:tcW w:w="5244" w:type="dxa"/>
            <w:vAlign w:val="center"/>
          </w:tcPr>
          <w:p>
            <w:pPr>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吉木萨尔县</w:t>
            </w:r>
            <w:r>
              <w:rPr>
                <w:rFonts w:hint="eastAsia" w:ascii="仿宋_GB2312" w:hAnsi="仿宋_GB2312" w:eastAsia="仿宋_GB2312" w:cs="仿宋_GB2312"/>
                <w:color w:val="000000"/>
                <w:sz w:val="32"/>
                <w:szCs w:val="32"/>
              </w:rPr>
              <w:t>社会福利管理中心本级</w:t>
            </w:r>
          </w:p>
        </w:tc>
        <w:tc>
          <w:tcPr>
            <w:tcW w:w="2233" w:type="dxa"/>
            <w:vAlign w:val="center"/>
          </w:tcPr>
          <w:p>
            <w:pPr>
              <w:ind w:firstLine="640" w:firstLineChars="200"/>
              <w:rPr>
                <w:rFonts w:hint="eastAsia" w:ascii="仿宋_GB2312" w:hAnsi="仿宋_GB2312" w:eastAsia="仿宋_GB2312" w:cs="仿宋_GB2312"/>
                <w:color w:val="000000"/>
                <w:sz w:val="32"/>
                <w:szCs w:val="32"/>
              </w:rPr>
            </w:pPr>
          </w:p>
        </w:tc>
      </w:tr>
    </w:tbl>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rFonts w:hint="eastAsia" w:ascii="黑体" w:hAnsi="黑体" w:eastAsia="黑体" w:cs="黑体"/>
          <w:b w:val="0"/>
          <w:bCs w:val="0"/>
          <w:sz w:val="32"/>
          <w:szCs w:val="32"/>
        </w:rPr>
      </w:pPr>
      <w:r>
        <w:rPr>
          <w:sz w:val="28"/>
          <w:szCs w:val="28"/>
        </w:rPr>
        <w:t xml:space="preserve">       </w:t>
      </w:r>
      <w:r>
        <w:rPr>
          <w:rFonts w:hint="eastAsia" w:ascii="仿宋" w:hAnsi="仿宋" w:eastAsia="仿宋" w:cs="仿宋"/>
          <w:b/>
          <w:bCs/>
          <w:sz w:val="32"/>
          <w:szCs w:val="32"/>
        </w:rPr>
        <w:t xml:space="preserve">  </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 </w:t>
      </w:r>
      <w:r>
        <w:rPr>
          <w:rFonts w:hint="eastAsia" w:ascii="黑体" w:hAnsi="黑体" w:eastAsia="黑体" w:cs="黑体"/>
          <w:b w:val="0"/>
          <w:bCs w:val="0"/>
          <w:sz w:val="32"/>
          <w:szCs w:val="32"/>
        </w:rPr>
        <w:t xml:space="preserve">第二部分 部门决算情况说明 </w:t>
      </w:r>
    </w:p>
    <w:p>
      <w:pPr>
        <w:ind w:firstLine="640" w:firstLineChars="200"/>
        <w:rPr>
          <w:rFonts w:hint="eastAsia" w:ascii="楷体_GB2312" w:hAnsi="楷体_GB2312" w:eastAsia="楷体_GB2312" w:cs="楷体_GB2312"/>
          <w:b w:val="0"/>
          <w:bCs w:val="0"/>
          <w:sz w:val="32"/>
          <w:szCs w:val="32"/>
        </w:rPr>
      </w:pPr>
      <w:r>
        <w:rPr>
          <w:rFonts w:hint="eastAsia" w:ascii="黑体" w:hAnsi="黑体" w:eastAsia="黑体" w:cs="黑体"/>
          <w:b w:val="0"/>
          <w:bCs w:val="0"/>
          <w:sz w:val="32"/>
          <w:szCs w:val="32"/>
        </w:rPr>
        <w:t>一、部门收支总体情况</w:t>
      </w:r>
      <w:r>
        <w:rPr>
          <w:rFonts w:hint="eastAsia" w:ascii="楷体_GB2312" w:hAnsi="楷体_GB2312" w:eastAsia="楷体_GB2312" w:cs="楷体_GB2312"/>
          <w:b w:val="0"/>
          <w:bCs w:val="0"/>
          <w:sz w:val="32"/>
          <w:szCs w:val="32"/>
        </w:rPr>
        <w:t xml:space="preserve"> </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（一）部门收入支出决算总体情况说明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2018年度收入245.2万元,与上年相比，增加8.1万元，增长3.4%，</w:t>
      </w:r>
      <w:r>
        <w:rPr>
          <w:rFonts w:hint="eastAsia" w:ascii="仿宋_GB2312" w:hAnsi="仿宋_GB2312" w:eastAsia="仿宋_GB2312" w:cs="仿宋_GB2312"/>
          <w:sz w:val="32"/>
          <w:szCs w:val="32"/>
          <w:lang w:eastAsia="zh-CN"/>
        </w:rPr>
        <w:t>增减变化主要原因是：</w:t>
      </w:r>
      <w:r>
        <w:rPr>
          <w:rFonts w:hint="eastAsia" w:ascii="仿宋_GB2312" w:hAnsi="仿宋_GB2312" w:eastAsia="仿宋_GB2312" w:cs="仿宋_GB2312"/>
          <w:sz w:val="32"/>
          <w:szCs w:val="32"/>
        </w:rPr>
        <w:t>2018年福利中心的供养的五保人员增加，工作人员也有所增加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支出245.2万元,与上年相比，增加8.1万元，增长3.4%，</w:t>
      </w:r>
      <w:r>
        <w:rPr>
          <w:rFonts w:hint="eastAsia" w:ascii="仿宋_GB2312" w:hAnsi="仿宋_GB2312" w:eastAsia="仿宋_GB2312" w:cs="仿宋_GB2312"/>
          <w:sz w:val="32"/>
          <w:szCs w:val="32"/>
          <w:lang w:eastAsia="zh-CN"/>
        </w:rPr>
        <w:t>增减变化主要原因是：</w:t>
      </w:r>
      <w:r>
        <w:rPr>
          <w:rFonts w:hint="eastAsia" w:ascii="仿宋_GB2312" w:hAnsi="仿宋_GB2312" w:eastAsia="仿宋_GB2312" w:cs="仿宋_GB2312"/>
          <w:sz w:val="32"/>
          <w:szCs w:val="32"/>
        </w:rPr>
        <w:t>2018年福利中心的供养的五保人员增加，工作人员也有所增加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结余0万元，与上年相比，增加0万元，增长0%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无变化</w:t>
      </w:r>
      <w:r>
        <w:rPr>
          <w:rFonts w:hint="eastAsia" w:ascii="仿宋_GB2312" w:hAnsi="仿宋_GB2312" w:eastAsia="仿宋_GB2312" w:cs="仿宋_GB2312"/>
          <w:sz w:val="32"/>
          <w:szCs w:val="32"/>
        </w:rPr>
        <w:t xml:space="preserve">。  </w:t>
      </w:r>
    </w:p>
    <w:p>
      <w:pPr>
        <w:ind w:firstLine="643" w:firstLineChars="200"/>
        <w:rPr>
          <w:rFonts w:hint="eastAsia" w:ascii="仿宋" w:hAnsi="仿宋" w:eastAsia="仿宋" w:cs="仿宋"/>
          <w:b/>
          <w:bCs/>
          <w:sz w:val="32"/>
          <w:szCs w:val="32"/>
        </w:rPr>
      </w:pPr>
      <w:r>
        <w:rPr>
          <w:rFonts w:hint="eastAsia" w:ascii="楷体_GB2312" w:hAnsi="楷体_GB2312" w:eastAsia="楷体_GB2312" w:cs="楷体_GB2312"/>
          <w:b/>
          <w:bCs/>
          <w:sz w:val="32"/>
          <w:szCs w:val="32"/>
        </w:rPr>
        <w:t>（二）部门收入总体情况说明</w:t>
      </w:r>
      <w:r>
        <w:rPr>
          <w:rFonts w:hint="eastAsia" w:ascii="仿宋" w:hAnsi="仿宋" w:eastAsia="仿宋" w:cs="仿宋"/>
          <w:b/>
          <w:bCs/>
          <w:sz w:val="32"/>
          <w:szCs w:val="32"/>
        </w:rPr>
        <w:t xml:space="preserve"> </w:t>
      </w:r>
    </w:p>
    <w:p>
      <w:pPr>
        <w:rPr>
          <w:rFonts w:hint="eastAsia" w:ascii="仿宋_GB2312" w:hAnsi="仿宋_GB2312" w:eastAsia="仿宋_GB2312" w:cs="仿宋_GB2312"/>
          <w:sz w:val="32"/>
          <w:szCs w:val="32"/>
        </w:rPr>
      </w:pPr>
      <w:r>
        <w:rPr>
          <w:rFonts w:ascii="宋体" w:hAnsi="宋体"/>
          <w:sz w:val="28"/>
          <w:szCs w:val="28"/>
        </w:rPr>
        <w:t xml:space="preserve"> </w:t>
      </w:r>
      <w:r>
        <w:rPr>
          <w:rFonts w:hint="eastAsia" w:ascii="仿宋" w:hAnsi="仿宋" w:eastAsia="仿宋" w:cs="仿宋"/>
          <w:sz w:val="32"/>
          <w:szCs w:val="32"/>
          <w:lang w:val="en-US" w:eastAsia="zh-CN"/>
        </w:rPr>
        <w:t xml:space="preserve">    </w:t>
      </w:r>
      <w:r>
        <w:rPr>
          <w:rFonts w:hint="eastAsia" w:ascii="仿宋_GB2312" w:hAnsi="仿宋_GB2312" w:eastAsia="仿宋_GB2312" w:cs="仿宋_GB2312"/>
          <w:sz w:val="32"/>
          <w:szCs w:val="32"/>
        </w:rPr>
        <w:t>本年收入合计245.2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万元，其中：财政拨款收入243.32万元，占99%；上级补助收入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%；附属单位缴款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%；其他收入1.89万元，占1%。</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与年初预算数相比情况：本年收入年初预算数227.6万元，决算数245.21万元，预决算差异率7.7%，差异主要原因2018年五保供养人员增加，各项经费增加。</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（三）部门支出总体情况说明 </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本年支出合计245.21万元，其中：基本支出245.21万元，占100%；项目支出0万元，占0%，上缴上级支出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%；经营支出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%；对附属单位补助支出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与年初预算数相比情况：本年支出年初预算数227.6万元，决算数245.21万元，预决算差异率7.7%，差异主要原因2018年五保供养人员增加，各项经费增加。 </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二、部门财政拨款收支情况 </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（一）财政拨款收支总体情况说明 </w:t>
      </w:r>
    </w:p>
    <w:p>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2018年度财政拨款收入243.32万元，与上年相比，增加4.7万元，增加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1.97</w:t>
      </w:r>
      <w:r>
        <w:rPr>
          <w:rFonts w:hint="eastAsia" w:ascii="仿宋_GB2312" w:hAnsi="仿宋_GB2312" w:eastAsia="仿宋_GB2312" w:cs="仿宋_GB2312"/>
          <w:color w:val="000000" w:themeColor="text1"/>
          <w:sz w:val="32"/>
          <w:szCs w:val="32"/>
          <w14:textFill>
            <w14:solidFill>
              <w14:schemeClr w14:val="tx1"/>
            </w14:solidFill>
          </w14:textFill>
        </w:rPr>
        <w:t>%。增减变化的主要原因是：专项支出增加。财政拨款支出243.32万元，与上年相比，增加4.7万元，增加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1.97</w:t>
      </w:r>
      <w:r>
        <w:rPr>
          <w:rFonts w:hint="eastAsia" w:ascii="仿宋_GB2312" w:hAnsi="仿宋_GB2312" w:eastAsia="仿宋_GB2312" w:cs="仿宋_GB2312"/>
          <w:color w:val="000000" w:themeColor="text1"/>
          <w:sz w:val="32"/>
          <w:szCs w:val="32"/>
          <w14:textFill>
            <w14:solidFill>
              <w14:schemeClr w14:val="tx1"/>
            </w14:solidFill>
          </w14:textFill>
        </w:rPr>
        <w:t>%。增减变化的主要原因是：专项支出增加。其中：基本支出243.32万元，项目支出0万元。财政拨款结转结余0万元，与上年相比，增加0万元，增长0%</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增减变化的主要原因是：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无变化。</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与年初预算数相比情况：财政拨款收入年初预算数227.6万元，决算数243.32万元，预决算差异率6.9%，差异主要原因专项支出增加</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 xml:space="preserve">财政拨款支出年初预算数227.6万元，决算数243.32万元，预决算差异率6.9%，差异主要原因专项支出增加。 </w:t>
      </w:r>
    </w:p>
    <w:p>
      <w:pPr>
        <w:rPr>
          <w:rFonts w:hint="eastAsia" w:ascii="楷体_GB2312" w:hAnsi="楷体_GB2312" w:eastAsia="楷体_GB2312" w:cs="楷体_GB2312"/>
          <w:b/>
          <w:bCs/>
          <w:sz w:val="32"/>
          <w:szCs w:val="32"/>
        </w:rPr>
      </w:pPr>
      <w:r>
        <w:rPr>
          <w:rFonts w:hint="eastAsia" w:ascii="仿宋" w:hAnsi="仿宋" w:eastAsia="仿宋" w:cs="仿宋"/>
          <w:b/>
          <w:bCs/>
          <w:sz w:val="32"/>
          <w:szCs w:val="32"/>
        </w:rPr>
        <w:t xml:space="preserve"> </w:t>
      </w:r>
      <w:r>
        <w:rPr>
          <w:rFonts w:hint="eastAsia" w:ascii="仿宋" w:hAnsi="仿宋" w:eastAsia="仿宋" w:cs="仿宋"/>
          <w:b/>
          <w:bCs/>
          <w:sz w:val="32"/>
          <w:szCs w:val="32"/>
          <w:lang w:val="en-US" w:eastAsia="zh-CN"/>
        </w:rPr>
        <w:t xml:space="preserve"> </w:t>
      </w:r>
      <w:r>
        <w:rPr>
          <w:rFonts w:hint="eastAsia" w:ascii="楷体_GB2312" w:hAnsi="楷体_GB2312" w:eastAsia="楷体_GB2312" w:cs="楷体_GB2312"/>
          <w:b/>
          <w:bCs/>
          <w:sz w:val="32"/>
          <w:szCs w:val="32"/>
        </w:rPr>
        <w:t xml:space="preserve">（二）一般公共预算收支出决算情况说明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2018年度</w:t>
      </w:r>
      <w:r>
        <w:rPr>
          <w:rFonts w:hint="eastAsia" w:ascii="仿宋_GB2312" w:hAnsi="仿宋_GB2312" w:eastAsia="仿宋_GB2312" w:cs="仿宋_GB2312"/>
          <w:color w:val="000000" w:themeColor="text1"/>
          <w:sz w:val="32"/>
          <w:szCs w:val="32"/>
          <w14:textFill>
            <w14:solidFill>
              <w14:schemeClr w14:val="tx1"/>
            </w14:solidFill>
          </w14:textFill>
        </w:rPr>
        <w:t>一般公共预算财政拨款</w:t>
      </w:r>
      <w:r>
        <w:rPr>
          <w:rFonts w:hint="eastAsia" w:ascii="仿宋_GB2312" w:hAnsi="仿宋_GB2312" w:eastAsia="仿宋_GB2312" w:cs="仿宋_GB2312"/>
          <w:color w:val="000000" w:themeColor="text1"/>
          <w:sz w:val="32"/>
          <w:szCs w:val="32"/>
          <w:lang w:eastAsia="zh-CN"/>
          <w14:textFill>
            <w14:solidFill>
              <w14:schemeClr w14:val="tx1"/>
            </w14:solidFill>
          </w14:textFill>
        </w:rPr>
        <w:t>收入</w:t>
      </w:r>
      <w:r>
        <w:rPr>
          <w:rFonts w:hint="eastAsia" w:ascii="仿宋_GB2312" w:hAnsi="仿宋_GB2312" w:eastAsia="仿宋_GB2312" w:cs="仿宋_GB2312"/>
          <w:color w:val="000000" w:themeColor="text1"/>
          <w:sz w:val="32"/>
          <w:szCs w:val="32"/>
          <w14:textFill>
            <w14:solidFill>
              <w14:schemeClr w14:val="tx1"/>
            </w14:solidFill>
          </w14:textFill>
        </w:rPr>
        <w:t>243.32万元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与上年相比，增加4.7万元，增加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1.97</w:t>
      </w:r>
      <w:r>
        <w:rPr>
          <w:rFonts w:hint="eastAsia" w:ascii="仿宋_GB2312" w:hAnsi="仿宋_GB2312" w:eastAsia="仿宋_GB2312" w:cs="仿宋_GB2312"/>
          <w:color w:val="000000" w:themeColor="text1"/>
          <w:sz w:val="32"/>
          <w:szCs w:val="32"/>
          <w14:textFill>
            <w14:solidFill>
              <w14:schemeClr w14:val="tx1"/>
            </w14:solidFill>
          </w14:textFill>
        </w:rPr>
        <w:t>%。增减变化的主要原因是：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专项支出增加。</w:t>
      </w:r>
      <w:r>
        <w:rPr>
          <w:rFonts w:hint="eastAsia" w:ascii="仿宋_GB2312" w:hAnsi="仿宋_GB2312" w:eastAsia="仿宋_GB2312" w:cs="仿宋_GB2312"/>
          <w:color w:val="000000" w:themeColor="text1"/>
          <w:sz w:val="32"/>
          <w:szCs w:val="32"/>
          <w14:textFill>
            <w14:solidFill>
              <w14:schemeClr w14:val="tx1"/>
            </w14:solidFill>
          </w14:textFill>
        </w:rPr>
        <w:t>一般公共预算财政拨款支出243.32万元。与上年相比，增加4.</w:t>
      </w:r>
      <w:r>
        <w:rPr>
          <w:rFonts w:hint="eastAsia" w:ascii="仿宋_GB2312" w:hAnsi="仿宋_GB2312" w:eastAsia="仿宋_GB2312" w:cs="仿宋_GB2312"/>
          <w:sz w:val="32"/>
          <w:szCs w:val="32"/>
        </w:rPr>
        <w:t>7万元，增加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1.97</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。增减变化的主要原因是：专项支出增加。</w:t>
      </w:r>
      <w:r>
        <w:rPr>
          <w:rFonts w:hint="eastAsia" w:ascii="仿宋_GB2312" w:hAnsi="仿宋_GB2312" w:eastAsia="仿宋_GB2312" w:cs="仿宋_GB2312"/>
          <w:color w:val="000000"/>
          <w:sz w:val="32"/>
          <w:szCs w:val="32"/>
        </w:rPr>
        <w:t>其中：按功能分类科目，</w:t>
      </w:r>
      <w:r>
        <w:rPr>
          <w:rFonts w:hint="eastAsia" w:ascii="仿宋_GB2312" w:hAnsi="仿宋_GB2312" w:eastAsia="仿宋_GB2312" w:cs="仿宋_GB2312"/>
          <w:color w:val="000000"/>
          <w:kern w:val="0"/>
          <w:sz w:val="32"/>
          <w:szCs w:val="32"/>
        </w:rPr>
        <w:t>社会保障和就业支出</w:t>
      </w:r>
      <w:r>
        <w:rPr>
          <w:rFonts w:hint="eastAsia" w:ascii="仿宋_GB2312" w:hAnsi="仿宋_GB2312" w:eastAsia="仿宋_GB2312" w:cs="仿宋_GB2312"/>
          <w:color w:val="000000"/>
          <w:kern w:val="0"/>
          <w:sz w:val="32"/>
          <w:szCs w:val="32"/>
          <w:lang w:val="en-US" w:eastAsia="zh-CN"/>
        </w:rPr>
        <w:t>234.55</w:t>
      </w:r>
      <w:r>
        <w:rPr>
          <w:rFonts w:hint="eastAsia" w:ascii="仿宋_GB2312" w:hAnsi="仿宋_GB2312" w:eastAsia="仿宋_GB2312" w:cs="仿宋_GB2312"/>
          <w:color w:val="000000"/>
          <w:kern w:val="0"/>
          <w:sz w:val="32"/>
          <w:szCs w:val="32"/>
        </w:rPr>
        <w:t>万元</w:t>
      </w:r>
      <w:r>
        <w:rPr>
          <w:rFonts w:hint="eastAsia" w:ascii="仿宋_GB2312" w:hAnsi="仿宋_GB2312" w:eastAsia="仿宋_GB2312" w:cs="仿宋_GB2312"/>
          <w:color w:val="000000"/>
          <w:sz w:val="32"/>
          <w:szCs w:val="32"/>
        </w:rPr>
        <w:t>；</w:t>
      </w:r>
      <w:bookmarkStart w:id="0" w:name="_GoBack"/>
      <w:bookmarkEnd w:id="0"/>
      <w:r>
        <w:rPr>
          <w:rFonts w:hint="eastAsia" w:ascii="仿宋_GB2312" w:hAnsi="仿宋_GB2312" w:eastAsia="仿宋_GB2312" w:cs="仿宋_GB2312"/>
          <w:bCs/>
          <w:color w:val="000000"/>
          <w:kern w:val="0"/>
          <w:sz w:val="32"/>
          <w:szCs w:val="32"/>
        </w:rPr>
        <w:t>医疗卫生与计划生育支出</w:t>
      </w:r>
      <w:r>
        <w:rPr>
          <w:rFonts w:hint="eastAsia" w:ascii="仿宋_GB2312" w:hAnsi="仿宋_GB2312" w:eastAsia="仿宋_GB2312" w:cs="仿宋_GB2312"/>
          <w:color w:val="000000"/>
          <w:kern w:val="0"/>
          <w:sz w:val="32"/>
          <w:szCs w:val="32"/>
        </w:rPr>
        <w:t>10.66万元。</w:t>
      </w:r>
      <w:r>
        <w:rPr>
          <w:rFonts w:hint="eastAsia" w:ascii="仿宋_GB2312" w:hAnsi="仿宋_GB2312" w:eastAsia="仿宋_GB2312" w:cs="仿宋_GB2312"/>
          <w:color w:val="000000"/>
          <w:sz w:val="32"/>
          <w:szCs w:val="32"/>
        </w:rPr>
        <w:t>按经济分类科目，工资福利支出232.2</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万元；商品服务支出5.2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kern w:val="0"/>
          <w:sz w:val="32"/>
          <w:szCs w:val="32"/>
        </w:rPr>
        <w:t>对个人和家庭的补助5.87万元。</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与年初预算数相比情况：一般公共预算财政拨款收入年初预算数227.6万元，决算数243.32万元，预决算差异率6.9%，差异主要原因专项支出增加。一般公共预算财政拨款支出年初预算数227.6万元，决算数243.32万元，预决算差异率6.9%，差异主要原因专项支出增加。</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（三）政府性基金预算收支决算情况说明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政府性基金预算财政拨款收入0万元，与上年相比，增加0万元，增长0%，增加变化原因是：本年无基金收入支出。政府性基金预算财政拨款支出0万元，与上年相比，增加0万元，增长0%。增加变化原因是：本年无基金收入支出。其中：按功能分类科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。按经济分类科目，支出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themeColor="text1"/>
          <w:sz w:val="32"/>
          <w:szCs w:val="32"/>
          <w14:textFill>
            <w14:solidFill>
              <w14:schemeClr w14:val="tx1"/>
            </w14:solidFill>
          </w14:textFill>
        </w:rPr>
        <w:t>与年初预算数相比情况：政府性基金预算财政拨款收入年初预算数0万元，决算数0万元，预决算差异率0%，差异主要原因无基金收入。政府性基金预算财政拨款支出年初预算数0万元，决算数0万元，预决算差异率0%，差异主要原因无基金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三、部门结转结余情况  </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年末结转结余0万元。与上年相比，增加0万元，增长0%。</w:t>
      </w:r>
    </w:p>
    <w:p>
      <w:pPr>
        <w:ind w:firstLine="640"/>
        <w:rPr>
          <w:rFonts w:hint="eastAsia" w:ascii="仿宋" w:hAnsi="仿宋" w:eastAsia="仿宋" w:cs="仿宋"/>
          <w:sz w:val="32"/>
          <w:szCs w:val="32"/>
        </w:rPr>
      </w:pPr>
      <w:r>
        <w:rPr>
          <w:rFonts w:hint="eastAsia" w:ascii="仿宋_GB2312" w:hAnsi="仿宋_GB2312" w:eastAsia="仿宋_GB2312" w:cs="仿宋_GB2312"/>
          <w:sz w:val="32"/>
          <w:szCs w:val="32"/>
        </w:rPr>
        <w:t>其中财政拨款结转结余0万元。与上年相比，增加0万元，增长0%。</w:t>
      </w:r>
      <w:r>
        <w:rPr>
          <w:rFonts w:hint="eastAsia" w:ascii="仿宋" w:hAnsi="仿宋" w:eastAsia="仿宋" w:cs="仿宋"/>
          <w:sz w:val="32"/>
          <w:szCs w:val="32"/>
        </w:rPr>
        <w:t xml:space="preserve"> </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四、一般公共预算“三公”经费支出情况 </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t>2018年度一般公共预算“三公”经费支出决算3.06万元，比上年减少2.4万元，降低</w:t>
      </w:r>
      <w:r>
        <w:rPr>
          <w:rFonts w:hint="eastAsia" w:ascii="仿宋_GB2312" w:hAnsi="仿宋_GB2312" w:eastAsia="仿宋_GB2312" w:cs="仿宋_GB2312"/>
          <w:sz w:val="32"/>
          <w:szCs w:val="32"/>
          <w:lang w:val="en-US" w:eastAsia="zh-CN"/>
        </w:rPr>
        <w:t>43.96</w:t>
      </w:r>
      <w:r>
        <w:rPr>
          <w:rFonts w:hint="eastAsia" w:ascii="仿宋_GB2312" w:hAnsi="仿宋_GB2312" w:eastAsia="仿宋_GB2312" w:cs="仿宋_GB2312"/>
          <w:sz w:val="32"/>
          <w:szCs w:val="32"/>
        </w:rPr>
        <w:t>%，减少原因是压缩“三公”经费支出。其中，因公出国（境）费支出0万元，占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%，减少原因是压缩“三公”经费支出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公务用车购置及运行维护费支出3.06万元，占100%，比上年减少</w:t>
      </w:r>
      <w:r>
        <w:rPr>
          <w:rFonts w:hint="eastAsia" w:ascii="仿宋_GB2312" w:hAnsi="仿宋_GB2312" w:eastAsia="仿宋_GB2312" w:cs="仿宋_GB2312"/>
          <w:sz w:val="32"/>
          <w:szCs w:val="32"/>
          <w:lang w:val="en-US" w:eastAsia="zh-CN"/>
        </w:rPr>
        <w:t>0.000</w:t>
      </w:r>
      <w:r>
        <w:rPr>
          <w:rFonts w:hint="eastAsia" w:ascii="仿宋_GB2312" w:hAnsi="仿宋_GB2312" w:eastAsia="仿宋_GB2312" w:cs="仿宋_GB2312"/>
          <w:sz w:val="32"/>
          <w:szCs w:val="32"/>
        </w:rPr>
        <w:t>2万元，</w:t>
      </w:r>
      <w:r>
        <w:rPr>
          <w:rFonts w:hint="eastAsia" w:ascii="仿宋_GB2312" w:hAnsi="仿宋_GB2312" w:eastAsia="仿宋_GB2312" w:cs="仿宋_GB2312"/>
          <w:sz w:val="32"/>
          <w:szCs w:val="32"/>
          <w:lang w:eastAsia="zh-CN"/>
        </w:rPr>
        <w:t>降低</w:t>
      </w:r>
      <w:r>
        <w:rPr>
          <w:rFonts w:hint="eastAsia" w:ascii="仿宋_GB2312" w:hAnsi="仿宋_GB2312" w:eastAsia="仿宋_GB2312" w:cs="仿宋_GB2312"/>
          <w:sz w:val="32"/>
          <w:szCs w:val="32"/>
          <w:lang w:val="en-US" w:eastAsia="zh-CN"/>
        </w:rPr>
        <w:t>0.01%，</w:t>
      </w:r>
      <w:r>
        <w:rPr>
          <w:rFonts w:hint="eastAsia" w:ascii="仿宋_GB2312" w:hAnsi="仿宋_GB2312" w:eastAsia="仿宋_GB2312" w:cs="仿宋_GB2312"/>
          <w:sz w:val="32"/>
          <w:szCs w:val="32"/>
        </w:rPr>
        <w:t>减少原因是压缩“三公”经费支出；公务接待费支出0万元，占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%，比上年减少</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万元，降低</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%，减少原因是压缩“三公”经费支出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themeColor="text1"/>
          <w:sz w:val="32"/>
          <w:szCs w:val="32"/>
          <w14:textFill>
            <w14:solidFill>
              <w14:schemeClr w14:val="tx1"/>
            </w14:solidFill>
          </w14:textFill>
        </w:rPr>
        <w:t xml:space="preserve">具体情况如下： </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因公出国（境）费支出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lang w:eastAsia="zh-CN"/>
          <w14:textFill>
            <w14:solidFill>
              <w14:schemeClr w14:val="tx1"/>
            </w14:solidFill>
          </w14:textFill>
        </w:rPr>
        <w:t>万元</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吉木萨尔县</w:t>
      </w:r>
      <w:r>
        <w:rPr>
          <w:rFonts w:hint="eastAsia" w:ascii="仿宋_GB2312" w:hAnsi="仿宋_GB2312" w:eastAsia="仿宋_GB2312" w:cs="仿宋_GB2312"/>
          <w:color w:val="000000" w:themeColor="text1"/>
          <w:sz w:val="32"/>
          <w:szCs w:val="32"/>
          <w14:textFill>
            <w14:solidFill>
              <w14:schemeClr w14:val="tx1"/>
            </w14:solidFill>
          </w14:textFill>
        </w:rPr>
        <w:t>社会福利管理中心全年使用一般公共预算财政拨款安排的出国（境）团组0个，累计0人次</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开支内容包括：</w:t>
      </w:r>
      <w:r>
        <w:rPr>
          <w:rFonts w:hint="eastAsia" w:ascii="仿宋_GB2312" w:hAnsi="仿宋_GB2312" w:eastAsia="仿宋_GB2312" w:cs="仿宋_GB2312"/>
          <w:color w:val="000000" w:themeColor="text1"/>
          <w:sz w:val="32"/>
          <w:szCs w:val="32"/>
          <w:lang w:eastAsia="zh-CN"/>
          <w14:textFill>
            <w14:solidFill>
              <w14:schemeClr w14:val="tx1"/>
            </w14:solidFill>
          </w14:textFill>
        </w:rPr>
        <w:t>无</w:t>
      </w:r>
      <w:r>
        <w:rPr>
          <w:rFonts w:hint="eastAsia" w:ascii="仿宋_GB2312" w:hAnsi="仿宋_GB2312" w:eastAsia="仿宋_GB2312" w:cs="仿宋_GB2312"/>
          <w:color w:val="000000" w:themeColor="text1"/>
          <w:sz w:val="32"/>
          <w:szCs w:val="32"/>
          <w14:textFill>
            <w14:solidFill>
              <w14:schemeClr w14:val="tx1"/>
            </w14:solidFill>
          </w14:textFill>
        </w:rPr>
        <w:t xml:space="preserve">因公出国（境）费。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w:t>
      </w:r>
      <w:r>
        <w:rPr>
          <w:rFonts w:hint="eastAsia" w:ascii="仿宋_GB2312" w:hAnsi="仿宋_GB2312" w:eastAsia="仿宋_GB2312" w:cs="仿宋_GB2312"/>
          <w:color w:val="000000"/>
          <w:kern w:val="0"/>
          <w:sz w:val="32"/>
          <w:szCs w:val="32"/>
        </w:rPr>
        <w:t>3.06</w:t>
      </w:r>
      <w:r>
        <w:rPr>
          <w:rFonts w:hint="eastAsia" w:ascii="仿宋_GB2312" w:hAnsi="仿宋_GB2312" w:eastAsia="仿宋_GB2312" w:cs="仿宋_GB2312"/>
          <w:sz w:val="32"/>
          <w:szCs w:val="32"/>
        </w:rPr>
        <w:t xml:space="preserve">万元,其中，公务用车购置0万元，公务用车运行维护费3.06万元。主要用于油费、过路费及维修费等。单位一般公共财政拨款安排的公务用车购置量0辆，保有量为0辆。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公务接待费0万元。具体是：国内公务接待支出0万元，主要是</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 xml:space="preserve">公务接待。国内公务接待0批次，0人次。 </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与年初预算数相比情况：一般公共预算“三公”经费支出年初预算数3.06万元，决算数3.06万元，预决算差异率0%</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sz w:val="32"/>
          <w:szCs w:val="32"/>
        </w:rPr>
        <w:t>差异主要原因</w:t>
      </w:r>
      <w:r>
        <w:rPr>
          <w:rFonts w:hint="eastAsia" w:ascii="仿宋_GB2312" w:hAnsi="仿宋_GB2312" w:eastAsia="仿宋_GB2312" w:cs="仿宋_GB2312"/>
          <w:color w:val="000000" w:themeColor="text1"/>
          <w:sz w:val="32"/>
          <w:szCs w:val="32"/>
          <w14:textFill>
            <w14:solidFill>
              <w14:schemeClr w14:val="tx1"/>
            </w14:solidFill>
          </w14:textFill>
        </w:rPr>
        <w:t>严格按照要求控制经费，未发生超支现象。其中：因公出国（境）费预算数0万元，决算数0万元，预决算差异率0%，差异主要原因未发生业务；公务用车购置预算数0万元，决算数0万元，预决算差异率0%，差异主要原因未发生业务；公务用车运行费预算数3.06万元，决算数3.06万元，预决算差异率0%，差异主要原因严格按照要求控制经费，未发生超支现象；公务接待费预算数0万元，决算数0万元，预决算差异率0%，差异主要原因未发生业务。</w:t>
      </w:r>
      <w:r>
        <w:rPr>
          <w:rFonts w:hint="eastAsia" w:ascii="仿宋" w:hAnsi="仿宋" w:eastAsia="仿宋" w:cs="仿宋"/>
          <w:color w:val="000000" w:themeColor="text1"/>
          <w:sz w:val="32"/>
          <w:szCs w:val="32"/>
          <w14:textFill>
            <w14:solidFill>
              <w14:schemeClr w14:val="tx1"/>
            </w14:solidFill>
          </w14:textFill>
        </w:rPr>
        <w:t xml:space="preserve"> </w:t>
      </w:r>
    </w:p>
    <w:p>
      <w:pPr>
        <w:ind w:firstLine="640" w:firstLineChars="20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五、机关运行经费支出情况</w:t>
      </w:r>
    </w:p>
    <w:p>
      <w:pPr>
        <w:ind w:firstLine="640" w:firstLineChars="200"/>
        <w:rPr>
          <w:rFonts w:hint="eastAsia" w:ascii="仿宋" w:hAnsi="仿宋" w:eastAsia="仿宋" w:cs="仿宋"/>
          <w:sz w:val="32"/>
          <w:szCs w:val="32"/>
        </w:rPr>
      </w:pPr>
      <w:r>
        <w:rPr>
          <w:rFonts w:hint="eastAsia" w:ascii="仿宋_GB2312" w:hAnsi="仿宋_GB2312" w:eastAsia="仿宋_GB2312" w:cs="仿宋_GB2312"/>
          <w:sz w:val="32"/>
          <w:szCs w:val="32"/>
        </w:rPr>
        <w:t>2018年度</w:t>
      </w:r>
      <w:r>
        <w:rPr>
          <w:rFonts w:hint="eastAsia" w:ascii="仿宋_GB2312" w:hAnsi="仿宋_GB2312" w:eastAsia="仿宋_GB2312" w:cs="仿宋_GB2312"/>
          <w:color w:val="000000" w:themeColor="text1"/>
          <w:sz w:val="32"/>
          <w:szCs w:val="32"/>
          <w:lang w:eastAsia="zh-CN"/>
          <w14:textFill>
            <w14:solidFill>
              <w14:schemeClr w14:val="tx1"/>
            </w14:solidFill>
          </w14:textFill>
        </w:rPr>
        <w:t>吉木萨尔县</w:t>
      </w:r>
      <w:r>
        <w:rPr>
          <w:rFonts w:hint="eastAsia" w:ascii="仿宋_GB2312" w:hAnsi="仿宋_GB2312" w:eastAsia="仿宋_GB2312" w:cs="仿宋_GB2312"/>
          <w:color w:val="000000" w:themeColor="text1"/>
          <w:sz w:val="32"/>
          <w:szCs w:val="32"/>
          <w14:textFill>
            <w14:solidFill>
              <w14:schemeClr w14:val="tx1"/>
            </w14:solidFill>
          </w14:textFill>
        </w:rPr>
        <w:t>社会福利管理中心</w:t>
      </w:r>
      <w:r>
        <w:rPr>
          <w:rFonts w:hint="eastAsia" w:ascii="仿宋_GB2312" w:hAnsi="仿宋_GB2312" w:eastAsia="仿宋_GB2312" w:cs="仿宋_GB2312"/>
          <w:sz w:val="32"/>
          <w:szCs w:val="32"/>
        </w:rPr>
        <w:t>日常公用经费支出5.2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万元，比上年减少5.87万元，降低53%，主要原因是压缩</w:t>
      </w:r>
      <w:r>
        <w:rPr>
          <w:rFonts w:hint="eastAsia" w:ascii="仿宋_GB2312" w:hAnsi="仿宋_GB2312" w:eastAsia="仿宋_GB2312" w:cs="仿宋_GB2312"/>
          <w:sz w:val="32"/>
          <w:szCs w:val="32"/>
          <w:lang w:val="en-US" w:eastAsia="zh-CN"/>
        </w:rPr>
        <w:t>公用</w:t>
      </w:r>
      <w:r>
        <w:rPr>
          <w:rFonts w:hint="eastAsia" w:ascii="仿宋_GB2312" w:hAnsi="仿宋_GB2312" w:eastAsia="仿宋_GB2312" w:cs="仿宋_GB2312"/>
          <w:sz w:val="32"/>
          <w:szCs w:val="32"/>
        </w:rPr>
        <w:t>经费</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w:t>
      </w:r>
      <w:r>
        <w:rPr>
          <w:rFonts w:hint="eastAsia" w:ascii="仿宋" w:hAnsi="仿宋" w:eastAsia="仿宋" w:cs="仿宋"/>
          <w:sz w:val="32"/>
          <w:szCs w:val="32"/>
        </w:rPr>
        <w:t xml:space="preserve"> </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六、政府采购情况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2018年度政府采购支出总额23.9万元，其中：政府采购货物支出0万元、政府采购工程支出23.9</w:t>
      </w:r>
      <w:r>
        <w:rPr>
          <w:rFonts w:hint="eastAsia" w:ascii="仿宋_GB2312" w:hAnsi="仿宋_GB2312" w:eastAsia="仿宋_GB2312" w:cs="仿宋_GB2312"/>
          <w:sz w:val="32"/>
          <w:szCs w:val="32"/>
        </w:rPr>
        <w:t xml:space="preserve">万元、政府采购服务支出0万元。 </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七、其他重要事项的情况 </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（一）国有资产占用情况说明 </w:t>
      </w:r>
    </w:p>
    <w:p>
      <w:pPr>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截至2018年12月31日，单位共有车辆0辆，价值0万元，其中：部级领导干部用车0辆、主要领导干部用车0辆、 机要通信用车0辆、应急保障用车0辆、执法执勤用车0辆、特种专业技术用车0辆、离退休干部用车</w:t>
      </w:r>
      <w:r>
        <w:rPr>
          <w:rFonts w:hint="eastAsia" w:ascii="仿宋_GB2312" w:hAnsi="仿宋_GB2312" w:eastAsia="仿宋_GB2312" w:cs="仿宋_GB2312"/>
          <w:b w:val="0"/>
          <w:bCs w:val="0"/>
          <w:sz w:val="32"/>
          <w:szCs w:val="32"/>
        </w:rPr>
        <w:t>0辆、其他用车0辆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其他用车主要是：</w:t>
      </w:r>
      <w:r>
        <w:rPr>
          <w:rFonts w:hint="eastAsia" w:ascii="仿宋_GB2312" w:hAnsi="仿宋_GB2312" w:eastAsia="仿宋_GB2312" w:cs="仿宋_GB2312"/>
          <w:b w:val="0"/>
          <w:bCs w:val="0"/>
          <w:sz w:val="32"/>
          <w:szCs w:val="32"/>
          <w:lang w:val="en-US" w:eastAsia="zh-CN"/>
        </w:rPr>
        <w:t>无</w:t>
      </w:r>
      <w:r>
        <w:rPr>
          <w:rFonts w:hint="eastAsia" w:ascii="仿宋_GB2312" w:hAnsi="仿宋_GB2312" w:eastAsia="仿宋_GB2312" w:cs="仿宋_GB2312"/>
          <w:b w:val="0"/>
          <w:bCs w:val="0"/>
          <w:sz w:val="32"/>
          <w:szCs w:val="32"/>
        </w:rPr>
        <w:t xml:space="preserve">其他用车；单位价值50万元以上通用设备0台（套）、单位价值100万元以上专用设备0台（套）。 </w:t>
      </w:r>
    </w:p>
    <w:p>
      <w:pPr>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（二）预算绩效情况的说明 </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2018年度，本部门单位预算绩效自评情况：自述有关预算绩效管理和绩效自评开展情况。 </w:t>
      </w:r>
    </w:p>
    <w:p>
      <w:pP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无项目绩效自评综述：根据年初设定的绩效目标，项目绩效自评得分无。项目全年预算数为0万元，执行数为0万元，</w:t>
      </w:r>
      <w:r>
        <w:rPr>
          <w:rFonts w:hint="eastAsia" w:ascii="仿宋_GB2312" w:hAnsi="仿宋_GB2312" w:eastAsia="仿宋_GB2312" w:cs="仿宋_GB2312"/>
          <w:color w:val="000000"/>
          <w:sz w:val="32"/>
          <w:szCs w:val="32"/>
          <w:lang w:eastAsia="zh-CN"/>
        </w:rPr>
        <w:t>无</w:t>
      </w:r>
      <w:r>
        <w:rPr>
          <w:rFonts w:hint="eastAsia" w:ascii="仿宋_GB2312" w:hAnsi="仿宋_GB2312" w:eastAsia="仿宋_GB2312" w:cs="仿宋_GB2312"/>
          <w:color w:val="000000"/>
          <w:sz w:val="32"/>
          <w:szCs w:val="32"/>
        </w:rPr>
        <w:t>完成预算的</w:t>
      </w:r>
      <w:r>
        <w:rPr>
          <w:rFonts w:hint="eastAsia" w:ascii="仿宋_GB2312" w:hAnsi="仿宋_GB2312" w:eastAsia="仿宋_GB2312" w:cs="仿宋_GB2312"/>
          <w:color w:val="000000"/>
          <w:sz w:val="32"/>
          <w:szCs w:val="32"/>
          <w:lang w:eastAsia="zh-CN"/>
        </w:rPr>
        <w:t>比较数</w:t>
      </w:r>
      <w:r>
        <w:rPr>
          <w:rFonts w:hint="eastAsia" w:ascii="仿宋_GB2312" w:hAnsi="仿宋_GB2312" w:eastAsia="仿宋_GB2312" w:cs="仿宋_GB2312"/>
          <w:color w:val="000000"/>
          <w:sz w:val="32"/>
          <w:szCs w:val="32"/>
        </w:rPr>
        <w:t xml:space="preserve">。主要产出和效果：无项目。发现的问题及原因：无项目。下一步改进措施：无项目。有关项目自评情况可以附项目支出绩效自评表。 </w:t>
      </w:r>
    </w:p>
    <w:p>
      <w:pPr>
        <w:rPr>
          <w:rFonts w:ascii="宋体"/>
          <w:sz w:val="28"/>
          <w:szCs w:val="28"/>
        </w:rPr>
      </w:pPr>
    </w:p>
    <w:p>
      <w:pPr>
        <w:rPr>
          <w:rFonts w:ascii="宋体"/>
          <w:sz w:val="28"/>
          <w:szCs w:val="28"/>
        </w:rPr>
      </w:pPr>
    </w:p>
    <w:p>
      <w:pPr>
        <w:rPr>
          <w:rFonts w:ascii="宋体"/>
          <w:sz w:val="28"/>
          <w:szCs w:val="28"/>
        </w:rPr>
      </w:pPr>
    </w:p>
    <w:p>
      <w:pPr>
        <w:rPr>
          <w:rFonts w:ascii="宋体"/>
          <w:sz w:val="28"/>
          <w:szCs w:val="28"/>
        </w:rPr>
      </w:pPr>
    </w:p>
    <w:p>
      <w:pPr>
        <w:rPr>
          <w:rFonts w:ascii="宋体"/>
          <w:sz w:val="28"/>
          <w:szCs w:val="28"/>
        </w:rPr>
      </w:pPr>
    </w:p>
    <w:p>
      <w:pPr>
        <w:rPr>
          <w:rFonts w:ascii="宋体"/>
          <w:sz w:val="28"/>
          <w:szCs w:val="28"/>
        </w:rPr>
      </w:pPr>
    </w:p>
    <w:p>
      <w:pPr>
        <w:rPr>
          <w:rFonts w:ascii="宋体"/>
          <w:sz w:val="28"/>
          <w:szCs w:val="28"/>
        </w:rPr>
      </w:pP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第三部分 专业名词解释</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财政拨款收入：指同级财政当年拨付的资金。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上级补助收入：指事业单位从主管部门和上级单位取得的非财政补助收入。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事业收入：指事业单位开展专业业务活动及其辅助活动所取得的收入。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经营收入：指事业单位在专业业务活动及其辅助活动之外开展非独立核算经营活动取得的收入。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附属单位缴款：指事业单位附属的独立核算单位按有关规定上缴的收入。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其他收入：指除上述“财政拨款收入”、“事业收入”、“经营收入”、“附属单位缴款”等之外取得的收入。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结余分配：反映单位当年结余的分配情况。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年末结转和结余：指本年度或以前年度预算安排、因客观条件发生变化无法按原计划实施，需要延迟到以后年度按有关规继续使用的资金，既包括财政拨款结转和结余，也包括事业收入、经营收入、其他收入的结转和结余。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基本支出：指为保障机构正常运转、完成日常工作任务而发生的人员支出和公用支出。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项目支出：指在基本支出之外为完成特定行政任务和事业发展目标所发生的支出。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经营支出：指事业单位在专业业务活动及其辅助活动之外开展非独立核算经营活动发生的支出。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对附属单位补助支出：指事业单位发生的用非财政预算资金对附属单位的补助支出。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本单位支出功能分类说明。208</w:t>
      </w:r>
      <w:r>
        <w:rPr>
          <w:rFonts w:hint="eastAsia" w:ascii="仿宋_GB2312" w:hAnsi="仿宋_GB2312" w:eastAsia="仿宋_GB2312" w:cs="仿宋_GB2312"/>
          <w:color w:val="000000"/>
          <w:sz w:val="32"/>
          <w:szCs w:val="32"/>
        </w:rPr>
        <w:t>（类）</w:t>
      </w:r>
      <w:r>
        <w:rPr>
          <w:rFonts w:hint="eastAsia" w:ascii="仿宋_GB2312" w:hAnsi="宋体" w:eastAsia="仿宋_GB2312"/>
          <w:kern w:val="0"/>
          <w:sz w:val="32"/>
          <w:szCs w:val="24"/>
        </w:rPr>
        <w:t>02</w:t>
      </w:r>
      <w:r>
        <w:rPr>
          <w:rFonts w:hint="eastAsia" w:ascii="仿宋_GB2312" w:hAnsi="仿宋_GB2312" w:eastAsia="仿宋_GB2312" w:cs="仿宋_GB2312"/>
          <w:color w:val="000000"/>
          <w:sz w:val="32"/>
          <w:szCs w:val="32"/>
        </w:rPr>
        <w:t>（款）</w:t>
      </w:r>
      <w:r>
        <w:rPr>
          <w:rFonts w:hint="eastAsia" w:ascii="仿宋_GB2312" w:hAnsi="宋体" w:eastAsia="仿宋_GB2312"/>
          <w:kern w:val="0"/>
          <w:sz w:val="32"/>
          <w:szCs w:val="24"/>
        </w:rPr>
        <w:t>99</w:t>
      </w:r>
      <w:r>
        <w:rPr>
          <w:rFonts w:hint="eastAsia" w:ascii="仿宋_GB2312" w:hAnsi="仿宋_GB2312" w:eastAsia="仿宋_GB2312" w:cs="仿宋_GB2312"/>
          <w:color w:val="000000"/>
          <w:sz w:val="32"/>
          <w:szCs w:val="32"/>
        </w:rPr>
        <w:t>（项）</w:t>
      </w:r>
      <w:r>
        <w:rPr>
          <w:rFonts w:hint="eastAsia" w:ascii="仿宋_GB2312" w:hAnsi="宋体" w:eastAsia="仿宋_GB2312"/>
          <w:kern w:val="0"/>
          <w:sz w:val="32"/>
          <w:szCs w:val="24"/>
        </w:rPr>
        <w:t>：指其他民政管理事务支出。</w:t>
      </w:r>
      <w:r>
        <w:rPr>
          <w:rFonts w:hint="eastAsia" w:ascii="仿宋_GB2312" w:hAnsi="仿宋_GB2312" w:eastAsia="仿宋_GB2312" w:cs="仿宋_GB2312"/>
          <w:color w:val="000000"/>
          <w:sz w:val="32"/>
          <w:szCs w:val="32"/>
        </w:rPr>
        <w:t>208（类）05（款）05（项）：指机关事业单位基本养老保险</w:t>
      </w:r>
      <w:r>
        <w:rPr>
          <w:rFonts w:hint="eastAsia" w:ascii="仿宋_GB2312" w:hAnsi="宋体" w:eastAsia="仿宋_GB2312"/>
          <w:kern w:val="0"/>
          <w:sz w:val="32"/>
          <w:szCs w:val="24"/>
        </w:rPr>
        <w:t>208</w:t>
      </w:r>
      <w:r>
        <w:rPr>
          <w:rFonts w:hint="eastAsia" w:ascii="仿宋_GB2312" w:hAnsi="仿宋_GB2312" w:eastAsia="仿宋_GB2312" w:cs="仿宋_GB2312"/>
          <w:color w:val="000000"/>
          <w:sz w:val="32"/>
          <w:szCs w:val="32"/>
        </w:rPr>
        <w:t>（类）</w:t>
      </w:r>
      <w:r>
        <w:rPr>
          <w:rFonts w:hint="eastAsia" w:ascii="仿宋_GB2312" w:hAnsi="宋体" w:eastAsia="仿宋_GB2312"/>
          <w:kern w:val="0"/>
          <w:sz w:val="32"/>
          <w:szCs w:val="24"/>
        </w:rPr>
        <w:t>10</w:t>
      </w:r>
      <w:r>
        <w:rPr>
          <w:rFonts w:hint="eastAsia" w:ascii="仿宋_GB2312" w:hAnsi="仿宋_GB2312" w:eastAsia="仿宋_GB2312" w:cs="仿宋_GB2312"/>
          <w:color w:val="000000"/>
          <w:sz w:val="32"/>
          <w:szCs w:val="32"/>
        </w:rPr>
        <w:t>（款）</w:t>
      </w:r>
      <w:r>
        <w:rPr>
          <w:rFonts w:hint="eastAsia" w:ascii="仿宋_GB2312" w:hAnsi="宋体" w:eastAsia="仿宋_GB2312"/>
          <w:kern w:val="0"/>
          <w:sz w:val="32"/>
          <w:szCs w:val="24"/>
        </w:rPr>
        <w:t>05</w:t>
      </w:r>
      <w:r>
        <w:rPr>
          <w:rFonts w:hint="eastAsia" w:ascii="仿宋_GB2312" w:hAnsi="仿宋_GB2312" w:eastAsia="仿宋_GB2312" w:cs="仿宋_GB2312"/>
          <w:color w:val="000000"/>
          <w:sz w:val="32"/>
          <w:szCs w:val="32"/>
        </w:rPr>
        <w:t>（项）</w:t>
      </w:r>
      <w:r>
        <w:rPr>
          <w:rFonts w:hint="eastAsia" w:ascii="仿宋_GB2312" w:hAnsi="宋体" w:eastAsia="仿宋_GB2312"/>
          <w:kern w:val="0"/>
          <w:sz w:val="32"/>
          <w:szCs w:val="24"/>
        </w:rPr>
        <w:t>指社会福利事业单位。210</w:t>
      </w:r>
      <w:r>
        <w:rPr>
          <w:rFonts w:hint="eastAsia" w:ascii="仿宋_GB2312" w:hAnsi="仿宋_GB2312" w:eastAsia="仿宋_GB2312" w:cs="仿宋_GB2312"/>
          <w:color w:val="000000"/>
          <w:sz w:val="32"/>
          <w:szCs w:val="32"/>
        </w:rPr>
        <w:t>（类）</w:t>
      </w:r>
      <w:r>
        <w:rPr>
          <w:rFonts w:hint="eastAsia" w:ascii="仿宋_GB2312" w:hAnsi="宋体" w:eastAsia="仿宋_GB2312"/>
          <w:kern w:val="0"/>
          <w:sz w:val="32"/>
          <w:szCs w:val="24"/>
        </w:rPr>
        <w:t>11</w:t>
      </w:r>
      <w:r>
        <w:rPr>
          <w:rFonts w:hint="eastAsia" w:ascii="仿宋_GB2312" w:hAnsi="仿宋_GB2312" w:eastAsia="仿宋_GB2312" w:cs="仿宋_GB2312"/>
          <w:color w:val="000000"/>
          <w:sz w:val="32"/>
          <w:szCs w:val="32"/>
        </w:rPr>
        <w:t>（款）</w:t>
      </w:r>
      <w:r>
        <w:rPr>
          <w:rFonts w:hint="eastAsia" w:ascii="仿宋_GB2312" w:hAnsi="宋体" w:eastAsia="仿宋_GB2312"/>
          <w:kern w:val="0"/>
          <w:sz w:val="32"/>
          <w:szCs w:val="24"/>
        </w:rPr>
        <w:t>02</w:t>
      </w:r>
      <w:r>
        <w:rPr>
          <w:rFonts w:hint="eastAsia" w:ascii="仿宋_GB2312" w:hAnsi="仿宋_GB2312" w:eastAsia="仿宋_GB2312" w:cs="仿宋_GB2312"/>
          <w:color w:val="000000"/>
          <w:sz w:val="32"/>
          <w:szCs w:val="32"/>
        </w:rPr>
        <w:t>（项）</w:t>
      </w:r>
      <w:r>
        <w:rPr>
          <w:rFonts w:hint="eastAsia" w:ascii="仿宋_GB2312" w:hAnsi="宋体" w:eastAsia="仿宋_GB2312"/>
          <w:kern w:val="0"/>
          <w:sz w:val="32"/>
          <w:szCs w:val="24"/>
        </w:rPr>
        <w:t>指事业单位医疗。210</w:t>
      </w:r>
      <w:r>
        <w:rPr>
          <w:rFonts w:hint="eastAsia" w:ascii="仿宋_GB2312" w:hAnsi="仿宋_GB2312" w:eastAsia="仿宋_GB2312" w:cs="仿宋_GB2312"/>
          <w:color w:val="000000"/>
          <w:sz w:val="32"/>
          <w:szCs w:val="32"/>
        </w:rPr>
        <w:t>（类）</w:t>
      </w:r>
      <w:r>
        <w:rPr>
          <w:rFonts w:hint="eastAsia" w:ascii="仿宋_GB2312" w:hAnsi="宋体" w:eastAsia="仿宋_GB2312"/>
          <w:kern w:val="0"/>
          <w:sz w:val="32"/>
          <w:szCs w:val="24"/>
        </w:rPr>
        <w:t>11</w:t>
      </w:r>
      <w:r>
        <w:rPr>
          <w:rFonts w:hint="eastAsia" w:ascii="仿宋_GB2312" w:hAnsi="仿宋_GB2312" w:eastAsia="仿宋_GB2312" w:cs="仿宋_GB2312"/>
          <w:color w:val="000000"/>
          <w:sz w:val="32"/>
          <w:szCs w:val="32"/>
        </w:rPr>
        <w:t>（款）</w:t>
      </w:r>
      <w:r>
        <w:rPr>
          <w:rFonts w:hint="eastAsia" w:ascii="仿宋_GB2312" w:hAnsi="宋体" w:eastAsia="仿宋_GB2312"/>
          <w:kern w:val="0"/>
          <w:sz w:val="32"/>
          <w:szCs w:val="24"/>
        </w:rPr>
        <w:t>03</w:t>
      </w:r>
      <w:r>
        <w:rPr>
          <w:rFonts w:hint="eastAsia" w:ascii="仿宋_GB2312" w:hAnsi="仿宋_GB2312" w:eastAsia="仿宋_GB2312" w:cs="仿宋_GB2312"/>
          <w:color w:val="000000"/>
          <w:sz w:val="32"/>
          <w:szCs w:val="32"/>
        </w:rPr>
        <w:t>（项）</w:t>
      </w:r>
      <w:r>
        <w:rPr>
          <w:rFonts w:hint="eastAsia" w:ascii="仿宋_GB2312" w:hAnsi="宋体" w:eastAsia="仿宋_GB2312"/>
          <w:kern w:val="0"/>
          <w:sz w:val="32"/>
          <w:szCs w:val="24"/>
        </w:rPr>
        <w:t xml:space="preserve">指公务员医疗补助。 </w:t>
      </w: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 </w:t>
      </w:r>
    </w:p>
    <w:p>
      <w:pPr>
        <w:spacing w:line="540" w:lineRule="exact"/>
        <w:ind w:firstLine="640" w:firstLineChars="200"/>
        <w:jc w:val="center"/>
        <w:rPr>
          <w:rFonts w:hint="eastAsia" w:ascii="黑体" w:hAnsi="黑体" w:eastAsia="黑体" w:cs="黑体"/>
          <w:kern w:val="0"/>
          <w:sz w:val="32"/>
          <w:szCs w:val="24"/>
        </w:rPr>
      </w:pPr>
      <w:r>
        <w:rPr>
          <w:rFonts w:hint="eastAsia" w:ascii="黑体" w:hAnsi="黑体" w:eastAsia="黑体" w:cs="黑体"/>
          <w:kern w:val="0"/>
          <w:sz w:val="32"/>
          <w:szCs w:val="24"/>
        </w:rPr>
        <w:t>第四部分 部门决算公开的8张报表（见附表）</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一、《收入支出决算总表》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二、《收入决算表》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三、《支出决算表》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四、《财政拨款收入支出决算总表》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五、《一般公共预算财政拨款支出决算表》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六、《一般公共预算财政拨款基本支出决算表》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七、《一般公共预算财政拨款“三公”经费支出决算表》 </w:t>
      </w:r>
    </w:p>
    <w:p>
      <w:pPr>
        <w:spacing w:line="540" w:lineRule="exact"/>
        <w:ind w:firstLine="640" w:firstLineChars="200"/>
        <w:rPr>
          <w:rFonts w:hint="eastAsia" w:ascii="仿宋_GB2312" w:hAnsi="宋体" w:eastAsia="仿宋_GB2312"/>
          <w:kern w:val="0"/>
          <w:sz w:val="32"/>
          <w:szCs w:val="24"/>
        </w:rPr>
      </w:pPr>
      <w:r>
        <w:rPr>
          <w:rFonts w:hint="eastAsia" w:ascii="仿宋_GB2312" w:hAnsi="宋体" w:eastAsia="仿宋_GB2312"/>
          <w:kern w:val="0"/>
          <w:sz w:val="32"/>
          <w:szCs w:val="24"/>
        </w:rPr>
        <w:t xml:space="preserve">八、《政府性基金预算财政拨款收入支出决算表》（空表）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F5E044"/>
    <w:multiLevelType w:val="singleLevel"/>
    <w:tmpl w:val="8AF5E044"/>
    <w:lvl w:ilvl="0" w:tentative="0">
      <w:start w:val="1"/>
      <w:numFmt w:val="chineseCounting"/>
      <w:suff w:val="space"/>
      <w:lvlText w:val="第%1部分"/>
      <w:lvlJc w:val="left"/>
      <w:pPr>
        <w:ind w:left="14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153"/>
    <w:rsid w:val="00060153"/>
    <w:rsid w:val="001109A1"/>
    <w:rsid w:val="00191ABE"/>
    <w:rsid w:val="00281EF0"/>
    <w:rsid w:val="002A1347"/>
    <w:rsid w:val="003357D9"/>
    <w:rsid w:val="003D5522"/>
    <w:rsid w:val="00416D67"/>
    <w:rsid w:val="00417605"/>
    <w:rsid w:val="0054137F"/>
    <w:rsid w:val="005A3BA3"/>
    <w:rsid w:val="005B16B3"/>
    <w:rsid w:val="005F0D10"/>
    <w:rsid w:val="008B577E"/>
    <w:rsid w:val="008D49FD"/>
    <w:rsid w:val="00956922"/>
    <w:rsid w:val="00975A1B"/>
    <w:rsid w:val="00CE50CC"/>
    <w:rsid w:val="00D57BCF"/>
    <w:rsid w:val="00D73546"/>
    <w:rsid w:val="00D960A6"/>
    <w:rsid w:val="00DD55A4"/>
    <w:rsid w:val="00E2096B"/>
    <w:rsid w:val="00E20EBF"/>
    <w:rsid w:val="00E51587"/>
    <w:rsid w:val="00EC7880"/>
    <w:rsid w:val="00F83343"/>
    <w:rsid w:val="03DD5166"/>
    <w:rsid w:val="04F467D8"/>
    <w:rsid w:val="05007E03"/>
    <w:rsid w:val="055A0159"/>
    <w:rsid w:val="055F53BD"/>
    <w:rsid w:val="06F12D01"/>
    <w:rsid w:val="08E9452A"/>
    <w:rsid w:val="0C1369DD"/>
    <w:rsid w:val="0DBD455F"/>
    <w:rsid w:val="0E710AA5"/>
    <w:rsid w:val="0FEC2039"/>
    <w:rsid w:val="10404177"/>
    <w:rsid w:val="12B37893"/>
    <w:rsid w:val="160E40C6"/>
    <w:rsid w:val="17685866"/>
    <w:rsid w:val="1AA313E0"/>
    <w:rsid w:val="1DCF0AC4"/>
    <w:rsid w:val="1E8E78A7"/>
    <w:rsid w:val="1F886B62"/>
    <w:rsid w:val="23060857"/>
    <w:rsid w:val="236C5DCD"/>
    <w:rsid w:val="26513334"/>
    <w:rsid w:val="2877244A"/>
    <w:rsid w:val="296070F8"/>
    <w:rsid w:val="2B535115"/>
    <w:rsid w:val="2EF03408"/>
    <w:rsid w:val="2F060E0E"/>
    <w:rsid w:val="32DD435D"/>
    <w:rsid w:val="370A4293"/>
    <w:rsid w:val="39C02FD8"/>
    <w:rsid w:val="3AD24327"/>
    <w:rsid w:val="3B321D25"/>
    <w:rsid w:val="3C2F7C81"/>
    <w:rsid w:val="3CF52152"/>
    <w:rsid w:val="3DFF34BC"/>
    <w:rsid w:val="4011636E"/>
    <w:rsid w:val="48900B0C"/>
    <w:rsid w:val="49721465"/>
    <w:rsid w:val="49E27BF9"/>
    <w:rsid w:val="4AFB2ACD"/>
    <w:rsid w:val="4C727256"/>
    <w:rsid w:val="4D77457B"/>
    <w:rsid w:val="4E2C466B"/>
    <w:rsid w:val="4FA2733C"/>
    <w:rsid w:val="51524ED7"/>
    <w:rsid w:val="51E33F36"/>
    <w:rsid w:val="55763A43"/>
    <w:rsid w:val="57F73061"/>
    <w:rsid w:val="58651351"/>
    <w:rsid w:val="58954747"/>
    <w:rsid w:val="59F9757E"/>
    <w:rsid w:val="5ADC6999"/>
    <w:rsid w:val="5C9F18B4"/>
    <w:rsid w:val="5D1D01F5"/>
    <w:rsid w:val="5D3C44C5"/>
    <w:rsid w:val="5E04350A"/>
    <w:rsid w:val="61D773C2"/>
    <w:rsid w:val="63C3136F"/>
    <w:rsid w:val="659D779D"/>
    <w:rsid w:val="65C42BFA"/>
    <w:rsid w:val="663A4424"/>
    <w:rsid w:val="6A592EBA"/>
    <w:rsid w:val="6E682204"/>
    <w:rsid w:val="7100559D"/>
    <w:rsid w:val="713D456A"/>
    <w:rsid w:val="71D81670"/>
    <w:rsid w:val="728A572A"/>
    <w:rsid w:val="739D4829"/>
    <w:rsid w:val="73FA5028"/>
    <w:rsid w:val="75DA06F0"/>
    <w:rsid w:val="762B4246"/>
    <w:rsid w:val="76E35434"/>
    <w:rsid w:val="78093A4D"/>
    <w:rsid w:val="78907ADA"/>
    <w:rsid w:val="7C445A31"/>
    <w:rsid w:val="7D7A4656"/>
    <w:rsid w:val="7F3E5DDC"/>
    <w:rsid w:val="7F5F4CFB"/>
    <w:rsid w:val="7F74717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4">
    <w:name w:val="Strong"/>
    <w:basedOn w:val="3"/>
    <w:qFormat/>
    <w:uiPriority w:val="99"/>
    <w:rPr>
      <w:rFonts w:cs="Times New Roman"/>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 China</Company>
  <Pages>11</Pages>
  <Words>738</Words>
  <Characters>4209</Characters>
  <Lines>0</Lines>
  <Paragraphs>0</Paragraphs>
  <TotalTime>0</TotalTime>
  <ScaleCrop>false</ScaleCrop>
  <LinksUpToDate>false</LinksUpToDate>
  <CharactersWithSpaces>0</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2018-06-11T02:38:00Z</dcterms:created>
  <dc:creator>Lenovo</dc:creator>
  <cp:lastModifiedBy>Administrator</cp:lastModifiedBy>
  <dcterms:modified xsi:type="dcterms:W3CDTF">2021-07-01T11:54:56Z</dcterms:modified>
  <dc:title>××年度××（单位）部门决算公开说明</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y fmtid="{D5CDD505-2E9C-101B-9397-08002B2CF9AE}" pid="3" name="ICV">
    <vt:lpwstr>918781115B5942B4BA6D01B7D69411A0</vt:lpwstr>
  </property>
</Properties>
</file>