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黑体" w:hAnsi="黑体" w:eastAsia="黑体"/>
          <w:sz w:val="32"/>
          <w:szCs w:val="24"/>
        </w:rPr>
      </w:pPr>
      <w:r>
        <w:rPr>
          <w:rFonts w:hint="eastAsia" w:ascii="黑体" w:hAnsi="黑体" w:eastAsia="黑体"/>
          <w:sz w:val="32"/>
          <w:szCs w:val="24"/>
        </w:rPr>
        <w:t>附件1：</w:t>
      </w:r>
    </w:p>
    <w:p>
      <w:pPr>
        <w:spacing w:line="540" w:lineRule="exact"/>
        <w:jc w:val="center"/>
        <w:rPr>
          <w:rFonts w:hint="eastAsia" w:ascii="方正小标宋_GBK" w:hAnsi="宋体" w:eastAsia="方正小标宋_GBK" w:cs="Times New Roman"/>
          <w:sz w:val="44"/>
          <w:szCs w:val="24"/>
        </w:rPr>
      </w:pPr>
    </w:p>
    <w:p>
      <w:pPr>
        <w:spacing w:line="540" w:lineRule="exact"/>
        <w:jc w:val="center"/>
        <w:rPr>
          <w:rFonts w:hint="eastAsia" w:ascii="方正小标宋_GBK" w:hAnsi="宋体" w:eastAsia="方正小标宋_GBK" w:cs="Times New Roman"/>
          <w:sz w:val="44"/>
          <w:szCs w:val="24"/>
        </w:rPr>
      </w:pPr>
      <w:r>
        <w:rPr>
          <w:rFonts w:hint="eastAsia" w:ascii="方正小标宋_GBK" w:hAnsi="宋体" w:eastAsia="方正小标宋_GBK" w:cs="Times New Roman"/>
          <w:sz w:val="44"/>
          <w:szCs w:val="24"/>
        </w:rPr>
        <w:t>2018年度吉木萨尔</w:t>
      </w:r>
      <w:r>
        <w:rPr>
          <w:rFonts w:hint="eastAsia" w:ascii="方正小标宋_GBK" w:hAnsi="宋体" w:eastAsia="方正小标宋_GBK" w:cs="Times New Roman"/>
          <w:sz w:val="44"/>
          <w:szCs w:val="24"/>
          <w:lang w:eastAsia="zh-CN"/>
        </w:rPr>
        <w:t>县</w:t>
      </w:r>
      <w:r>
        <w:rPr>
          <w:rFonts w:hint="eastAsia" w:ascii="方正小标宋_GBK" w:hAnsi="宋体" w:eastAsia="方正小标宋_GBK" w:cs="Times New Roman"/>
          <w:sz w:val="44"/>
          <w:szCs w:val="24"/>
        </w:rPr>
        <w:t>北庭工业园区管理委员会部门决算公开说明</w:t>
      </w:r>
    </w:p>
    <w:p>
      <w:pPr>
        <w:spacing w:line="540" w:lineRule="exact"/>
        <w:jc w:val="center"/>
        <w:rPr>
          <w:rFonts w:hint="eastAsia" w:ascii="方正小标宋_GBK" w:hAnsi="宋体" w:eastAsia="方正小标宋_GBK" w:cs="Times New Roman"/>
          <w:sz w:val="44"/>
          <w:szCs w:val="24"/>
        </w:rPr>
      </w:pPr>
    </w:p>
    <w:p>
      <w:pPr>
        <w:spacing w:line="540" w:lineRule="exact"/>
        <w:jc w:val="center"/>
        <w:rPr>
          <w:rFonts w:hint="eastAsia" w:ascii="黑体" w:hAnsi="黑体" w:eastAsia="黑体"/>
          <w:b w:val="0"/>
          <w:bCs/>
          <w:kern w:val="0"/>
          <w:sz w:val="32"/>
          <w:szCs w:val="32"/>
        </w:rPr>
      </w:pPr>
      <w:r>
        <w:rPr>
          <w:sz w:val="28"/>
          <w:szCs w:val="28"/>
        </w:rPr>
        <w:t xml:space="preserve"> </w:t>
      </w:r>
      <w:r>
        <w:rPr>
          <w:rFonts w:hint="eastAsia" w:ascii="黑体" w:hAnsi="黑体" w:eastAsia="黑体"/>
          <w:b w:val="0"/>
          <w:bCs/>
          <w:kern w:val="0"/>
          <w:sz w:val="32"/>
          <w:szCs w:val="32"/>
        </w:rPr>
        <w:t>目  录</w:t>
      </w:r>
    </w:p>
    <w:p>
      <w:pPr>
        <w:keepNext w:val="0"/>
        <w:keepLines w:val="0"/>
        <w:pageBreakBefore w:val="0"/>
        <w:kinsoku/>
        <w:wordWrap/>
        <w:overflowPunct/>
        <w:topLinePunct w:val="0"/>
        <w:autoSpaceDE/>
        <w:autoSpaceDN/>
        <w:bidi w:val="0"/>
        <w:adjustRightInd/>
        <w:snapToGrid/>
        <w:spacing w:line="540" w:lineRule="exact"/>
        <w:ind w:firstLine="0" w:firstLineChars="0"/>
        <w:textAlignment w:val="auto"/>
        <w:outlineLvl w:val="9"/>
        <w:rPr>
          <w:rFonts w:hint="eastAsia" w:ascii="仿宋_GB2312" w:hAnsi="宋体" w:eastAsia="仿宋_GB2312"/>
          <w:b/>
          <w:kern w:val="0"/>
          <w:sz w:val="32"/>
          <w:szCs w:val="32"/>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黑体" w:hAnsi="黑体" w:eastAsia="黑体"/>
          <w:kern w:val="0"/>
          <w:sz w:val="32"/>
          <w:szCs w:val="32"/>
        </w:rPr>
      </w:pPr>
      <w:r>
        <w:rPr>
          <w:rFonts w:hint="eastAsia" w:ascii="黑体" w:hAnsi="黑体" w:eastAsia="黑体"/>
          <w:kern w:val="0"/>
          <w:sz w:val="32"/>
          <w:szCs w:val="32"/>
        </w:rPr>
        <w:t>第一部分 部门单位概况</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黑体" w:hAnsi="黑体" w:eastAsia="黑体"/>
          <w:kern w:val="0"/>
          <w:sz w:val="32"/>
          <w:szCs w:val="32"/>
        </w:rPr>
      </w:pPr>
      <w:r>
        <w:rPr>
          <w:rFonts w:hint="eastAsia" w:ascii="黑体" w:hAnsi="黑体" w:eastAsia="黑体"/>
          <w:kern w:val="0"/>
          <w:sz w:val="32"/>
          <w:szCs w:val="32"/>
        </w:rPr>
        <w:t>第二部分 部门决算情况说明</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一、部门收支总体情况</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（一）部门收入支出决算总体情况说明</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（二）部门收入总体情况说明</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（三）部门支出总体情况说明</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二、部门财政拨款收支情况</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（一）财政拨款收支总体情况说明</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（二）一般公共预算收支决算情况说明</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三、部门结转结余情况</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四、一般公共预算“三公”经费支出情况</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五、机关运行经费支出情况</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六、政府采购情况</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七、其他重要事项的情况</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（一）国有资产占用情况说明</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（二）预算绩效情况的说明</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黑体" w:hAnsi="黑体" w:eastAsia="黑体"/>
          <w:kern w:val="0"/>
          <w:sz w:val="32"/>
          <w:szCs w:val="32"/>
        </w:rPr>
      </w:pPr>
      <w:r>
        <w:rPr>
          <w:rFonts w:hint="eastAsia" w:ascii="黑体" w:hAnsi="黑体" w:eastAsia="黑体"/>
          <w:kern w:val="0"/>
          <w:sz w:val="32"/>
          <w:szCs w:val="32"/>
        </w:rPr>
        <w:t>第三部分 专业名词解释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《收入支出决算总表》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《收入决算表》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《支出决算表》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《财政拨款收入支出决算总表》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《一般公共预算财政拨款支出决算表》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《一般公共预算财政拨款基本支出决算表》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《一般公共预算财政拨款“三公”经费支出决算表》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sz w:val="32"/>
          <w:szCs w:val="32"/>
        </w:rPr>
      </w:pPr>
      <w:r>
        <w:rPr>
          <w:rFonts w:hint="eastAsia" w:ascii="仿宋_GB2312" w:eastAsia="仿宋_GB2312"/>
          <w:sz w:val="32"/>
          <w:szCs w:val="32"/>
        </w:rPr>
        <w:t>《政府性基金预算财政拨款收入支出决算表》</w:t>
      </w:r>
    </w:p>
    <w:p>
      <w:pPr>
        <w:keepNext w:val="0"/>
        <w:keepLines w:val="0"/>
        <w:pageBreakBefore w:val="0"/>
        <w:kinsoku/>
        <w:wordWrap/>
        <w:overflowPunct/>
        <w:topLinePunct w:val="0"/>
        <w:autoSpaceDE/>
        <w:autoSpaceDN/>
        <w:bidi w:val="0"/>
        <w:adjustRightInd/>
        <w:snapToGrid/>
        <w:spacing w:line="540" w:lineRule="exact"/>
        <w:textAlignment w:val="auto"/>
        <w:outlineLvl w:val="9"/>
        <w:rPr>
          <w:sz w:val="28"/>
          <w:szCs w:val="28"/>
        </w:rPr>
      </w:pPr>
    </w:p>
    <w:p>
      <w:pPr>
        <w:keepNext w:val="0"/>
        <w:keepLines w:val="0"/>
        <w:pageBreakBefore w:val="0"/>
        <w:kinsoku/>
        <w:wordWrap/>
        <w:overflowPunct/>
        <w:topLinePunct w:val="0"/>
        <w:autoSpaceDE/>
        <w:autoSpaceDN/>
        <w:bidi w:val="0"/>
        <w:adjustRightInd/>
        <w:snapToGrid/>
        <w:spacing w:line="540" w:lineRule="exact"/>
        <w:jc w:val="center"/>
        <w:textAlignment w:val="auto"/>
        <w:outlineLvl w:val="9"/>
        <w:rPr>
          <w:rFonts w:hint="eastAsia" w:ascii="黑体" w:hAnsi="黑体" w:eastAsia="黑体" w:cs="Times New Roman"/>
          <w:sz w:val="32"/>
          <w:szCs w:val="24"/>
        </w:rPr>
      </w:pPr>
      <w:r>
        <w:rPr>
          <w:rFonts w:hint="eastAsia" w:ascii="黑体" w:hAnsi="黑体" w:eastAsia="黑体" w:cs="Times New Roman"/>
          <w:sz w:val="32"/>
          <w:szCs w:val="24"/>
        </w:rPr>
        <w:t xml:space="preserve">   第一部分 部门单位概况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本单位主要负责编制园区产业发展规划、制定招商引资优惠政策提供投资服务、建设和管理园区基础设施，营造投资软环境。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宋体"/>
          <w:bCs/>
          <w:kern w:val="0"/>
          <w:sz w:val="32"/>
          <w:szCs w:val="32"/>
        </w:rPr>
      </w:pPr>
      <w:r>
        <w:rPr>
          <w:rFonts w:hint="eastAsia" w:ascii="黑体" w:hAnsi="黑体" w:eastAsia="黑体" w:cs="宋体"/>
          <w:bCs/>
          <w:kern w:val="0"/>
          <w:sz w:val="32"/>
          <w:szCs w:val="32"/>
          <w:lang w:eastAsia="zh-CN"/>
        </w:rPr>
        <w:t>二、</w:t>
      </w:r>
      <w:r>
        <w:rPr>
          <w:rFonts w:hint="eastAsia" w:ascii="黑体" w:hAnsi="黑体" w:eastAsia="黑体" w:cs="宋体"/>
          <w:bCs/>
          <w:kern w:val="0"/>
          <w:sz w:val="32"/>
          <w:szCs w:val="32"/>
        </w:rPr>
        <w:t>机构设置情况</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从决算单位构成看，吉木萨尔</w:t>
      </w:r>
      <w:r>
        <w:rPr>
          <w:rFonts w:hint="eastAsia" w:ascii="仿宋_GB2312" w:hAnsi="宋体" w:eastAsia="仿宋_GB2312"/>
          <w:kern w:val="0"/>
          <w:sz w:val="32"/>
          <w:szCs w:val="32"/>
          <w:lang w:eastAsia="zh-CN"/>
        </w:rPr>
        <w:t>县</w:t>
      </w:r>
      <w:r>
        <w:rPr>
          <w:rFonts w:hint="eastAsia" w:ascii="仿宋_GB2312" w:hAnsi="宋体" w:eastAsia="仿宋_GB2312"/>
          <w:kern w:val="0"/>
          <w:sz w:val="32"/>
          <w:szCs w:val="32"/>
        </w:rPr>
        <w:t>北庭工业园区管委会部门决算包括：吉木萨尔</w:t>
      </w:r>
      <w:r>
        <w:rPr>
          <w:rFonts w:hint="eastAsia" w:ascii="仿宋_GB2312" w:hAnsi="宋体" w:eastAsia="仿宋_GB2312"/>
          <w:kern w:val="0"/>
          <w:sz w:val="32"/>
          <w:szCs w:val="32"/>
          <w:lang w:eastAsia="zh-CN"/>
        </w:rPr>
        <w:t>县</w:t>
      </w:r>
      <w:r>
        <w:rPr>
          <w:rFonts w:hint="eastAsia" w:ascii="仿宋_GB2312" w:hAnsi="宋体" w:eastAsia="仿宋_GB2312"/>
          <w:kern w:val="0"/>
          <w:sz w:val="32"/>
          <w:szCs w:val="32"/>
        </w:rPr>
        <w:t>北庭工业园区管委会部门本级决算、</w:t>
      </w:r>
      <w:r>
        <w:rPr>
          <w:rFonts w:hint="eastAsia" w:ascii="仿宋_GB2312" w:hAnsi="宋体" w:eastAsia="仿宋_GB2312"/>
          <w:kern w:val="0"/>
          <w:sz w:val="32"/>
          <w:szCs w:val="32"/>
          <w:lang w:val="en-US" w:eastAsia="zh-CN"/>
        </w:rPr>
        <w:t>本单位无下</w:t>
      </w:r>
      <w:r>
        <w:rPr>
          <w:rFonts w:hint="eastAsia" w:ascii="仿宋_GB2312" w:hAnsi="宋体" w:eastAsia="仿宋_GB2312"/>
          <w:kern w:val="0"/>
          <w:sz w:val="32"/>
          <w:szCs w:val="32"/>
        </w:rPr>
        <w:t>属单</w:t>
      </w:r>
      <w:r>
        <w:rPr>
          <w:rFonts w:hint="eastAsia" w:ascii="仿宋_GB2312" w:hAnsi="宋体" w:eastAsia="仿宋_GB2312"/>
          <w:kern w:val="0"/>
          <w:sz w:val="32"/>
          <w:szCs w:val="32"/>
          <w:lang w:val="en-US" w:eastAsia="zh-CN"/>
        </w:rPr>
        <w:t>位</w:t>
      </w:r>
      <w:r>
        <w:rPr>
          <w:rFonts w:hint="eastAsia" w:ascii="仿宋_GB2312" w:hAnsi="宋体" w:eastAsia="仿宋_GB2312"/>
          <w:kern w:val="0"/>
          <w:sz w:val="32"/>
          <w:szCs w:val="32"/>
        </w:rPr>
        <w:t>。</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纳入吉木萨尔</w:t>
      </w:r>
      <w:r>
        <w:rPr>
          <w:rFonts w:hint="eastAsia" w:ascii="仿宋_GB2312" w:hAnsi="宋体" w:eastAsia="仿宋_GB2312"/>
          <w:kern w:val="0"/>
          <w:sz w:val="32"/>
          <w:szCs w:val="32"/>
          <w:lang w:eastAsia="zh-CN"/>
        </w:rPr>
        <w:t>县</w:t>
      </w:r>
      <w:r>
        <w:rPr>
          <w:rFonts w:hint="eastAsia" w:ascii="仿宋_GB2312" w:hAnsi="宋体" w:eastAsia="仿宋_GB2312"/>
          <w:kern w:val="0"/>
          <w:sz w:val="32"/>
          <w:szCs w:val="32"/>
        </w:rPr>
        <w:t>北庭工业园区管委会</w:t>
      </w:r>
      <w:r>
        <w:rPr>
          <w:rFonts w:hint="eastAsia" w:ascii="仿宋_GB2312" w:hAnsi="宋体" w:eastAsia="仿宋_GB2312"/>
          <w:kern w:val="0"/>
          <w:sz w:val="32"/>
          <w:szCs w:val="32"/>
          <w:lang w:val="en-US" w:eastAsia="zh-CN"/>
        </w:rPr>
        <w:t>2018</w:t>
      </w:r>
      <w:r>
        <w:rPr>
          <w:rFonts w:hint="eastAsia" w:ascii="仿宋_GB2312" w:hAnsi="宋体" w:eastAsia="仿宋_GB2312"/>
          <w:kern w:val="0"/>
          <w:sz w:val="32"/>
          <w:szCs w:val="32"/>
        </w:rPr>
        <w:t>年部门决算编制范围的单位名单见下表：</w:t>
      </w: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4"/>
        <w:gridCol w:w="6180"/>
        <w:gridCol w:w="1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1584" w:type="dxa"/>
            <w:vAlign w:val="center"/>
          </w:tcPr>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序号</w:t>
            </w:r>
          </w:p>
        </w:tc>
        <w:tc>
          <w:tcPr>
            <w:tcW w:w="6180" w:type="dxa"/>
            <w:vAlign w:val="center"/>
          </w:tcPr>
          <w:p>
            <w:pPr>
              <w:keepNext w:val="0"/>
              <w:keepLines w:val="0"/>
              <w:pageBreakBefore w:val="0"/>
              <w:kinsoku/>
              <w:wordWrap/>
              <w:overflowPunct/>
              <w:topLinePunct w:val="0"/>
              <w:autoSpaceDE/>
              <w:autoSpaceDN/>
              <w:bidi w:val="0"/>
              <w:adjustRightInd/>
              <w:snapToGrid/>
              <w:spacing w:line="540" w:lineRule="exact"/>
              <w:ind w:firstLine="640" w:firstLineChars="200"/>
              <w:jc w:val="center"/>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单位名称</w:t>
            </w:r>
          </w:p>
        </w:tc>
        <w:tc>
          <w:tcPr>
            <w:tcW w:w="1700" w:type="dxa"/>
            <w:vAlign w:val="center"/>
          </w:tcPr>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1584" w:type="dxa"/>
            <w:vAlign w:val="center"/>
          </w:tcPr>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1</w:t>
            </w:r>
          </w:p>
        </w:tc>
        <w:tc>
          <w:tcPr>
            <w:tcW w:w="6180" w:type="dxa"/>
            <w:vAlign w:val="center"/>
          </w:tcPr>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吉木萨尔</w:t>
            </w:r>
            <w:r>
              <w:rPr>
                <w:rFonts w:hint="eastAsia" w:ascii="仿宋_GB2312" w:hAnsi="宋体" w:eastAsia="仿宋_GB2312"/>
                <w:kern w:val="0"/>
                <w:sz w:val="32"/>
                <w:szCs w:val="32"/>
                <w:lang w:eastAsia="zh-CN"/>
              </w:rPr>
              <w:t>县</w:t>
            </w:r>
            <w:r>
              <w:rPr>
                <w:rFonts w:hint="eastAsia" w:ascii="仿宋_GB2312" w:hAnsi="宋体" w:eastAsia="仿宋_GB2312"/>
                <w:kern w:val="0"/>
                <w:sz w:val="32"/>
                <w:szCs w:val="32"/>
              </w:rPr>
              <w:t>北庭工业园区管委会</w:t>
            </w:r>
            <w:r>
              <w:rPr>
                <w:rFonts w:hint="eastAsia" w:ascii="仿宋_GB2312" w:hAnsi="宋体" w:eastAsia="仿宋_GB2312"/>
                <w:kern w:val="0"/>
                <w:sz w:val="32"/>
                <w:szCs w:val="32"/>
                <w:lang w:eastAsia="zh-CN"/>
              </w:rPr>
              <w:t>本级</w:t>
            </w:r>
          </w:p>
        </w:tc>
        <w:tc>
          <w:tcPr>
            <w:tcW w:w="1700" w:type="dxa"/>
            <w:vAlign w:val="center"/>
          </w:tcPr>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p>
        </w:tc>
      </w:tr>
    </w:tbl>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p>
    <w:p>
      <w:pPr>
        <w:keepNext w:val="0"/>
        <w:keepLines w:val="0"/>
        <w:pageBreakBefore w:val="0"/>
        <w:kinsoku/>
        <w:wordWrap/>
        <w:overflowPunct/>
        <w:topLinePunct w:val="0"/>
        <w:autoSpaceDE/>
        <w:autoSpaceDN/>
        <w:bidi w:val="0"/>
        <w:adjustRightInd/>
        <w:snapToGrid/>
        <w:spacing w:line="540" w:lineRule="exact"/>
        <w:jc w:val="center"/>
        <w:textAlignment w:val="auto"/>
        <w:outlineLvl w:val="9"/>
        <w:rPr>
          <w:rFonts w:hint="eastAsia" w:ascii="黑体" w:hAnsi="黑体" w:eastAsia="黑体" w:cs="Times New Roman"/>
          <w:sz w:val="32"/>
          <w:szCs w:val="24"/>
        </w:rPr>
      </w:pPr>
      <w:r>
        <w:rPr>
          <w:rFonts w:hint="eastAsia" w:ascii="黑体" w:hAnsi="黑体" w:eastAsia="黑体" w:cs="Times New Roman"/>
          <w:sz w:val="32"/>
          <w:szCs w:val="24"/>
        </w:rPr>
        <w:t xml:space="preserve">第二部分 部门决算情况说明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宋体"/>
          <w:bCs/>
          <w:kern w:val="0"/>
          <w:sz w:val="32"/>
          <w:szCs w:val="32"/>
          <w:lang w:eastAsia="zh-CN"/>
        </w:rPr>
      </w:pPr>
      <w:r>
        <w:rPr>
          <w:rFonts w:hint="eastAsia" w:ascii="黑体" w:hAnsi="黑体" w:eastAsia="黑体" w:cs="宋体"/>
          <w:bCs/>
          <w:kern w:val="0"/>
          <w:sz w:val="32"/>
          <w:szCs w:val="32"/>
          <w:lang w:eastAsia="zh-CN"/>
        </w:rPr>
        <w:t xml:space="preserve">一、部门收支总体情况 </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outlineLvl w:val="9"/>
        <w:rPr>
          <w:rFonts w:hint="eastAsia" w:ascii="楷体_GB2312" w:hAnsi="Times New Roman" w:eastAsia="楷体_GB2312" w:cs="Times New Roman"/>
          <w:b/>
          <w:sz w:val="32"/>
          <w:szCs w:val="24"/>
        </w:rPr>
      </w:pPr>
      <w:r>
        <w:rPr>
          <w:rFonts w:hint="eastAsia" w:ascii="楷体_GB2312" w:hAnsi="Times New Roman" w:eastAsia="楷体_GB2312" w:cs="Times New Roman"/>
          <w:b/>
          <w:sz w:val="32"/>
          <w:szCs w:val="24"/>
        </w:rPr>
        <w:t xml:space="preserve">（一）部门收入支出决算总体情况说明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2018年度收入456.02万元,与上年相比，减少133万元，降低</w:t>
      </w:r>
      <w:r>
        <w:rPr>
          <w:rFonts w:hint="eastAsia" w:ascii="仿宋_GB2312" w:hAnsi="宋体" w:eastAsia="仿宋_GB2312"/>
          <w:kern w:val="0"/>
          <w:sz w:val="32"/>
          <w:szCs w:val="32"/>
          <w:lang w:val="en-US" w:eastAsia="zh-CN"/>
        </w:rPr>
        <w:t>22.58</w:t>
      </w:r>
      <w:r>
        <w:rPr>
          <w:rFonts w:hint="eastAsia" w:ascii="仿宋_GB2312" w:hAnsi="宋体" w:eastAsia="仿宋_GB2312"/>
          <w:kern w:val="0"/>
          <w:sz w:val="32"/>
          <w:szCs w:val="32"/>
        </w:rPr>
        <w:t>%，增减变化主要原因是：绿化、管道维护款减少。 支出552.05万元,与上年相比，减少126.38万元，降低</w:t>
      </w:r>
      <w:r>
        <w:rPr>
          <w:rFonts w:hint="eastAsia" w:ascii="仿宋_GB2312" w:hAnsi="宋体" w:eastAsia="仿宋_GB2312"/>
          <w:kern w:val="0"/>
          <w:sz w:val="32"/>
          <w:szCs w:val="32"/>
          <w:lang w:val="en-US" w:eastAsia="zh-CN"/>
        </w:rPr>
        <w:t>18.63</w:t>
      </w:r>
      <w:r>
        <w:rPr>
          <w:rFonts w:hint="eastAsia" w:ascii="仿宋_GB2312" w:hAnsi="宋体" w:eastAsia="仿宋_GB2312"/>
          <w:kern w:val="0"/>
          <w:sz w:val="32"/>
          <w:szCs w:val="32"/>
        </w:rPr>
        <w:t xml:space="preserve">%，增减变化主要原因是：绿化、管道维护款减少。 结余0元，与上年相比，减少96.03万元，降低100%。增减变化主要原因是：绿化、管道维护款减少。 </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outlineLvl w:val="9"/>
        <w:rPr>
          <w:rFonts w:hint="eastAsia" w:ascii="楷体_GB2312" w:hAnsi="Times New Roman" w:eastAsia="楷体_GB2312" w:cs="Times New Roman"/>
          <w:b/>
          <w:sz w:val="32"/>
          <w:szCs w:val="24"/>
        </w:rPr>
      </w:pPr>
      <w:r>
        <w:rPr>
          <w:rFonts w:hint="eastAsia" w:ascii="楷体_GB2312" w:hAnsi="Times New Roman" w:eastAsia="楷体_GB2312" w:cs="Times New Roman"/>
          <w:b/>
          <w:sz w:val="32"/>
          <w:szCs w:val="24"/>
        </w:rPr>
        <w:t xml:space="preserve">（二）部门收入总体情况说明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本年收入合计456.02万元，其中：财政拨款收入443.66万元，占97.29%；上级补助收入</w:t>
      </w:r>
      <w:r>
        <w:rPr>
          <w:rFonts w:hint="eastAsia" w:ascii="仿宋_GB2312" w:hAnsi="宋体" w:eastAsia="仿宋_GB2312"/>
          <w:kern w:val="0"/>
          <w:sz w:val="32"/>
          <w:szCs w:val="32"/>
          <w:lang w:val="en-US" w:eastAsia="zh-CN"/>
        </w:rPr>
        <w:t>0</w:t>
      </w:r>
      <w:r>
        <w:rPr>
          <w:rFonts w:hint="eastAsia" w:ascii="仿宋_GB2312" w:hAnsi="宋体" w:eastAsia="仿宋_GB2312"/>
          <w:kern w:val="0"/>
          <w:sz w:val="32"/>
          <w:szCs w:val="32"/>
        </w:rPr>
        <w:t>万元，占</w:t>
      </w:r>
      <w:r>
        <w:rPr>
          <w:rFonts w:hint="eastAsia" w:ascii="仿宋_GB2312" w:hAnsi="宋体" w:eastAsia="仿宋_GB2312"/>
          <w:kern w:val="0"/>
          <w:sz w:val="32"/>
          <w:szCs w:val="32"/>
          <w:lang w:val="en-US" w:eastAsia="zh-CN"/>
        </w:rPr>
        <w:t>0</w:t>
      </w:r>
      <w:r>
        <w:rPr>
          <w:rFonts w:hint="eastAsia" w:ascii="仿宋_GB2312" w:hAnsi="宋体" w:eastAsia="仿宋_GB2312"/>
          <w:kern w:val="0"/>
          <w:sz w:val="32"/>
          <w:szCs w:val="32"/>
        </w:rPr>
        <w:t>%；事业收入</w:t>
      </w:r>
      <w:r>
        <w:rPr>
          <w:rFonts w:hint="eastAsia" w:ascii="仿宋_GB2312" w:hAnsi="宋体" w:eastAsia="仿宋_GB2312"/>
          <w:kern w:val="0"/>
          <w:sz w:val="32"/>
          <w:szCs w:val="32"/>
          <w:lang w:val="en-US" w:eastAsia="zh-CN"/>
        </w:rPr>
        <w:t>0</w:t>
      </w:r>
      <w:r>
        <w:rPr>
          <w:rFonts w:hint="eastAsia" w:ascii="仿宋_GB2312" w:hAnsi="宋体" w:eastAsia="仿宋_GB2312"/>
          <w:kern w:val="0"/>
          <w:sz w:val="32"/>
          <w:szCs w:val="32"/>
        </w:rPr>
        <w:t>万元，占</w:t>
      </w:r>
      <w:r>
        <w:rPr>
          <w:rFonts w:hint="eastAsia" w:ascii="仿宋_GB2312" w:hAnsi="宋体" w:eastAsia="仿宋_GB2312"/>
          <w:kern w:val="0"/>
          <w:sz w:val="32"/>
          <w:szCs w:val="32"/>
          <w:lang w:val="en-US" w:eastAsia="zh-CN"/>
        </w:rPr>
        <w:t>0</w:t>
      </w:r>
      <w:r>
        <w:rPr>
          <w:rFonts w:hint="eastAsia" w:ascii="仿宋_GB2312" w:hAnsi="宋体" w:eastAsia="仿宋_GB2312"/>
          <w:kern w:val="0"/>
          <w:sz w:val="32"/>
          <w:szCs w:val="32"/>
        </w:rPr>
        <w:t>%；经营收入</w:t>
      </w:r>
      <w:r>
        <w:rPr>
          <w:rFonts w:hint="eastAsia" w:ascii="仿宋_GB2312" w:hAnsi="宋体" w:eastAsia="仿宋_GB2312"/>
          <w:kern w:val="0"/>
          <w:sz w:val="32"/>
          <w:szCs w:val="32"/>
          <w:lang w:val="en-US" w:eastAsia="zh-CN"/>
        </w:rPr>
        <w:t>0</w:t>
      </w:r>
      <w:r>
        <w:rPr>
          <w:rFonts w:hint="eastAsia" w:ascii="仿宋_GB2312" w:hAnsi="宋体" w:eastAsia="仿宋_GB2312"/>
          <w:kern w:val="0"/>
          <w:sz w:val="32"/>
          <w:szCs w:val="32"/>
        </w:rPr>
        <w:t>万元，占</w:t>
      </w:r>
      <w:r>
        <w:rPr>
          <w:rFonts w:hint="eastAsia" w:ascii="仿宋_GB2312" w:hAnsi="宋体" w:eastAsia="仿宋_GB2312"/>
          <w:kern w:val="0"/>
          <w:sz w:val="32"/>
          <w:szCs w:val="32"/>
          <w:lang w:val="en-US" w:eastAsia="zh-CN"/>
        </w:rPr>
        <w:t>0</w:t>
      </w:r>
      <w:r>
        <w:rPr>
          <w:rFonts w:hint="eastAsia" w:ascii="仿宋_GB2312" w:hAnsi="宋体" w:eastAsia="仿宋_GB2312"/>
          <w:kern w:val="0"/>
          <w:sz w:val="32"/>
          <w:szCs w:val="32"/>
        </w:rPr>
        <w:t>%；附属单位缴款</w:t>
      </w:r>
      <w:r>
        <w:rPr>
          <w:rFonts w:hint="eastAsia" w:ascii="仿宋_GB2312" w:hAnsi="宋体" w:eastAsia="仿宋_GB2312"/>
          <w:kern w:val="0"/>
          <w:sz w:val="32"/>
          <w:szCs w:val="32"/>
          <w:lang w:val="en-US" w:eastAsia="zh-CN"/>
        </w:rPr>
        <w:t>0</w:t>
      </w:r>
      <w:r>
        <w:rPr>
          <w:rFonts w:hint="eastAsia" w:ascii="仿宋_GB2312" w:hAnsi="宋体" w:eastAsia="仿宋_GB2312"/>
          <w:kern w:val="0"/>
          <w:sz w:val="32"/>
          <w:szCs w:val="32"/>
        </w:rPr>
        <w:t>万元，占</w:t>
      </w:r>
      <w:r>
        <w:rPr>
          <w:rFonts w:hint="eastAsia" w:ascii="仿宋_GB2312" w:hAnsi="宋体" w:eastAsia="仿宋_GB2312"/>
          <w:kern w:val="0"/>
          <w:sz w:val="32"/>
          <w:szCs w:val="32"/>
          <w:lang w:val="en-US" w:eastAsia="zh-CN"/>
        </w:rPr>
        <w:t>0</w:t>
      </w:r>
      <w:r>
        <w:rPr>
          <w:rFonts w:hint="eastAsia" w:ascii="仿宋_GB2312" w:hAnsi="宋体" w:eastAsia="仿宋_GB2312"/>
          <w:kern w:val="0"/>
          <w:sz w:val="32"/>
          <w:szCs w:val="32"/>
        </w:rPr>
        <w:t>%；其他收入12.36万元，占2.71%。</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与年初预算数相比情况：本年收入年初预算数304.01万元，决算数443.66万元，预决算差异率45.94%，差异主要原因</w:t>
      </w:r>
      <w:r>
        <w:rPr>
          <w:rFonts w:hint="eastAsia" w:ascii="仿宋_GB2312" w:hAnsi="宋体" w:eastAsia="仿宋_GB2312"/>
          <w:kern w:val="0"/>
          <w:sz w:val="32"/>
          <w:szCs w:val="32"/>
          <w:lang w:eastAsia="zh-CN"/>
        </w:rPr>
        <w:t>人员工资增加、园区水费增加</w:t>
      </w:r>
      <w:r>
        <w:rPr>
          <w:rFonts w:hint="eastAsia" w:ascii="仿宋_GB2312" w:hAnsi="宋体" w:eastAsia="仿宋_GB2312"/>
          <w:kern w:val="0"/>
          <w:sz w:val="32"/>
          <w:szCs w:val="32"/>
        </w:rPr>
        <w:t xml:space="preserve">。 </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outlineLvl w:val="9"/>
        <w:rPr>
          <w:rFonts w:hint="eastAsia" w:ascii="楷体_GB2312" w:hAnsi="Times New Roman" w:eastAsia="楷体_GB2312" w:cs="Times New Roman"/>
          <w:b/>
          <w:sz w:val="32"/>
          <w:szCs w:val="24"/>
        </w:rPr>
      </w:pPr>
      <w:r>
        <w:rPr>
          <w:rFonts w:hint="eastAsia" w:ascii="楷体_GB2312" w:hAnsi="Times New Roman" w:eastAsia="楷体_GB2312" w:cs="Times New Roman"/>
          <w:b/>
          <w:sz w:val="32"/>
          <w:szCs w:val="24"/>
        </w:rPr>
        <w:t xml:space="preserve">（三）部门支出总体情况说明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lang w:eastAsia="zh-CN"/>
        </w:rPr>
      </w:pPr>
      <w:r>
        <w:rPr>
          <w:rFonts w:hint="eastAsia" w:ascii="仿宋_GB2312" w:hAnsi="宋体" w:eastAsia="仿宋_GB2312"/>
          <w:kern w:val="0"/>
          <w:sz w:val="32"/>
          <w:szCs w:val="32"/>
        </w:rPr>
        <w:t>本年支出合计552.05万元，其中：基本支出535.44万元，占97%；项目支出16.61万元，占3%</w:t>
      </w:r>
      <w:r>
        <w:rPr>
          <w:rFonts w:hint="eastAsia" w:ascii="仿宋_GB2312" w:hAnsi="宋体" w:eastAsia="仿宋_GB2312"/>
          <w:kern w:val="0"/>
          <w:sz w:val="32"/>
          <w:szCs w:val="32"/>
          <w:lang w:eastAsia="zh-CN"/>
        </w:rPr>
        <w:t>，</w:t>
      </w:r>
      <w:r>
        <w:rPr>
          <w:rFonts w:hint="eastAsia" w:ascii="仿宋_GB2312" w:hAnsi="宋体" w:eastAsia="仿宋_GB2312"/>
          <w:kern w:val="0"/>
          <w:sz w:val="32"/>
          <w:szCs w:val="32"/>
        </w:rPr>
        <w:t>上缴上级支出</w:t>
      </w:r>
      <w:r>
        <w:rPr>
          <w:rFonts w:hint="eastAsia" w:ascii="仿宋_GB2312" w:hAnsi="宋体" w:eastAsia="仿宋_GB2312"/>
          <w:kern w:val="0"/>
          <w:sz w:val="32"/>
          <w:szCs w:val="32"/>
          <w:lang w:val="en-US" w:eastAsia="zh-CN"/>
        </w:rPr>
        <w:t>0</w:t>
      </w:r>
      <w:r>
        <w:rPr>
          <w:rFonts w:hint="eastAsia" w:ascii="仿宋_GB2312" w:hAnsi="宋体" w:eastAsia="仿宋_GB2312"/>
          <w:kern w:val="0"/>
          <w:sz w:val="32"/>
          <w:szCs w:val="32"/>
        </w:rPr>
        <w:t>万元，占</w:t>
      </w:r>
      <w:r>
        <w:rPr>
          <w:rFonts w:hint="eastAsia" w:ascii="仿宋_GB2312" w:hAnsi="宋体" w:eastAsia="仿宋_GB2312"/>
          <w:kern w:val="0"/>
          <w:sz w:val="32"/>
          <w:szCs w:val="32"/>
          <w:lang w:val="en-US" w:eastAsia="zh-CN"/>
        </w:rPr>
        <w:t>0</w:t>
      </w:r>
      <w:r>
        <w:rPr>
          <w:rFonts w:hint="eastAsia" w:ascii="仿宋_GB2312" w:hAnsi="宋体" w:eastAsia="仿宋_GB2312"/>
          <w:kern w:val="0"/>
          <w:sz w:val="32"/>
          <w:szCs w:val="32"/>
        </w:rPr>
        <w:t>%；经营支出</w:t>
      </w:r>
      <w:r>
        <w:rPr>
          <w:rFonts w:hint="eastAsia" w:ascii="仿宋_GB2312" w:hAnsi="宋体" w:eastAsia="仿宋_GB2312"/>
          <w:kern w:val="0"/>
          <w:sz w:val="32"/>
          <w:szCs w:val="32"/>
          <w:lang w:val="en-US" w:eastAsia="zh-CN"/>
        </w:rPr>
        <w:t>0</w:t>
      </w:r>
      <w:r>
        <w:rPr>
          <w:rFonts w:hint="eastAsia" w:ascii="仿宋_GB2312" w:hAnsi="宋体" w:eastAsia="仿宋_GB2312"/>
          <w:kern w:val="0"/>
          <w:sz w:val="32"/>
          <w:szCs w:val="32"/>
        </w:rPr>
        <w:t>万元，占</w:t>
      </w:r>
      <w:r>
        <w:rPr>
          <w:rFonts w:hint="eastAsia" w:ascii="仿宋_GB2312" w:hAnsi="宋体" w:eastAsia="仿宋_GB2312"/>
          <w:kern w:val="0"/>
          <w:sz w:val="32"/>
          <w:szCs w:val="32"/>
          <w:lang w:val="en-US" w:eastAsia="zh-CN"/>
        </w:rPr>
        <w:t>0</w:t>
      </w:r>
      <w:r>
        <w:rPr>
          <w:rFonts w:hint="eastAsia" w:ascii="仿宋_GB2312" w:hAnsi="宋体" w:eastAsia="仿宋_GB2312"/>
          <w:kern w:val="0"/>
          <w:sz w:val="32"/>
          <w:szCs w:val="32"/>
        </w:rPr>
        <w:t>%；对附属单位补助支出</w:t>
      </w:r>
      <w:r>
        <w:rPr>
          <w:rFonts w:hint="eastAsia" w:ascii="仿宋_GB2312" w:hAnsi="宋体" w:eastAsia="仿宋_GB2312"/>
          <w:kern w:val="0"/>
          <w:sz w:val="32"/>
          <w:szCs w:val="32"/>
          <w:lang w:val="en-US" w:eastAsia="zh-CN"/>
        </w:rPr>
        <w:t>0</w:t>
      </w:r>
      <w:r>
        <w:rPr>
          <w:rFonts w:hint="eastAsia" w:ascii="仿宋_GB2312" w:hAnsi="宋体" w:eastAsia="仿宋_GB2312"/>
          <w:kern w:val="0"/>
          <w:sz w:val="32"/>
          <w:szCs w:val="32"/>
        </w:rPr>
        <w:t>万元，占</w:t>
      </w:r>
      <w:r>
        <w:rPr>
          <w:rFonts w:hint="eastAsia" w:ascii="仿宋_GB2312" w:hAnsi="宋体" w:eastAsia="仿宋_GB2312"/>
          <w:kern w:val="0"/>
          <w:sz w:val="32"/>
          <w:szCs w:val="32"/>
          <w:lang w:val="en-US" w:eastAsia="zh-CN"/>
        </w:rPr>
        <w:t>0</w:t>
      </w:r>
      <w:r>
        <w:rPr>
          <w:rFonts w:hint="eastAsia" w:ascii="仿宋_GB2312" w:hAnsi="宋体" w:eastAsia="仿宋_GB2312"/>
          <w:kern w:val="0"/>
          <w:sz w:val="32"/>
          <w:szCs w:val="32"/>
        </w:rPr>
        <w:t>%</w:t>
      </w:r>
      <w:r>
        <w:rPr>
          <w:rFonts w:hint="eastAsia" w:ascii="仿宋_GB2312" w:hAnsi="宋体" w:eastAsia="仿宋_GB2312"/>
          <w:kern w:val="0"/>
          <w:sz w:val="32"/>
          <w:szCs w:val="32"/>
          <w:lang w:eastAsia="zh-CN"/>
        </w:rPr>
        <w:t>。</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与年初预算数相比情况：本年支出年初预算数304.01万元，决算数552.05万元，预决算差异率81.59%，差异主要原因</w:t>
      </w:r>
      <w:r>
        <w:rPr>
          <w:rFonts w:hint="eastAsia" w:ascii="仿宋_GB2312" w:hAnsi="宋体" w:eastAsia="仿宋_GB2312"/>
          <w:kern w:val="0"/>
          <w:sz w:val="32"/>
          <w:szCs w:val="32"/>
          <w:lang w:eastAsia="zh-CN"/>
        </w:rPr>
        <w:t>人员工资增加、园区水费增加</w:t>
      </w:r>
      <w:r>
        <w:rPr>
          <w:rFonts w:hint="eastAsia" w:ascii="仿宋_GB2312" w:hAnsi="宋体" w:eastAsia="仿宋_GB2312"/>
          <w:kern w:val="0"/>
          <w:sz w:val="32"/>
          <w:szCs w:val="32"/>
        </w:rPr>
        <w:t>。</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黑体" w:hAnsi="黑体" w:eastAsia="黑体" w:cs="Times New Roman"/>
          <w:kern w:val="0"/>
          <w:sz w:val="32"/>
          <w:szCs w:val="24"/>
        </w:rPr>
      </w:pPr>
      <w:r>
        <w:rPr>
          <w:rFonts w:hint="eastAsia" w:ascii="黑体" w:hAnsi="黑体" w:eastAsia="黑体" w:cs="Times New Roman"/>
          <w:kern w:val="0"/>
          <w:sz w:val="32"/>
          <w:szCs w:val="24"/>
        </w:rPr>
        <w:t xml:space="preserve">二、部门财政拨款收支情况 </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outlineLvl w:val="9"/>
        <w:rPr>
          <w:rFonts w:hint="eastAsia" w:ascii="楷体_GB2312" w:hAnsi="Times New Roman" w:eastAsia="楷体_GB2312" w:cs="Times New Roman"/>
          <w:b/>
          <w:sz w:val="32"/>
          <w:szCs w:val="24"/>
        </w:rPr>
      </w:pPr>
      <w:r>
        <w:rPr>
          <w:rFonts w:hint="eastAsia" w:ascii="楷体_GB2312" w:hAnsi="Times New Roman" w:eastAsia="楷体_GB2312" w:cs="Times New Roman"/>
          <w:b/>
          <w:sz w:val="32"/>
          <w:szCs w:val="24"/>
        </w:rPr>
        <w:t xml:space="preserve">（一）财政拨款收支总体情况说明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2018年度财政拨款收入443.66万元，与上年相比，减少1319.69万元，降低74.84%。增减变化的主要原因是：绿化、管道维护款减少。财政拨款支出443.66万元，与上年相比，减少1319</w:t>
      </w:r>
      <w:r>
        <w:rPr>
          <w:rFonts w:hint="eastAsia" w:ascii="仿宋_GB2312" w:hAnsi="宋体" w:eastAsia="仿宋_GB2312"/>
          <w:kern w:val="0"/>
          <w:sz w:val="32"/>
          <w:szCs w:val="32"/>
          <w:lang w:val="en-US" w:eastAsia="zh-CN"/>
        </w:rPr>
        <w:t>.</w:t>
      </w:r>
      <w:r>
        <w:rPr>
          <w:rFonts w:hint="eastAsia" w:ascii="仿宋_GB2312" w:hAnsi="宋体" w:eastAsia="仿宋_GB2312"/>
          <w:kern w:val="0"/>
          <w:sz w:val="32"/>
          <w:szCs w:val="32"/>
        </w:rPr>
        <w:t>6</w:t>
      </w:r>
      <w:r>
        <w:rPr>
          <w:rFonts w:hint="eastAsia" w:ascii="仿宋_GB2312" w:hAnsi="宋体" w:eastAsia="仿宋_GB2312"/>
          <w:kern w:val="0"/>
          <w:sz w:val="32"/>
          <w:szCs w:val="32"/>
          <w:lang w:val="en-US" w:eastAsia="zh-CN"/>
        </w:rPr>
        <w:t>9万</w:t>
      </w:r>
      <w:r>
        <w:rPr>
          <w:rFonts w:hint="eastAsia" w:ascii="仿宋_GB2312" w:hAnsi="宋体" w:eastAsia="仿宋_GB2312"/>
          <w:kern w:val="0"/>
          <w:sz w:val="32"/>
          <w:szCs w:val="32"/>
        </w:rPr>
        <w:t>元，降低74.84%。增减变化的主要原因是：绿化、管道维护款减少。其中：基本支出427.05万元，项目支出16.61万元。财政拨款结转结余0</w:t>
      </w:r>
      <w:r>
        <w:rPr>
          <w:rFonts w:hint="eastAsia" w:ascii="仿宋_GB2312" w:hAnsi="宋体" w:eastAsia="仿宋_GB2312"/>
          <w:kern w:val="0"/>
          <w:sz w:val="32"/>
          <w:szCs w:val="32"/>
          <w:lang w:eastAsia="zh-CN"/>
        </w:rPr>
        <w:t>万</w:t>
      </w:r>
      <w:r>
        <w:rPr>
          <w:rFonts w:hint="eastAsia" w:ascii="仿宋_GB2312" w:hAnsi="宋体" w:eastAsia="仿宋_GB2312"/>
          <w:kern w:val="0"/>
          <w:sz w:val="32"/>
          <w:szCs w:val="32"/>
        </w:rPr>
        <w:t>元，与上年相比，减少0</w:t>
      </w:r>
      <w:r>
        <w:rPr>
          <w:rFonts w:hint="eastAsia" w:ascii="仿宋_GB2312" w:hAnsi="宋体" w:eastAsia="仿宋_GB2312"/>
          <w:kern w:val="0"/>
          <w:sz w:val="32"/>
          <w:szCs w:val="32"/>
          <w:lang w:eastAsia="zh-CN"/>
        </w:rPr>
        <w:t>万</w:t>
      </w:r>
      <w:r>
        <w:rPr>
          <w:rFonts w:hint="eastAsia" w:ascii="仿宋_GB2312" w:hAnsi="宋体" w:eastAsia="仿宋_GB2312"/>
          <w:kern w:val="0"/>
          <w:sz w:val="32"/>
          <w:szCs w:val="32"/>
        </w:rPr>
        <w:t>元，降低0</w:t>
      </w:r>
      <w:r>
        <w:rPr>
          <w:rFonts w:hint="eastAsia" w:ascii="仿宋_GB2312" w:hAnsi="宋体" w:eastAsia="仿宋_GB2312"/>
          <w:kern w:val="0"/>
          <w:sz w:val="32"/>
          <w:szCs w:val="32"/>
          <w:lang w:val="en-US" w:eastAsia="zh-CN"/>
        </w:rPr>
        <w:t>%，</w:t>
      </w:r>
      <w:r>
        <w:rPr>
          <w:rFonts w:hint="eastAsia" w:ascii="仿宋_GB2312" w:hAnsi="宋体" w:eastAsia="仿宋_GB2312"/>
          <w:kern w:val="0"/>
          <w:sz w:val="32"/>
          <w:szCs w:val="32"/>
        </w:rPr>
        <w:t>增减变化的主要原因是：</w:t>
      </w:r>
      <w:r>
        <w:rPr>
          <w:rFonts w:hint="eastAsia" w:ascii="仿宋_GB2312" w:hAnsi="宋体" w:eastAsia="仿宋_GB2312"/>
          <w:kern w:val="0"/>
          <w:sz w:val="32"/>
          <w:szCs w:val="32"/>
          <w:lang w:eastAsia="zh-CN"/>
        </w:rPr>
        <w:t>无变化</w:t>
      </w:r>
      <w:r>
        <w:rPr>
          <w:rFonts w:hint="eastAsia" w:ascii="仿宋_GB2312" w:hAnsi="宋体" w:eastAsia="仿宋_GB2312"/>
          <w:kern w:val="0"/>
          <w:sz w:val="32"/>
          <w:szCs w:val="32"/>
        </w:rPr>
        <w:t>。</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与年初预算数相比情况：财政拨款收入年初预算数304.01万元，决算数443.66万元，预决算差异率45.94%，差异主要原因</w:t>
      </w:r>
      <w:r>
        <w:rPr>
          <w:rFonts w:hint="eastAsia" w:ascii="仿宋_GB2312" w:hAnsi="宋体" w:eastAsia="仿宋_GB2312"/>
          <w:kern w:val="0"/>
          <w:sz w:val="32"/>
          <w:szCs w:val="32"/>
          <w:lang w:eastAsia="zh-CN"/>
        </w:rPr>
        <w:t>人员工资增加、园区水费增加</w:t>
      </w:r>
      <w:r>
        <w:rPr>
          <w:rFonts w:hint="eastAsia" w:ascii="仿宋_GB2312" w:hAnsi="宋体" w:eastAsia="仿宋_GB2312"/>
          <w:kern w:val="0"/>
          <w:sz w:val="32"/>
          <w:szCs w:val="32"/>
        </w:rPr>
        <w:t>。财政拨款支出年初预算数304.01万元，决算数443.66万元，预决算差异率45.94%，差异主要原因</w:t>
      </w:r>
      <w:r>
        <w:rPr>
          <w:rFonts w:hint="eastAsia" w:ascii="仿宋_GB2312" w:hAnsi="宋体" w:eastAsia="仿宋_GB2312"/>
          <w:kern w:val="0"/>
          <w:sz w:val="32"/>
          <w:szCs w:val="32"/>
          <w:lang w:eastAsia="zh-CN"/>
        </w:rPr>
        <w:t>人员工资增加、园区水费增加</w:t>
      </w:r>
      <w:r>
        <w:rPr>
          <w:rFonts w:hint="eastAsia" w:ascii="仿宋_GB2312" w:hAnsi="宋体" w:eastAsia="仿宋_GB2312"/>
          <w:kern w:val="0"/>
          <w:sz w:val="32"/>
          <w:szCs w:val="32"/>
        </w:rPr>
        <w:t xml:space="preserve">。 </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outlineLvl w:val="9"/>
        <w:rPr>
          <w:rFonts w:hint="eastAsia" w:ascii="楷体_GB2312" w:hAnsi="Times New Roman" w:eastAsia="楷体_GB2312" w:cs="Times New Roman"/>
          <w:b/>
          <w:sz w:val="32"/>
          <w:szCs w:val="24"/>
        </w:rPr>
      </w:pPr>
      <w:r>
        <w:rPr>
          <w:rFonts w:hint="eastAsia" w:ascii="楷体_GB2312" w:hAnsi="Times New Roman" w:eastAsia="楷体_GB2312" w:cs="Times New Roman"/>
          <w:b/>
          <w:sz w:val="32"/>
          <w:szCs w:val="24"/>
        </w:rPr>
        <w:t xml:space="preserve">（二）一般公共预算收支决算情况说明 </w:t>
      </w:r>
    </w:p>
    <w:p>
      <w:pPr>
        <w:widowControl w:val="0"/>
        <w:adjustRightInd/>
        <w:snapToGrid/>
        <w:spacing w:after="0" w:line="540" w:lineRule="exact"/>
        <w:ind w:firstLine="640" w:firstLineChars="200"/>
        <w:jc w:val="both"/>
        <w:rPr>
          <w:rFonts w:hint="eastAsia" w:ascii="仿宋_GB2312" w:hAnsi="Times New Roman" w:eastAsia="仿宋_GB2312" w:cs="Times New Roman"/>
          <w:kern w:val="2"/>
          <w:sz w:val="32"/>
          <w:szCs w:val="24"/>
          <w:lang w:val="en-US" w:eastAsia="zh-CN"/>
        </w:rPr>
      </w:pPr>
      <w:r>
        <w:rPr>
          <w:rFonts w:hint="eastAsia" w:ascii="仿宋_GB2312" w:hAnsi="宋体" w:eastAsia="仿宋_GB2312"/>
          <w:kern w:val="0"/>
          <w:sz w:val="32"/>
          <w:szCs w:val="32"/>
        </w:rPr>
        <w:t>2018年度一般公共预算财政拨款收入443.66万元。与上年相比，减少126.6万元，降低74.06%。增减变化的主要原因是：绿化、管道维护款减少。一般公共预算财政拨款支出443.66万元。与上年相比，减少126.6万元，降低74.06%。增减变化的主要原因是：绿化、管道维护款减少。其中：按功能分类科目，201 一般公共服务支出391</w:t>
      </w:r>
      <w:r>
        <w:rPr>
          <w:rFonts w:hint="eastAsia" w:ascii="仿宋_GB2312" w:hAnsi="宋体" w:eastAsia="仿宋_GB2312"/>
          <w:kern w:val="0"/>
          <w:sz w:val="32"/>
          <w:szCs w:val="32"/>
          <w:lang w:val="en-US" w:eastAsia="zh-CN"/>
        </w:rPr>
        <w:t>.</w:t>
      </w:r>
      <w:r>
        <w:rPr>
          <w:rFonts w:hint="eastAsia" w:ascii="仿宋_GB2312" w:hAnsi="宋体" w:eastAsia="仿宋_GB2312"/>
          <w:kern w:val="0"/>
          <w:sz w:val="32"/>
          <w:szCs w:val="32"/>
        </w:rPr>
        <w:t>0</w:t>
      </w:r>
      <w:r>
        <w:rPr>
          <w:rFonts w:hint="eastAsia" w:ascii="仿宋_GB2312" w:hAnsi="宋体" w:eastAsia="仿宋_GB2312"/>
          <w:kern w:val="0"/>
          <w:sz w:val="32"/>
          <w:szCs w:val="32"/>
          <w:lang w:val="en-US" w:eastAsia="zh-CN"/>
        </w:rPr>
        <w:t>8万</w:t>
      </w:r>
      <w:r>
        <w:rPr>
          <w:rFonts w:hint="eastAsia" w:ascii="仿宋_GB2312" w:hAnsi="宋体" w:eastAsia="仿宋_GB2312"/>
          <w:kern w:val="0"/>
          <w:sz w:val="32"/>
          <w:szCs w:val="32"/>
        </w:rPr>
        <w:t>元，208社会保障和就业支出19</w:t>
      </w:r>
      <w:r>
        <w:rPr>
          <w:rFonts w:hint="eastAsia" w:ascii="仿宋_GB2312" w:hAnsi="宋体" w:eastAsia="仿宋_GB2312"/>
          <w:kern w:val="0"/>
          <w:sz w:val="32"/>
          <w:szCs w:val="32"/>
          <w:lang w:val="en-US" w:eastAsia="zh-CN"/>
        </w:rPr>
        <w:t>.</w:t>
      </w:r>
      <w:r>
        <w:rPr>
          <w:rFonts w:hint="eastAsia" w:ascii="仿宋_GB2312" w:hAnsi="宋体" w:eastAsia="仿宋_GB2312"/>
          <w:kern w:val="0"/>
          <w:sz w:val="32"/>
          <w:szCs w:val="32"/>
        </w:rPr>
        <w:t>9</w:t>
      </w:r>
      <w:r>
        <w:rPr>
          <w:rFonts w:hint="eastAsia" w:ascii="仿宋_GB2312" w:hAnsi="宋体" w:eastAsia="仿宋_GB2312"/>
          <w:kern w:val="0"/>
          <w:sz w:val="32"/>
          <w:szCs w:val="32"/>
          <w:lang w:val="en-US" w:eastAsia="zh-CN"/>
        </w:rPr>
        <w:t>9万</w:t>
      </w:r>
      <w:r>
        <w:rPr>
          <w:rFonts w:hint="eastAsia" w:ascii="仿宋_GB2312" w:hAnsi="宋体" w:eastAsia="仿宋_GB2312"/>
          <w:kern w:val="0"/>
          <w:sz w:val="32"/>
          <w:szCs w:val="32"/>
        </w:rPr>
        <w:t>元。210</w:t>
      </w:r>
      <w:r>
        <w:rPr>
          <w:rFonts w:hint="eastAsia" w:ascii="仿宋_GB2312" w:hAnsi="Times New Roman" w:eastAsia="仿宋_GB2312" w:cs="Times New Roman"/>
          <w:kern w:val="2"/>
          <w:sz w:val="32"/>
          <w:szCs w:val="24"/>
          <w:lang w:val="en-US" w:eastAsia="zh-CN"/>
        </w:rPr>
        <w:t>医疗卫生与计划生育支出</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lang w:val="en-US" w:eastAsia="zh-CN"/>
        </w:rPr>
        <w:t>15.</w:t>
      </w:r>
      <w:r>
        <w:rPr>
          <w:rFonts w:hint="eastAsia" w:ascii="仿宋_GB2312" w:hAnsi="宋体" w:eastAsia="仿宋_GB2312"/>
          <w:kern w:val="0"/>
          <w:sz w:val="32"/>
          <w:szCs w:val="32"/>
        </w:rPr>
        <w:t>99</w:t>
      </w:r>
      <w:r>
        <w:rPr>
          <w:rFonts w:hint="eastAsia" w:ascii="仿宋_GB2312" w:hAnsi="宋体" w:eastAsia="仿宋_GB2312"/>
          <w:kern w:val="0"/>
          <w:sz w:val="32"/>
          <w:szCs w:val="32"/>
          <w:lang w:eastAsia="zh-CN"/>
        </w:rPr>
        <w:t>万</w:t>
      </w:r>
      <w:r>
        <w:rPr>
          <w:rFonts w:hint="eastAsia" w:ascii="仿宋_GB2312" w:hAnsi="宋体" w:eastAsia="仿宋_GB2312"/>
          <w:kern w:val="0"/>
          <w:sz w:val="32"/>
          <w:szCs w:val="32"/>
        </w:rPr>
        <w:t>元，231债务还本支出16</w:t>
      </w:r>
      <w:r>
        <w:rPr>
          <w:rFonts w:hint="eastAsia" w:ascii="仿宋_GB2312" w:hAnsi="宋体" w:eastAsia="仿宋_GB2312"/>
          <w:kern w:val="0"/>
          <w:sz w:val="32"/>
          <w:szCs w:val="32"/>
          <w:lang w:val="en-US" w:eastAsia="zh-CN"/>
        </w:rPr>
        <w:t>.</w:t>
      </w:r>
      <w:r>
        <w:rPr>
          <w:rFonts w:hint="eastAsia" w:ascii="仿宋_GB2312" w:hAnsi="宋体" w:eastAsia="仿宋_GB2312"/>
          <w:kern w:val="0"/>
          <w:sz w:val="32"/>
          <w:szCs w:val="32"/>
        </w:rPr>
        <w:t>61</w:t>
      </w:r>
      <w:r>
        <w:rPr>
          <w:rFonts w:hint="eastAsia" w:ascii="仿宋_GB2312" w:hAnsi="宋体" w:eastAsia="仿宋_GB2312"/>
          <w:kern w:val="0"/>
          <w:sz w:val="32"/>
          <w:szCs w:val="32"/>
          <w:lang w:eastAsia="zh-CN"/>
        </w:rPr>
        <w:t>万</w:t>
      </w:r>
      <w:r>
        <w:rPr>
          <w:rFonts w:hint="eastAsia" w:ascii="仿宋_GB2312" w:hAnsi="宋体" w:eastAsia="仿宋_GB2312"/>
          <w:kern w:val="0"/>
          <w:sz w:val="32"/>
          <w:szCs w:val="32"/>
        </w:rPr>
        <w:t>元。按经济分类科目，工资福利支出215.05</w:t>
      </w:r>
      <w:r>
        <w:rPr>
          <w:rFonts w:hint="eastAsia" w:ascii="仿宋_GB2312" w:hAnsi="宋体" w:eastAsia="仿宋_GB2312"/>
          <w:kern w:val="0"/>
          <w:sz w:val="32"/>
          <w:szCs w:val="32"/>
          <w:lang w:val="en-US" w:eastAsia="zh-CN"/>
        </w:rPr>
        <w:t>万</w:t>
      </w:r>
      <w:r>
        <w:rPr>
          <w:rFonts w:hint="eastAsia" w:ascii="仿宋_GB2312" w:hAnsi="宋体" w:eastAsia="仿宋_GB2312"/>
          <w:kern w:val="0"/>
          <w:sz w:val="32"/>
          <w:szCs w:val="32"/>
        </w:rPr>
        <w:t>元，商品服务支出208</w:t>
      </w:r>
      <w:r>
        <w:rPr>
          <w:rFonts w:hint="eastAsia" w:ascii="仿宋_GB2312" w:hAnsi="宋体" w:eastAsia="仿宋_GB2312"/>
          <w:kern w:val="0"/>
          <w:sz w:val="32"/>
          <w:szCs w:val="32"/>
          <w:lang w:val="en-US" w:eastAsia="zh-CN"/>
        </w:rPr>
        <w:t>.</w:t>
      </w:r>
      <w:r>
        <w:rPr>
          <w:rFonts w:hint="eastAsia" w:ascii="仿宋_GB2312" w:hAnsi="宋体" w:eastAsia="仿宋_GB2312"/>
          <w:kern w:val="0"/>
          <w:sz w:val="32"/>
          <w:szCs w:val="32"/>
        </w:rPr>
        <w:t>97</w:t>
      </w:r>
      <w:r>
        <w:rPr>
          <w:rFonts w:hint="eastAsia" w:ascii="仿宋_GB2312" w:hAnsi="宋体" w:eastAsia="仿宋_GB2312"/>
          <w:kern w:val="0"/>
          <w:sz w:val="32"/>
          <w:szCs w:val="32"/>
          <w:lang w:eastAsia="zh-CN"/>
        </w:rPr>
        <w:t>万</w:t>
      </w:r>
      <w:r>
        <w:rPr>
          <w:rFonts w:hint="eastAsia" w:ascii="仿宋_GB2312" w:hAnsi="宋体" w:eastAsia="仿宋_GB2312"/>
          <w:kern w:val="0"/>
          <w:sz w:val="32"/>
          <w:szCs w:val="32"/>
        </w:rPr>
        <w:t>元，对个人和家庭的补助1</w:t>
      </w:r>
      <w:r>
        <w:rPr>
          <w:rFonts w:hint="eastAsia" w:ascii="仿宋_GB2312" w:hAnsi="宋体" w:eastAsia="仿宋_GB2312"/>
          <w:kern w:val="0"/>
          <w:sz w:val="32"/>
          <w:szCs w:val="32"/>
          <w:lang w:val="en-US" w:eastAsia="zh-CN"/>
        </w:rPr>
        <w:t>.</w:t>
      </w:r>
      <w:r>
        <w:rPr>
          <w:rFonts w:hint="eastAsia" w:ascii="仿宋_GB2312" w:hAnsi="宋体" w:eastAsia="仿宋_GB2312"/>
          <w:kern w:val="0"/>
          <w:sz w:val="32"/>
          <w:szCs w:val="32"/>
        </w:rPr>
        <w:t>2</w:t>
      </w:r>
      <w:r>
        <w:rPr>
          <w:rFonts w:hint="eastAsia" w:ascii="仿宋_GB2312" w:hAnsi="宋体" w:eastAsia="仿宋_GB2312"/>
          <w:kern w:val="0"/>
          <w:sz w:val="32"/>
          <w:szCs w:val="32"/>
          <w:lang w:val="en-US" w:eastAsia="zh-CN"/>
        </w:rPr>
        <w:t>9万</w:t>
      </w:r>
      <w:r>
        <w:rPr>
          <w:rFonts w:hint="eastAsia" w:ascii="仿宋_GB2312" w:hAnsi="宋体" w:eastAsia="仿宋_GB2312"/>
          <w:kern w:val="0"/>
          <w:sz w:val="32"/>
          <w:szCs w:val="32"/>
        </w:rPr>
        <w:t>元，其他资本性支出1</w:t>
      </w:r>
      <w:r>
        <w:rPr>
          <w:rFonts w:hint="eastAsia" w:ascii="仿宋_GB2312" w:hAnsi="宋体" w:eastAsia="仿宋_GB2312"/>
          <w:kern w:val="0"/>
          <w:sz w:val="32"/>
          <w:szCs w:val="32"/>
          <w:lang w:val="en-US" w:eastAsia="zh-CN"/>
        </w:rPr>
        <w:t>.</w:t>
      </w:r>
      <w:r>
        <w:rPr>
          <w:rFonts w:hint="eastAsia" w:ascii="仿宋_GB2312" w:hAnsi="宋体" w:eastAsia="仿宋_GB2312"/>
          <w:kern w:val="0"/>
          <w:sz w:val="32"/>
          <w:szCs w:val="32"/>
        </w:rPr>
        <w:t>73</w:t>
      </w:r>
      <w:r>
        <w:rPr>
          <w:rFonts w:hint="eastAsia" w:ascii="仿宋_GB2312" w:hAnsi="宋体" w:eastAsia="仿宋_GB2312"/>
          <w:kern w:val="0"/>
          <w:sz w:val="32"/>
          <w:szCs w:val="32"/>
          <w:lang w:eastAsia="zh-CN"/>
        </w:rPr>
        <w:t>万</w:t>
      </w:r>
      <w:r>
        <w:rPr>
          <w:rFonts w:hint="eastAsia" w:ascii="仿宋_GB2312" w:hAnsi="宋体" w:eastAsia="仿宋_GB2312"/>
          <w:kern w:val="0"/>
          <w:sz w:val="32"/>
          <w:szCs w:val="32"/>
        </w:rPr>
        <w:t>元</w:t>
      </w:r>
      <w:r>
        <w:rPr>
          <w:rFonts w:hint="eastAsia" w:ascii="仿宋_GB2312" w:hAnsi="宋体" w:eastAsia="仿宋_GB2312"/>
          <w:kern w:val="0"/>
          <w:sz w:val="32"/>
          <w:szCs w:val="32"/>
          <w:lang w:eastAsia="zh-CN"/>
        </w:rPr>
        <w:t>。</w:t>
      </w:r>
      <w:r>
        <w:rPr>
          <w:rFonts w:hint="eastAsia" w:ascii="仿宋_GB2312" w:hAnsi="宋体" w:eastAsia="仿宋_GB2312"/>
          <w:kern w:val="0"/>
          <w:sz w:val="32"/>
          <w:szCs w:val="32"/>
        </w:rPr>
        <w:t xml:space="preserve">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与年初预算数相比情况：一般公共预算财政拨款收入年初预算数304.01万元，决算数443.66万元，预决算差异率50.39%，差异主要原因项目经费</w:t>
      </w:r>
      <w:r>
        <w:rPr>
          <w:rFonts w:hint="eastAsia" w:ascii="仿宋_GB2312" w:hAnsi="宋体" w:eastAsia="仿宋_GB2312"/>
          <w:kern w:val="0"/>
          <w:sz w:val="32"/>
          <w:szCs w:val="32"/>
          <w:lang w:eastAsia="zh-CN"/>
        </w:rPr>
        <w:t>增加</w:t>
      </w:r>
      <w:r>
        <w:rPr>
          <w:rFonts w:hint="eastAsia" w:ascii="仿宋_GB2312" w:hAnsi="宋体" w:eastAsia="仿宋_GB2312"/>
          <w:kern w:val="0"/>
          <w:sz w:val="32"/>
          <w:szCs w:val="32"/>
        </w:rPr>
        <w:t>。一般公共预算财政拨款支出年初预算数304.01万元，决算数443.66万元，预决算差异率50.39%，差异主要原因项目经费</w:t>
      </w:r>
      <w:r>
        <w:rPr>
          <w:rFonts w:hint="eastAsia" w:ascii="仿宋_GB2312" w:hAnsi="宋体" w:eastAsia="仿宋_GB2312"/>
          <w:kern w:val="0"/>
          <w:sz w:val="32"/>
          <w:szCs w:val="32"/>
          <w:lang w:eastAsia="zh-CN"/>
        </w:rPr>
        <w:t>增加</w:t>
      </w:r>
      <w:r>
        <w:rPr>
          <w:rFonts w:hint="eastAsia" w:ascii="仿宋_GB2312" w:hAnsi="宋体" w:eastAsia="仿宋_GB2312"/>
          <w:kern w:val="0"/>
          <w:sz w:val="32"/>
          <w:szCs w:val="32"/>
        </w:rPr>
        <w:t xml:space="preserve">。  </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outlineLvl w:val="9"/>
        <w:rPr>
          <w:rFonts w:hint="eastAsia" w:ascii="楷体_GB2312" w:hAnsi="Times New Roman" w:eastAsia="楷体_GB2312" w:cs="Times New Roman"/>
          <w:b/>
          <w:sz w:val="32"/>
          <w:szCs w:val="24"/>
        </w:rPr>
      </w:pPr>
      <w:r>
        <w:rPr>
          <w:rFonts w:hint="eastAsia" w:ascii="楷体_GB2312" w:hAnsi="Times New Roman" w:eastAsia="楷体_GB2312" w:cs="Times New Roman"/>
          <w:b/>
          <w:sz w:val="32"/>
          <w:szCs w:val="24"/>
        </w:rPr>
        <w:t xml:space="preserve">（三）政府性基金预算收支决算情况说明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2018年度政府性基金预算财政拨款收入0</w:t>
      </w:r>
      <w:r>
        <w:rPr>
          <w:rFonts w:hint="eastAsia" w:ascii="仿宋_GB2312" w:hAnsi="宋体" w:eastAsia="仿宋_GB2312"/>
          <w:kern w:val="0"/>
          <w:sz w:val="32"/>
          <w:szCs w:val="32"/>
          <w:lang w:eastAsia="zh-CN"/>
        </w:rPr>
        <w:t>万</w:t>
      </w:r>
      <w:r>
        <w:rPr>
          <w:rFonts w:hint="eastAsia" w:ascii="仿宋_GB2312" w:hAnsi="宋体" w:eastAsia="仿宋_GB2312"/>
          <w:kern w:val="0"/>
          <w:sz w:val="32"/>
          <w:szCs w:val="32"/>
        </w:rPr>
        <w:t>元，与上年相比，减少53.09万元，降低100%。增减变化的主要原因是：城市公用事业安排支出减少。政府性基金预算财政拨款支出0</w:t>
      </w:r>
      <w:r>
        <w:rPr>
          <w:rFonts w:hint="eastAsia" w:ascii="仿宋_GB2312" w:hAnsi="宋体" w:eastAsia="仿宋_GB2312"/>
          <w:kern w:val="0"/>
          <w:sz w:val="32"/>
          <w:szCs w:val="32"/>
          <w:lang w:eastAsia="zh-CN"/>
        </w:rPr>
        <w:t>万</w:t>
      </w:r>
      <w:r>
        <w:rPr>
          <w:rFonts w:hint="eastAsia" w:ascii="仿宋_GB2312" w:hAnsi="宋体" w:eastAsia="仿宋_GB2312"/>
          <w:kern w:val="0"/>
          <w:sz w:val="32"/>
          <w:szCs w:val="32"/>
        </w:rPr>
        <w:t>元，与上年相比，减少53.09万元，降低100%。增减变化的主要原因是：城市公用事业安排支出减少。其中：按功能分类科目，支出</w:t>
      </w:r>
      <w:r>
        <w:rPr>
          <w:rFonts w:hint="eastAsia" w:ascii="仿宋_GB2312" w:hAnsi="宋体" w:eastAsia="仿宋_GB2312"/>
          <w:kern w:val="0"/>
          <w:sz w:val="32"/>
          <w:szCs w:val="32"/>
          <w:lang w:val="en-US" w:eastAsia="zh-CN"/>
        </w:rPr>
        <w:t>0</w:t>
      </w:r>
      <w:r>
        <w:rPr>
          <w:rFonts w:hint="eastAsia" w:ascii="仿宋_GB2312" w:hAnsi="宋体" w:eastAsia="仿宋_GB2312"/>
          <w:kern w:val="0"/>
          <w:sz w:val="32"/>
          <w:szCs w:val="32"/>
          <w:lang w:eastAsia="zh-CN"/>
        </w:rPr>
        <w:t>万元</w:t>
      </w:r>
      <w:r>
        <w:rPr>
          <w:rFonts w:hint="eastAsia" w:ascii="仿宋_GB2312" w:hAnsi="宋体" w:eastAsia="仿宋_GB2312"/>
          <w:kern w:val="0"/>
          <w:sz w:val="32"/>
          <w:szCs w:val="32"/>
        </w:rPr>
        <w:t>。按经济分类科目，支出</w:t>
      </w:r>
      <w:r>
        <w:rPr>
          <w:rFonts w:hint="eastAsia" w:ascii="仿宋_GB2312" w:hAnsi="宋体" w:eastAsia="仿宋_GB2312"/>
          <w:kern w:val="0"/>
          <w:sz w:val="32"/>
          <w:szCs w:val="32"/>
          <w:lang w:val="en-US" w:eastAsia="zh-CN"/>
        </w:rPr>
        <w:t>0</w:t>
      </w:r>
      <w:r>
        <w:rPr>
          <w:rFonts w:hint="eastAsia" w:ascii="仿宋_GB2312" w:hAnsi="宋体" w:eastAsia="仿宋_GB2312"/>
          <w:kern w:val="0"/>
          <w:sz w:val="32"/>
          <w:szCs w:val="32"/>
          <w:lang w:eastAsia="zh-CN"/>
        </w:rPr>
        <w:t>万元</w:t>
      </w:r>
      <w:r>
        <w:rPr>
          <w:rFonts w:hint="eastAsia" w:ascii="仿宋_GB2312" w:hAnsi="宋体" w:eastAsia="仿宋_GB2312"/>
          <w:kern w:val="0"/>
          <w:sz w:val="32"/>
          <w:szCs w:val="32"/>
        </w:rPr>
        <w:t>。</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与年初预算数相比情况：政府性基金预算财政拨款收入年初预算数0万元，决算数0万元，预决算差异率0%</w:t>
      </w:r>
      <w:r>
        <w:rPr>
          <w:rFonts w:hint="eastAsia" w:ascii="仿宋_GB2312" w:hAnsi="宋体" w:eastAsia="仿宋_GB2312"/>
          <w:kern w:val="0"/>
          <w:sz w:val="32"/>
          <w:szCs w:val="32"/>
          <w:lang w:eastAsia="zh-CN"/>
        </w:rPr>
        <w:t>，</w:t>
      </w:r>
      <w:r>
        <w:rPr>
          <w:rFonts w:hint="eastAsia" w:ascii="仿宋_GB2312" w:hAnsi="宋体" w:eastAsia="仿宋_GB2312"/>
          <w:kern w:val="0"/>
          <w:sz w:val="32"/>
          <w:szCs w:val="32"/>
        </w:rPr>
        <w:t>差异主要原因</w:t>
      </w:r>
      <w:r>
        <w:rPr>
          <w:rFonts w:hint="eastAsia" w:ascii="仿宋_GB2312" w:hAnsi="宋体" w:eastAsia="仿宋_GB2312"/>
          <w:kern w:val="0"/>
          <w:sz w:val="32"/>
          <w:szCs w:val="32"/>
          <w:lang w:eastAsia="zh-CN"/>
        </w:rPr>
        <w:t>无差异。</w:t>
      </w:r>
      <w:r>
        <w:rPr>
          <w:rFonts w:hint="eastAsia" w:ascii="仿宋_GB2312" w:hAnsi="宋体" w:eastAsia="仿宋_GB2312"/>
          <w:kern w:val="0"/>
          <w:sz w:val="32"/>
          <w:szCs w:val="32"/>
        </w:rPr>
        <w:t>政府性基金预算财政拨款支出年初预算数0万元，决算数0万元，预决算差异率0%</w:t>
      </w:r>
      <w:r>
        <w:rPr>
          <w:rFonts w:hint="eastAsia" w:ascii="仿宋_GB2312" w:hAnsi="宋体" w:eastAsia="仿宋_GB2312"/>
          <w:kern w:val="0"/>
          <w:sz w:val="32"/>
          <w:szCs w:val="32"/>
          <w:lang w:eastAsia="zh-CN"/>
        </w:rPr>
        <w:t>，</w:t>
      </w:r>
      <w:r>
        <w:rPr>
          <w:rFonts w:hint="eastAsia" w:ascii="仿宋_GB2312" w:hAnsi="宋体" w:eastAsia="仿宋_GB2312"/>
          <w:kern w:val="0"/>
          <w:sz w:val="32"/>
          <w:szCs w:val="32"/>
        </w:rPr>
        <w:t xml:space="preserve"> 差异主要原因</w:t>
      </w:r>
      <w:r>
        <w:rPr>
          <w:rFonts w:hint="eastAsia" w:ascii="仿宋_GB2312" w:hAnsi="宋体" w:eastAsia="仿宋_GB2312"/>
          <w:kern w:val="0"/>
          <w:sz w:val="32"/>
          <w:szCs w:val="32"/>
          <w:lang w:eastAsia="zh-CN"/>
        </w:rPr>
        <w:t>无差异。</w:t>
      </w:r>
      <w:r>
        <w:rPr>
          <w:rFonts w:hint="eastAsia" w:ascii="仿宋_GB2312" w:hAnsi="宋体" w:eastAsia="仿宋_GB2312"/>
          <w:kern w:val="0"/>
          <w:sz w:val="32"/>
          <w:szCs w:val="32"/>
        </w:rPr>
        <w:t xml:space="preserve">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黑体" w:hAnsi="黑体" w:eastAsia="黑体" w:cs="Times New Roman"/>
          <w:kern w:val="0"/>
          <w:sz w:val="32"/>
          <w:szCs w:val="24"/>
        </w:rPr>
      </w:pPr>
      <w:r>
        <w:rPr>
          <w:rFonts w:hint="eastAsia" w:ascii="黑体" w:hAnsi="黑体" w:eastAsia="黑体" w:cs="Times New Roman"/>
          <w:kern w:val="0"/>
          <w:sz w:val="32"/>
          <w:szCs w:val="24"/>
        </w:rPr>
        <w:t xml:space="preserve">三、部门结转结余情况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 xml:space="preserve"> </w:t>
      </w:r>
      <w:r>
        <w:rPr>
          <w:rFonts w:hint="eastAsia" w:ascii="仿宋_GB2312" w:hAnsi="宋体" w:eastAsia="仿宋_GB2312"/>
          <w:kern w:val="0"/>
          <w:sz w:val="32"/>
          <w:szCs w:val="32"/>
          <w:lang w:val="en-US" w:eastAsia="zh-CN"/>
        </w:rPr>
        <w:t xml:space="preserve"> </w:t>
      </w:r>
      <w:r>
        <w:rPr>
          <w:rFonts w:hint="eastAsia" w:ascii="仿宋_GB2312" w:hAnsi="宋体" w:eastAsia="仿宋_GB2312"/>
          <w:kern w:val="0"/>
          <w:sz w:val="32"/>
          <w:szCs w:val="32"/>
        </w:rPr>
        <w:t>年末结转结余0</w:t>
      </w:r>
      <w:r>
        <w:rPr>
          <w:rFonts w:hint="eastAsia" w:ascii="仿宋_GB2312" w:hAnsi="宋体" w:eastAsia="仿宋_GB2312"/>
          <w:kern w:val="0"/>
          <w:sz w:val="32"/>
          <w:szCs w:val="32"/>
          <w:lang w:eastAsia="zh-CN"/>
        </w:rPr>
        <w:t>万</w:t>
      </w:r>
      <w:r>
        <w:rPr>
          <w:rFonts w:hint="eastAsia" w:ascii="仿宋_GB2312" w:hAnsi="宋体" w:eastAsia="仿宋_GB2312"/>
          <w:kern w:val="0"/>
          <w:sz w:val="32"/>
          <w:szCs w:val="32"/>
        </w:rPr>
        <w:t>元。与上年相比，减少96.03万元，降低100%。</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其中财政拨款结转结余0</w:t>
      </w:r>
      <w:r>
        <w:rPr>
          <w:rFonts w:hint="eastAsia" w:ascii="仿宋_GB2312" w:hAnsi="宋体" w:eastAsia="仿宋_GB2312"/>
          <w:kern w:val="0"/>
          <w:sz w:val="32"/>
          <w:szCs w:val="32"/>
          <w:lang w:eastAsia="zh-CN"/>
        </w:rPr>
        <w:t>万</w:t>
      </w:r>
      <w:r>
        <w:rPr>
          <w:rFonts w:hint="eastAsia" w:ascii="仿宋_GB2312" w:hAnsi="宋体" w:eastAsia="仿宋_GB2312"/>
          <w:kern w:val="0"/>
          <w:sz w:val="32"/>
          <w:szCs w:val="32"/>
        </w:rPr>
        <w:t>元。与上年相比，减少0</w:t>
      </w:r>
      <w:r>
        <w:rPr>
          <w:rFonts w:hint="eastAsia" w:ascii="仿宋_GB2312" w:hAnsi="宋体" w:eastAsia="仿宋_GB2312"/>
          <w:kern w:val="0"/>
          <w:sz w:val="32"/>
          <w:szCs w:val="32"/>
          <w:lang w:eastAsia="zh-CN"/>
        </w:rPr>
        <w:t>万</w:t>
      </w:r>
      <w:r>
        <w:rPr>
          <w:rFonts w:hint="eastAsia" w:ascii="仿宋_GB2312" w:hAnsi="宋体" w:eastAsia="仿宋_GB2312"/>
          <w:kern w:val="0"/>
          <w:sz w:val="32"/>
          <w:szCs w:val="32"/>
        </w:rPr>
        <w:t xml:space="preserve">元，降低0%。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黑体" w:hAnsi="黑体" w:eastAsia="黑体" w:cs="Times New Roman"/>
          <w:kern w:val="0"/>
          <w:sz w:val="32"/>
          <w:szCs w:val="24"/>
        </w:rPr>
      </w:pPr>
      <w:r>
        <w:rPr>
          <w:rFonts w:hint="eastAsia" w:ascii="黑体" w:hAnsi="黑体" w:eastAsia="黑体" w:cs="Times New Roman"/>
          <w:kern w:val="0"/>
          <w:sz w:val="32"/>
          <w:szCs w:val="24"/>
        </w:rPr>
        <w:t xml:space="preserve">四、一般公共预算“三公”经费支出情况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2018年度一般公共预算“三公”经费支出决算6.61万元，比上年减少4.51万元，降低40.57%，减少原因是压缩“三公”经费支出。其中，因公出国（境）费支出0万元，占</w:t>
      </w:r>
      <w:r>
        <w:rPr>
          <w:rFonts w:hint="eastAsia" w:ascii="仿宋_GB2312" w:hAnsi="宋体" w:eastAsia="仿宋_GB2312"/>
          <w:kern w:val="0"/>
          <w:sz w:val="32"/>
          <w:szCs w:val="32"/>
          <w:lang w:val="en-US" w:eastAsia="zh-CN"/>
        </w:rPr>
        <w:t>0</w:t>
      </w:r>
      <w:r>
        <w:rPr>
          <w:rFonts w:hint="eastAsia" w:ascii="仿宋_GB2312" w:hAnsi="宋体" w:eastAsia="仿宋_GB2312"/>
          <w:kern w:val="0"/>
          <w:sz w:val="32"/>
          <w:szCs w:val="32"/>
        </w:rPr>
        <w:t>%，比上年减少</w:t>
      </w:r>
      <w:r>
        <w:rPr>
          <w:rFonts w:hint="eastAsia" w:ascii="仿宋_GB2312" w:hAnsi="宋体" w:eastAsia="仿宋_GB2312"/>
          <w:kern w:val="0"/>
          <w:sz w:val="32"/>
          <w:szCs w:val="32"/>
          <w:lang w:val="en-US" w:eastAsia="zh-CN"/>
        </w:rPr>
        <w:t>0</w:t>
      </w:r>
      <w:r>
        <w:rPr>
          <w:rFonts w:hint="eastAsia" w:ascii="仿宋_GB2312" w:hAnsi="宋体" w:eastAsia="仿宋_GB2312"/>
          <w:kern w:val="0"/>
          <w:sz w:val="32"/>
          <w:szCs w:val="32"/>
        </w:rPr>
        <w:t>万元，降低</w:t>
      </w:r>
      <w:r>
        <w:rPr>
          <w:rFonts w:hint="eastAsia" w:ascii="仿宋_GB2312" w:hAnsi="宋体" w:eastAsia="仿宋_GB2312"/>
          <w:kern w:val="0"/>
          <w:sz w:val="32"/>
          <w:szCs w:val="32"/>
          <w:lang w:val="en-US" w:eastAsia="zh-CN"/>
        </w:rPr>
        <w:t>0</w:t>
      </w:r>
      <w:r>
        <w:rPr>
          <w:rFonts w:hint="eastAsia" w:ascii="仿宋_GB2312" w:hAnsi="宋体" w:eastAsia="仿宋_GB2312"/>
          <w:kern w:val="0"/>
          <w:sz w:val="32"/>
          <w:szCs w:val="32"/>
        </w:rPr>
        <w:t>%，减少原因是压缩“三公”经费支出</w:t>
      </w:r>
      <w:r>
        <w:rPr>
          <w:rFonts w:hint="eastAsia" w:ascii="仿宋_GB2312" w:hAnsi="宋体" w:eastAsia="仿宋_GB2312"/>
          <w:kern w:val="0"/>
          <w:sz w:val="32"/>
          <w:szCs w:val="32"/>
          <w:lang w:eastAsia="zh-CN"/>
        </w:rPr>
        <w:t>。</w:t>
      </w:r>
      <w:r>
        <w:rPr>
          <w:rFonts w:hint="eastAsia" w:ascii="仿宋_GB2312" w:hAnsi="宋体" w:eastAsia="仿宋_GB2312"/>
          <w:kern w:val="0"/>
          <w:sz w:val="32"/>
          <w:szCs w:val="32"/>
        </w:rPr>
        <w:t xml:space="preserve">公务用车购置及运行维护费支出4.43万元，占66.94%，比上减少0.13万元，降低2.9%，减少原因是压缩“三公”经费支出；公务接待费支出2.19万元，占33.06%，比上年减少4.38万元，降低66.72%，减少原因是压缩“三公”经费支出。具体情况如下：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lang w:eastAsia="zh-CN"/>
        </w:rPr>
      </w:pPr>
      <w:r>
        <w:rPr>
          <w:rFonts w:hint="eastAsia" w:ascii="仿宋_GB2312" w:hAnsi="宋体" w:eastAsia="仿宋_GB2312"/>
          <w:kern w:val="0"/>
          <w:sz w:val="32"/>
          <w:szCs w:val="32"/>
        </w:rPr>
        <w:t>本年度因公出国（境）费支出0万元，吉木萨尔</w:t>
      </w:r>
      <w:r>
        <w:rPr>
          <w:rFonts w:hint="eastAsia" w:ascii="仿宋_GB2312" w:hAnsi="宋体" w:eastAsia="仿宋_GB2312"/>
          <w:kern w:val="0"/>
          <w:sz w:val="32"/>
          <w:szCs w:val="32"/>
          <w:lang w:eastAsia="zh-CN"/>
        </w:rPr>
        <w:t>县</w:t>
      </w:r>
      <w:r>
        <w:rPr>
          <w:rFonts w:hint="eastAsia" w:ascii="仿宋_GB2312" w:hAnsi="宋体" w:eastAsia="仿宋_GB2312"/>
          <w:kern w:val="0"/>
          <w:sz w:val="32"/>
          <w:szCs w:val="32"/>
        </w:rPr>
        <w:t>北庭工业园区管理委员会全年使用一般公共预算财政拨款安排的出国（境）团组0个，累计0人次。</w:t>
      </w:r>
      <w:r>
        <w:rPr>
          <w:rFonts w:hint="eastAsia" w:ascii="仿宋_GB2312" w:hAnsi="宋体" w:eastAsia="仿宋_GB2312"/>
          <w:kern w:val="0"/>
          <w:sz w:val="32"/>
          <w:szCs w:val="32"/>
          <w:lang w:eastAsia="zh-CN"/>
        </w:rPr>
        <w:t>开支内容：无</w:t>
      </w:r>
      <w:r>
        <w:rPr>
          <w:rFonts w:hint="eastAsia" w:ascii="仿宋_GB2312" w:hAnsi="宋体" w:eastAsia="仿宋_GB2312"/>
          <w:kern w:val="0"/>
          <w:sz w:val="32"/>
          <w:szCs w:val="32"/>
        </w:rPr>
        <w:t>因公出国（境）费</w:t>
      </w:r>
      <w:r>
        <w:rPr>
          <w:rFonts w:hint="eastAsia" w:ascii="仿宋_GB2312" w:hAnsi="宋体" w:eastAsia="仿宋_GB2312"/>
          <w:kern w:val="0"/>
          <w:sz w:val="32"/>
          <w:szCs w:val="32"/>
          <w:lang w:eastAsia="zh-CN"/>
        </w:rPr>
        <w:t>。</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公务用车购置及运行维护费4.43万元,其中，公务用车购置0</w:t>
      </w:r>
      <w:r>
        <w:rPr>
          <w:rFonts w:hint="eastAsia" w:ascii="仿宋_GB2312" w:hAnsi="宋体" w:eastAsia="仿宋_GB2312"/>
          <w:kern w:val="0"/>
          <w:sz w:val="32"/>
          <w:szCs w:val="32"/>
          <w:lang w:eastAsia="zh-CN"/>
        </w:rPr>
        <w:t>万</w:t>
      </w:r>
      <w:r>
        <w:rPr>
          <w:rFonts w:hint="eastAsia" w:ascii="仿宋_GB2312" w:hAnsi="宋体" w:eastAsia="仿宋_GB2312"/>
          <w:kern w:val="0"/>
          <w:sz w:val="32"/>
          <w:szCs w:val="32"/>
        </w:rPr>
        <w:t xml:space="preserve">元，公务用车运行维护费4.43万元。主要用于油费、过路费及维修费等。2018年，单位一般公共财政拨款安排的公务用车购置量0辆，保有量为1辆。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公务接待费2.19万元。具体是：国内公务接待支出2.19万元，主要是接待上级单位检查来人等。吉木萨尔</w:t>
      </w:r>
      <w:r>
        <w:rPr>
          <w:rFonts w:hint="eastAsia" w:ascii="仿宋_GB2312" w:hAnsi="宋体" w:eastAsia="仿宋_GB2312"/>
          <w:kern w:val="0"/>
          <w:sz w:val="32"/>
          <w:szCs w:val="32"/>
          <w:lang w:eastAsia="zh-CN"/>
        </w:rPr>
        <w:t>县</w:t>
      </w:r>
      <w:r>
        <w:rPr>
          <w:rFonts w:hint="eastAsia" w:ascii="仿宋_GB2312" w:hAnsi="宋体" w:eastAsia="仿宋_GB2312"/>
          <w:kern w:val="0"/>
          <w:sz w:val="32"/>
          <w:szCs w:val="32"/>
        </w:rPr>
        <w:t xml:space="preserve">北庭工业园区管理委员国内公务接待96批次，680人次。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 xml:space="preserve">与年初预算数相比情况：一般公共预算“三公”经费支出年初预算数6.61万元，决算数6.61万元，预决算差异率0%，差异主要原因严格执行中央八项规定。其中：因公出国（境）费预算数0万元，决算数0万元，预决算差异率0%，差异主要原因严格执行中央八项规定；公务用车购置预算数0万元，决算数0万元，预决算差异率0%，差异主要原因严格执行中央八项规定；公务用车运行费预算数4.43万元，决算数4.43万元，预决算差异率0%，差异主要原因严格执行中央八项规定；公务接待费预算数2.19万元，决算数2.19万元，预决算差异率0%，差异主要原因严格执行中央八项规定。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黑体" w:hAnsi="黑体" w:eastAsia="黑体" w:cs="Times New Roman"/>
          <w:kern w:val="0"/>
          <w:sz w:val="32"/>
          <w:szCs w:val="24"/>
        </w:rPr>
      </w:pPr>
      <w:r>
        <w:rPr>
          <w:rFonts w:hint="eastAsia" w:ascii="黑体" w:hAnsi="黑体" w:eastAsia="黑体" w:cs="Times New Roman"/>
          <w:kern w:val="0"/>
          <w:sz w:val="32"/>
          <w:szCs w:val="24"/>
        </w:rPr>
        <w:t xml:space="preserve">五、机关运行经费支出情况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2018年度吉木萨尔</w:t>
      </w:r>
      <w:r>
        <w:rPr>
          <w:rFonts w:hint="eastAsia" w:ascii="仿宋_GB2312" w:hAnsi="宋体" w:eastAsia="仿宋_GB2312"/>
          <w:kern w:val="0"/>
          <w:sz w:val="32"/>
          <w:szCs w:val="32"/>
          <w:lang w:eastAsia="zh-CN"/>
        </w:rPr>
        <w:t>县</w:t>
      </w:r>
      <w:r>
        <w:rPr>
          <w:rFonts w:hint="eastAsia" w:ascii="仿宋_GB2312" w:hAnsi="宋体" w:eastAsia="仿宋_GB2312"/>
          <w:kern w:val="0"/>
          <w:sz w:val="32"/>
          <w:szCs w:val="32"/>
        </w:rPr>
        <w:t>北庭工业园区管理委员会机关运行经费支出210.71万元，比上年减少152.19万元，降低4</w:t>
      </w:r>
      <w:r>
        <w:rPr>
          <w:rFonts w:hint="eastAsia" w:ascii="仿宋_GB2312" w:hAnsi="宋体" w:eastAsia="仿宋_GB2312"/>
          <w:kern w:val="0"/>
          <w:sz w:val="32"/>
          <w:szCs w:val="32"/>
          <w:lang w:val="en-US" w:eastAsia="zh-CN"/>
        </w:rPr>
        <w:t>1.94</w:t>
      </w:r>
      <w:r>
        <w:rPr>
          <w:rFonts w:hint="eastAsia" w:ascii="仿宋_GB2312" w:hAnsi="宋体" w:eastAsia="仿宋_GB2312"/>
          <w:kern w:val="0"/>
          <w:sz w:val="32"/>
          <w:szCs w:val="32"/>
        </w:rPr>
        <w:t xml:space="preserve">%。原因是压缩经费支出。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黑体" w:hAnsi="黑体" w:eastAsia="黑体" w:cs="Times New Roman"/>
          <w:kern w:val="0"/>
          <w:sz w:val="32"/>
          <w:szCs w:val="24"/>
        </w:rPr>
      </w:pPr>
      <w:r>
        <w:rPr>
          <w:rFonts w:hint="eastAsia" w:ascii="黑体" w:hAnsi="黑体" w:eastAsia="黑体" w:cs="Times New Roman"/>
          <w:kern w:val="0"/>
          <w:sz w:val="32"/>
          <w:szCs w:val="24"/>
        </w:rPr>
        <w:t xml:space="preserve">六、政府采购情况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lang w:eastAsia="zh-CN"/>
        </w:rPr>
      </w:pPr>
      <w:r>
        <w:rPr>
          <w:rFonts w:hint="eastAsia" w:ascii="仿宋_GB2312" w:hAnsi="宋体" w:eastAsia="仿宋_GB2312"/>
          <w:kern w:val="0"/>
          <w:sz w:val="32"/>
          <w:szCs w:val="32"/>
        </w:rPr>
        <w:t>2018年度政府采购支出总额344.15万元，其中：政府采购货物支出0元、政府采购工程支出160.15万元、政府采购服务支出184万元</w:t>
      </w:r>
      <w:r>
        <w:rPr>
          <w:rFonts w:hint="eastAsia" w:ascii="仿宋_GB2312" w:hAnsi="宋体" w:eastAsia="仿宋_GB2312"/>
          <w:kern w:val="0"/>
          <w:sz w:val="32"/>
          <w:szCs w:val="32"/>
          <w:lang w:eastAsia="zh-CN"/>
        </w:rPr>
        <w:t>。</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黑体" w:hAnsi="黑体" w:eastAsia="黑体" w:cs="Times New Roman"/>
          <w:kern w:val="0"/>
          <w:sz w:val="32"/>
          <w:szCs w:val="24"/>
        </w:rPr>
      </w:pPr>
      <w:r>
        <w:rPr>
          <w:rFonts w:hint="eastAsia" w:ascii="黑体" w:hAnsi="黑体" w:eastAsia="黑体" w:cs="Times New Roman"/>
          <w:kern w:val="0"/>
          <w:sz w:val="32"/>
          <w:szCs w:val="24"/>
        </w:rPr>
        <w:t xml:space="preserve">七、其他重要事项的情况 </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outlineLvl w:val="9"/>
        <w:rPr>
          <w:rFonts w:hint="eastAsia" w:ascii="楷体_GB2312" w:hAnsi="Times New Roman" w:eastAsia="楷体_GB2312" w:cs="Times New Roman"/>
          <w:b/>
          <w:sz w:val="32"/>
          <w:szCs w:val="24"/>
        </w:rPr>
      </w:pPr>
      <w:r>
        <w:rPr>
          <w:rFonts w:hint="eastAsia" w:ascii="楷体_GB2312" w:hAnsi="Times New Roman" w:eastAsia="楷体_GB2312" w:cs="Times New Roman"/>
          <w:b/>
          <w:sz w:val="32"/>
          <w:szCs w:val="24"/>
        </w:rPr>
        <w:t xml:space="preserve">（一）国有资产占用情况说明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截至2018年12月31日，单位共有车辆1辆，价值13.83万元，其中：部级领导干部用车0辆、主要领导干部用车0辆、机要通信用车0辆、应急保障用车1辆、执法执勤用车0辆、特种专业技术用车0辆、离退休干部用车0辆、其他用车0辆</w:t>
      </w:r>
      <w:r>
        <w:rPr>
          <w:rFonts w:hint="eastAsia" w:ascii="仿宋_GB2312" w:hAnsi="宋体" w:eastAsia="仿宋_GB2312"/>
          <w:kern w:val="0"/>
          <w:sz w:val="32"/>
          <w:szCs w:val="32"/>
          <w:lang w:eastAsia="zh-CN"/>
        </w:rPr>
        <w:t>，</w:t>
      </w:r>
      <w:r>
        <w:rPr>
          <w:rFonts w:hint="eastAsia" w:ascii="仿宋_GB2312" w:hAnsi="宋体" w:eastAsia="仿宋_GB2312"/>
          <w:kern w:val="0"/>
          <w:sz w:val="32"/>
          <w:szCs w:val="32"/>
        </w:rPr>
        <w:t>其他用车主要是：</w:t>
      </w:r>
      <w:r>
        <w:rPr>
          <w:rFonts w:hint="eastAsia" w:ascii="仿宋_GB2312" w:hAnsi="宋体" w:eastAsia="仿宋_GB2312"/>
          <w:kern w:val="0"/>
          <w:sz w:val="32"/>
          <w:szCs w:val="32"/>
          <w:lang w:val="en-US" w:eastAsia="zh-CN"/>
        </w:rPr>
        <w:t>无</w:t>
      </w:r>
      <w:r>
        <w:rPr>
          <w:rFonts w:hint="eastAsia" w:ascii="仿宋_GB2312" w:hAnsi="宋体" w:eastAsia="仿宋_GB2312"/>
          <w:kern w:val="0"/>
          <w:sz w:val="32"/>
          <w:szCs w:val="32"/>
        </w:rPr>
        <w:t>其他用车；单位价值50万元以上通用设备0台（套）、单位价值100万元以上专用设备0台（套）。</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outlineLvl w:val="9"/>
        <w:rPr>
          <w:rFonts w:hint="eastAsia" w:ascii="楷体_GB2312" w:hAnsi="Times New Roman" w:eastAsia="楷体_GB2312" w:cs="Times New Roman"/>
          <w:b/>
          <w:sz w:val="32"/>
          <w:szCs w:val="24"/>
        </w:rPr>
      </w:pPr>
      <w:r>
        <w:rPr>
          <w:rFonts w:hint="eastAsia" w:ascii="楷体_GB2312" w:hAnsi="Times New Roman" w:eastAsia="楷体_GB2312" w:cs="Times New Roman"/>
          <w:b/>
          <w:sz w:val="32"/>
          <w:szCs w:val="24"/>
        </w:rPr>
        <w:t xml:space="preserve">（二）预算绩效情况的说明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 xml:space="preserve">2018年度，本部门单位预算绩效自评情况：自述有关预算绩效管理和绩效自评开展情况。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 xml:space="preserve"> 吉木萨尔县北庭管委会排水工程项目绩效自评综述：根据年初设定的绩效目标，吉木萨尔县北庭管委会排水工程项目绩效自评得分为10分。项目全年预算数为16.61万元，执行数为16.61万元，完成预算的100%。主要产出和效果：一是完善园区基础设施建设；二是为企业提供更好的效果。发现的问题及原因：一是项目支出运行实践经验还欠缺；二是相关制度建设还有待进一步拟定加强。下一步改进措施：一是加强学习；二是完善制度。有关项目自评情况附项目支出绩效自评表。 </w:t>
      </w:r>
    </w:p>
    <w:p>
      <w:pPr>
        <w:keepNext w:val="0"/>
        <w:keepLines w:val="0"/>
        <w:pageBreakBefore w:val="0"/>
        <w:kinsoku/>
        <w:wordWrap/>
        <w:overflowPunct/>
        <w:topLinePunct w:val="0"/>
        <w:autoSpaceDE/>
        <w:autoSpaceDN/>
        <w:bidi w:val="0"/>
        <w:adjustRightInd/>
        <w:snapToGrid/>
        <w:spacing w:line="540" w:lineRule="exact"/>
        <w:ind w:firstLine="624" w:firstLineChars="200"/>
        <w:textAlignment w:val="auto"/>
        <w:outlineLvl w:val="9"/>
        <w:rPr>
          <w:rStyle w:val="6"/>
          <w:rFonts w:ascii="黑体" w:hAnsi="黑体" w:eastAsia="黑体"/>
          <w:b w:val="0"/>
          <w:spacing w:val="-4"/>
          <w:sz w:val="32"/>
          <w:szCs w:val="32"/>
        </w:rPr>
      </w:pPr>
      <w:r>
        <w:rPr>
          <w:rStyle w:val="6"/>
          <w:rFonts w:hint="eastAsia" w:ascii="黑体" w:hAnsi="黑体" w:eastAsia="黑体"/>
          <w:b w:val="0"/>
          <w:spacing w:val="-4"/>
          <w:sz w:val="32"/>
          <w:szCs w:val="32"/>
        </w:rPr>
        <w:t>一、项目概况</w:t>
      </w:r>
    </w:p>
    <w:p>
      <w:pPr>
        <w:keepNext w:val="0"/>
        <w:keepLines w:val="0"/>
        <w:pageBreakBefore w:val="0"/>
        <w:kinsoku/>
        <w:wordWrap/>
        <w:overflowPunct/>
        <w:topLinePunct w:val="0"/>
        <w:autoSpaceDE/>
        <w:autoSpaceDN/>
        <w:bidi w:val="0"/>
        <w:adjustRightInd/>
        <w:snapToGrid/>
        <w:spacing w:line="540" w:lineRule="exact"/>
        <w:ind w:firstLine="567"/>
        <w:textAlignment w:val="auto"/>
        <w:outlineLvl w:val="9"/>
        <w:rPr>
          <w:rStyle w:val="6"/>
          <w:rFonts w:ascii="楷体" w:hAnsi="楷体" w:eastAsia="楷体"/>
          <w:spacing w:val="-4"/>
          <w:sz w:val="32"/>
          <w:szCs w:val="32"/>
        </w:rPr>
      </w:pPr>
      <w:r>
        <w:rPr>
          <w:rStyle w:val="6"/>
          <w:rFonts w:hint="eastAsia" w:ascii="楷体" w:hAnsi="楷体" w:eastAsia="楷体"/>
          <w:spacing w:val="-4"/>
          <w:sz w:val="32"/>
          <w:szCs w:val="32"/>
        </w:rPr>
        <w:t>（一）项目单位基本情况</w:t>
      </w:r>
    </w:p>
    <w:p>
      <w:pPr>
        <w:keepNext w:val="0"/>
        <w:keepLines w:val="0"/>
        <w:pageBreakBefore w:val="0"/>
        <w:kinsoku/>
        <w:wordWrap/>
        <w:overflowPunct/>
        <w:topLinePunct w:val="0"/>
        <w:autoSpaceDE/>
        <w:autoSpaceDN/>
        <w:bidi w:val="0"/>
        <w:adjustRightInd/>
        <w:snapToGrid/>
        <w:spacing w:line="540" w:lineRule="exact"/>
        <w:ind w:firstLine="567"/>
        <w:textAlignment w:val="auto"/>
        <w:outlineLvl w:val="9"/>
        <w:rPr>
          <w:rStyle w:val="6"/>
          <w:rFonts w:ascii="楷体" w:hAnsi="楷体" w:eastAsia="楷体"/>
          <w:spacing w:val="-4"/>
          <w:sz w:val="32"/>
          <w:szCs w:val="32"/>
        </w:rPr>
      </w:pPr>
      <w:r>
        <w:rPr>
          <w:rStyle w:val="6"/>
          <w:rFonts w:hint="eastAsia" w:ascii="仿宋_GB2312" w:hAnsi="仿宋_GB2312" w:eastAsia="仿宋_GB2312" w:cs="仿宋_GB2312"/>
          <w:b w:val="0"/>
          <w:bCs w:val="0"/>
          <w:spacing w:val="-4"/>
          <w:sz w:val="32"/>
          <w:szCs w:val="32"/>
        </w:rPr>
        <w:t>吉木萨尔北庭工业园区管理委员会属于吉木萨尔县人民政府下派机构，主要负责编制园区产业发展规划、制定招商引资优惠政策、提供投资服务、建设和管理园区基础设施，营造投资软环境。北庭工业园区管理委员会无下属预算单位，下设</w:t>
      </w:r>
      <w:r>
        <w:rPr>
          <w:rStyle w:val="6"/>
          <w:rFonts w:ascii="仿宋_GB2312" w:hAnsi="仿宋_GB2312" w:eastAsia="仿宋_GB2312" w:cs="仿宋_GB2312"/>
          <w:b w:val="0"/>
          <w:bCs w:val="0"/>
          <w:spacing w:val="-4"/>
          <w:sz w:val="32"/>
          <w:szCs w:val="32"/>
        </w:rPr>
        <w:t xml:space="preserve">5 </w:t>
      </w:r>
      <w:r>
        <w:rPr>
          <w:rStyle w:val="6"/>
          <w:rFonts w:hint="eastAsia" w:ascii="仿宋_GB2312" w:hAnsi="仿宋_GB2312" w:eastAsia="仿宋_GB2312" w:cs="仿宋_GB2312"/>
          <w:b w:val="0"/>
          <w:bCs w:val="0"/>
          <w:spacing w:val="-4"/>
          <w:sz w:val="32"/>
          <w:szCs w:val="32"/>
        </w:rPr>
        <w:t>个科室，分别是：政综合办公室、产业发展科、规划建设环保科、社会发展科、安全监督科。北庭工业园区管理委员会单位编制数</w:t>
      </w:r>
      <w:r>
        <w:rPr>
          <w:rStyle w:val="6"/>
          <w:rFonts w:ascii="仿宋_GB2312" w:hAnsi="仿宋_GB2312" w:eastAsia="仿宋_GB2312" w:cs="仿宋_GB2312"/>
          <w:b w:val="0"/>
          <w:bCs w:val="0"/>
          <w:spacing w:val="-4"/>
          <w:sz w:val="32"/>
          <w:szCs w:val="32"/>
        </w:rPr>
        <w:t>16</w:t>
      </w:r>
      <w:r>
        <w:rPr>
          <w:rStyle w:val="6"/>
          <w:rFonts w:hint="eastAsia" w:ascii="仿宋_GB2312" w:hAnsi="仿宋_GB2312" w:eastAsia="仿宋_GB2312" w:cs="仿宋_GB2312"/>
          <w:b w:val="0"/>
          <w:bCs w:val="0"/>
          <w:spacing w:val="-4"/>
          <w:sz w:val="32"/>
          <w:szCs w:val="32"/>
        </w:rPr>
        <w:t>人</w:t>
      </w:r>
      <w:r>
        <w:rPr>
          <w:rStyle w:val="6"/>
          <w:rFonts w:ascii="仿宋_GB2312" w:hAnsi="仿宋_GB2312" w:eastAsia="仿宋_GB2312" w:cs="仿宋_GB2312"/>
          <w:b w:val="0"/>
          <w:bCs w:val="0"/>
          <w:spacing w:val="-4"/>
          <w:sz w:val="32"/>
          <w:szCs w:val="32"/>
        </w:rPr>
        <w:t xml:space="preserve"> </w:t>
      </w:r>
      <w:r>
        <w:rPr>
          <w:rStyle w:val="6"/>
          <w:rFonts w:hint="eastAsia" w:ascii="仿宋_GB2312" w:hAnsi="仿宋_GB2312" w:eastAsia="仿宋_GB2312" w:cs="仿宋_GB2312"/>
          <w:b w:val="0"/>
          <w:bCs w:val="0"/>
          <w:spacing w:val="-4"/>
          <w:sz w:val="32"/>
          <w:szCs w:val="32"/>
        </w:rPr>
        <w:t>，实有人数</w:t>
      </w:r>
      <w:r>
        <w:rPr>
          <w:rStyle w:val="6"/>
          <w:rFonts w:ascii="仿宋_GB2312" w:hAnsi="仿宋_GB2312" w:eastAsia="仿宋_GB2312" w:cs="仿宋_GB2312"/>
          <w:b w:val="0"/>
          <w:bCs w:val="0"/>
          <w:spacing w:val="-4"/>
          <w:sz w:val="32"/>
          <w:szCs w:val="32"/>
        </w:rPr>
        <w:t xml:space="preserve"> 14 </w:t>
      </w:r>
      <w:r>
        <w:rPr>
          <w:rStyle w:val="6"/>
          <w:rFonts w:hint="eastAsia" w:ascii="仿宋_GB2312" w:hAnsi="仿宋_GB2312" w:eastAsia="仿宋_GB2312" w:cs="仿宋_GB2312"/>
          <w:b w:val="0"/>
          <w:bCs w:val="0"/>
          <w:spacing w:val="-4"/>
          <w:sz w:val="32"/>
          <w:szCs w:val="32"/>
        </w:rPr>
        <w:t>人，其中：在职</w:t>
      </w:r>
      <w:r>
        <w:rPr>
          <w:rStyle w:val="6"/>
          <w:rFonts w:ascii="仿宋_GB2312" w:hAnsi="仿宋_GB2312" w:eastAsia="仿宋_GB2312" w:cs="仿宋_GB2312"/>
          <w:b w:val="0"/>
          <w:bCs w:val="0"/>
          <w:spacing w:val="-4"/>
          <w:sz w:val="32"/>
          <w:szCs w:val="32"/>
        </w:rPr>
        <w:t xml:space="preserve"> 14</w:t>
      </w:r>
      <w:r>
        <w:rPr>
          <w:rStyle w:val="6"/>
          <w:rFonts w:hint="eastAsia" w:ascii="仿宋_GB2312" w:hAnsi="仿宋_GB2312" w:eastAsia="仿宋_GB2312" w:cs="仿宋_GB2312"/>
          <w:b w:val="0"/>
          <w:bCs w:val="0"/>
          <w:spacing w:val="-4"/>
          <w:sz w:val="32"/>
          <w:szCs w:val="32"/>
        </w:rPr>
        <w:t>人</w:t>
      </w:r>
    </w:p>
    <w:p>
      <w:pPr>
        <w:keepNext w:val="0"/>
        <w:keepLines w:val="0"/>
        <w:pageBreakBefore w:val="0"/>
        <w:kinsoku/>
        <w:wordWrap/>
        <w:overflowPunct/>
        <w:topLinePunct w:val="0"/>
        <w:autoSpaceDE/>
        <w:autoSpaceDN/>
        <w:bidi w:val="0"/>
        <w:adjustRightInd/>
        <w:snapToGrid/>
        <w:spacing w:line="540" w:lineRule="exact"/>
        <w:ind w:firstLine="567" w:firstLineChars="181"/>
        <w:textAlignment w:val="auto"/>
        <w:outlineLvl w:val="9"/>
        <w:rPr>
          <w:rStyle w:val="6"/>
          <w:rFonts w:ascii="楷体" w:hAnsi="楷体" w:eastAsia="楷体"/>
          <w:spacing w:val="-4"/>
          <w:sz w:val="32"/>
          <w:szCs w:val="32"/>
        </w:rPr>
      </w:pPr>
      <w:r>
        <w:rPr>
          <w:rStyle w:val="6"/>
          <w:rFonts w:hint="eastAsia" w:ascii="楷体" w:hAnsi="楷体" w:eastAsia="楷体"/>
          <w:spacing w:val="-4"/>
          <w:sz w:val="32"/>
          <w:szCs w:val="32"/>
        </w:rPr>
        <w:t>（二）项目预算绩效目标设定情况</w:t>
      </w:r>
    </w:p>
    <w:p>
      <w:pPr>
        <w:keepNext w:val="0"/>
        <w:keepLines w:val="0"/>
        <w:pageBreakBefore w:val="0"/>
        <w:kinsoku/>
        <w:wordWrap/>
        <w:overflowPunct/>
        <w:topLinePunct w:val="0"/>
        <w:autoSpaceDE/>
        <w:autoSpaceDN/>
        <w:bidi w:val="0"/>
        <w:adjustRightInd/>
        <w:snapToGrid/>
        <w:spacing w:line="540" w:lineRule="exact"/>
        <w:ind w:firstLine="579" w:firstLineChars="181"/>
        <w:textAlignment w:val="auto"/>
        <w:outlineLvl w:val="9"/>
        <w:rPr>
          <w:rStyle w:val="6"/>
          <w:rFonts w:ascii="仿宋_GB2312" w:hAnsi="仿宋_GB2312" w:eastAsia="仿宋_GB2312" w:cs="仿宋_GB2312"/>
          <w:b w:val="0"/>
          <w:spacing w:val="-4"/>
          <w:sz w:val="32"/>
          <w:szCs w:val="32"/>
        </w:rPr>
      </w:pPr>
      <w:r>
        <w:rPr>
          <w:rFonts w:hint="eastAsia" w:ascii="仿宋_GB2312" w:hAnsi="仿宋_GB2312" w:eastAsia="仿宋_GB2312" w:cs="仿宋_GB2312"/>
          <w:sz w:val="32"/>
          <w:szCs w:val="32"/>
        </w:rPr>
        <w:t>该项目工程是</w:t>
      </w:r>
      <w:r>
        <w:rPr>
          <w:rFonts w:ascii="仿宋_GB2312" w:hAnsi="仿宋_GB2312" w:eastAsia="仿宋_GB2312" w:cs="仿宋_GB2312"/>
          <w:sz w:val="32"/>
          <w:szCs w:val="32"/>
        </w:rPr>
        <w:t>2014</w:t>
      </w:r>
      <w:r>
        <w:rPr>
          <w:rFonts w:hint="eastAsia" w:ascii="仿宋_GB2312" w:hAnsi="仿宋_GB2312" w:eastAsia="仿宋_GB2312" w:cs="仿宋_GB2312"/>
          <w:sz w:val="32"/>
          <w:szCs w:val="32"/>
        </w:rPr>
        <w:t>年工程，在吉木萨尔县工业园区内东风路至红山路、健康路、光明路排水管线工程</w:t>
      </w:r>
      <w:r>
        <w:rPr>
          <w:rStyle w:val="6"/>
          <w:rFonts w:ascii="仿宋_GB2312" w:hAnsi="仿宋_GB2312" w:eastAsia="仿宋_GB2312" w:cs="仿宋_GB2312"/>
          <w:b w:val="0"/>
          <w:spacing w:val="-4"/>
          <w:sz w:val="32"/>
          <w:szCs w:val="32"/>
        </w:rPr>
        <w:t>2.5</w:t>
      </w:r>
      <w:r>
        <w:rPr>
          <w:rStyle w:val="6"/>
          <w:rFonts w:hint="eastAsia" w:ascii="仿宋_GB2312" w:hAnsi="仿宋_GB2312" w:eastAsia="仿宋_GB2312" w:cs="仿宋_GB2312"/>
          <w:b w:val="0"/>
          <w:spacing w:val="-4"/>
          <w:sz w:val="32"/>
          <w:szCs w:val="32"/>
        </w:rPr>
        <w:t>公里。</w:t>
      </w:r>
    </w:p>
    <w:p>
      <w:pPr>
        <w:keepNext w:val="0"/>
        <w:keepLines w:val="0"/>
        <w:pageBreakBefore w:val="0"/>
        <w:kinsoku/>
        <w:wordWrap/>
        <w:overflowPunct/>
        <w:topLinePunct w:val="0"/>
        <w:autoSpaceDE/>
        <w:autoSpaceDN/>
        <w:bidi w:val="0"/>
        <w:adjustRightInd/>
        <w:snapToGrid/>
        <w:spacing w:line="540" w:lineRule="exact"/>
        <w:ind w:firstLine="640"/>
        <w:textAlignment w:val="auto"/>
        <w:outlineLvl w:val="9"/>
        <w:rPr>
          <w:rStyle w:val="6"/>
          <w:rFonts w:ascii="黑体" w:hAnsi="黑体" w:eastAsia="黑体"/>
          <w:b w:val="0"/>
          <w:spacing w:val="-4"/>
          <w:sz w:val="32"/>
          <w:szCs w:val="32"/>
        </w:rPr>
      </w:pPr>
      <w:r>
        <w:rPr>
          <w:rStyle w:val="6"/>
          <w:rFonts w:hint="eastAsia" w:ascii="黑体" w:hAnsi="黑体" w:eastAsia="黑体"/>
          <w:b w:val="0"/>
          <w:spacing w:val="-4"/>
          <w:sz w:val="32"/>
          <w:szCs w:val="32"/>
        </w:rPr>
        <w:t>二、项目资金使用及管理情况</w:t>
      </w:r>
    </w:p>
    <w:p>
      <w:pPr>
        <w:keepNext w:val="0"/>
        <w:keepLines w:val="0"/>
        <w:pageBreakBefore w:val="0"/>
        <w:kinsoku/>
        <w:wordWrap/>
        <w:overflowPunct/>
        <w:topLinePunct w:val="0"/>
        <w:autoSpaceDE/>
        <w:autoSpaceDN/>
        <w:bidi w:val="0"/>
        <w:adjustRightInd/>
        <w:snapToGrid/>
        <w:spacing w:line="540" w:lineRule="exact"/>
        <w:ind w:firstLine="567" w:firstLineChars="181"/>
        <w:textAlignment w:val="auto"/>
        <w:outlineLvl w:val="9"/>
        <w:rPr>
          <w:rStyle w:val="6"/>
          <w:rFonts w:ascii="楷体" w:hAnsi="楷体" w:eastAsia="楷体"/>
          <w:spacing w:val="-4"/>
          <w:sz w:val="32"/>
          <w:szCs w:val="32"/>
        </w:rPr>
      </w:pPr>
      <w:r>
        <w:rPr>
          <w:rStyle w:val="6"/>
          <w:rFonts w:hint="eastAsia" w:ascii="楷体" w:hAnsi="楷体" w:eastAsia="楷体"/>
          <w:spacing w:val="-4"/>
          <w:sz w:val="32"/>
          <w:szCs w:val="32"/>
        </w:rPr>
        <w:t>（一）项目资金安排落实、总投入等情况分析</w:t>
      </w:r>
    </w:p>
    <w:p>
      <w:pPr>
        <w:keepNext w:val="0"/>
        <w:keepLines w:val="0"/>
        <w:pageBreakBefore w:val="0"/>
        <w:kinsoku/>
        <w:wordWrap/>
        <w:overflowPunct/>
        <w:topLinePunct w:val="0"/>
        <w:autoSpaceDE/>
        <w:autoSpaceDN/>
        <w:bidi w:val="0"/>
        <w:adjustRightInd/>
        <w:snapToGrid/>
        <w:spacing w:line="540" w:lineRule="exact"/>
        <w:ind w:left="315" w:leftChars="150" w:firstLine="99" w:firstLineChars="31"/>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项目支出预算资金安排</w:t>
      </w:r>
      <w:r>
        <w:rPr>
          <w:rFonts w:ascii="仿宋_GB2312" w:hAnsi="仿宋_GB2312" w:eastAsia="仿宋_GB2312" w:cs="仿宋_GB2312"/>
          <w:sz w:val="32"/>
          <w:szCs w:val="32"/>
        </w:rPr>
        <w:t>16.61</w:t>
      </w:r>
      <w:r>
        <w:rPr>
          <w:rFonts w:hint="eastAsia" w:ascii="仿宋_GB2312" w:hAnsi="仿宋_GB2312" w:eastAsia="仿宋_GB2312" w:cs="仿宋_GB2312"/>
          <w:sz w:val="32"/>
          <w:szCs w:val="32"/>
        </w:rPr>
        <w:t>万元、资金来源为债券资金。</w:t>
      </w:r>
    </w:p>
    <w:p>
      <w:pPr>
        <w:keepNext w:val="0"/>
        <w:keepLines w:val="0"/>
        <w:pageBreakBefore w:val="0"/>
        <w:kinsoku/>
        <w:wordWrap/>
        <w:overflowPunct/>
        <w:topLinePunct w:val="0"/>
        <w:autoSpaceDE/>
        <w:autoSpaceDN/>
        <w:bidi w:val="0"/>
        <w:adjustRightInd/>
        <w:snapToGrid/>
        <w:spacing w:line="540" w:lineRule="exact"/>
        <w:ind w:left="315" w:leftChars="150" w:firstLine="407" w:firstLineChars="130"/>
        <w:textAlignment w:val="auto"/>
        <w:outlineLvl w:val="9"/>
        <w:rPr>
          <w:rStyle w:val="6"/>
          <w:rFonts w:ascii="楷体" w:hAnsi="楷体" w:eastAsia="楷体"/>
          <w:spacing w:val="-4"/>
          <w:sz w:val="32"/>
          <w:szCs w:val="32"/>
        </w:rPr>
      </w:pPr>
      <w:r>
        <w:rPr>
          <w:rStyle w:val="6"/>
          <w:rFonts w:hint="eastAsia" w:ascii="楷体" w:hAnsi="楷体" w:eastAsia="楷体"/>
          <w:spacing w:val="-4"/>
          <w:sz w:val="32"/>
          <w:szCs w:val="32"/>
        </w:rPr>
        <w:t>（二）项目资金实际使用情况分析</w:t>
      </w:r>
    </w:p>
    <w:p>
      <w:pPr>
        <w:keepNext w:val="0"/>
        <w:keepLines w:val="0"/>
        <w:pageBreakBefore w:val="0"/>
        <w:kinsoku/>
        <w:wordWrap/>
        <w:overflowPunct/>
        <w:topLinePunct w:val="0"/>
        <w:autoSpaceDE/>
        <w:autoSpaceDN/>
        <w:bidi w:val="0"/>
        <w:adjustRightInd/>
        <w:snapToGrid/>
        <w:spacing w:line="540" w:lineRule="exact"/>
        <w:ind w:firstLine="579" w:firstLineChars="181"/>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截止</w:t>
      </w:r>
      <w:r>
        <w:rPr>
          <w:rFonts w:ascii="仿宋_GB2312" w:hAnsi="仿宋_GB2312" w:eastAsia="仿宋_GB2312" w:cs="仿宋_GB2312"/>
          <w:sz w:val="32"/>
          <w:szCs w:val="32"/>
        </w:rPr>
        <w:t>2018</w:t>
      </w:r>
      <w:r>
        <w:rPr>
          <w:rFonts w:hint="eastAsia" w:ascii="仿宋_GB2312" w:hAnsi="仿宋_GB2312" w:eastAsia="仿宋_GB2312" w:cs="仿宋_GB2312"/>
          <w:sz w:val="32"/>
          <w:szCs w:val="32"/>
        </w:rPr>
        <w:t>年年底、该项目实际支出</w:t>
      </w:r>
      <w:r>
        <w:rPr>
          <w:rFonts w:ascii="仿宋_GB2312" w:hAnsi="仿宋_GB2312" w:eastAsia="仿宋_GB2312" w:cs="仿宋_GB2312"/>
          <w:sz w:val="32"/>
          <w:szCs w:val="32"/>
        </w:rPr>
        <w:t>16.61</w:t>
      </w:r>
      <w:r>
        <w:rPr>
          <w:rFonts w:hint="eastAsia" w:ascii="仿宋_GB2312" w:hAnsi="仿宋_GB2312" w:eastAsia="仿宋_GB2312" w:cs="仿宋_GB2312"/>
          <w:sz w:val="32"/>
          <w:szCs w:val="32"/>
        </w:rPr>
        <w:t>万元。</w:t>
      </w:r>
    </w:p>
    <w:p>
      <w:pPr>
        <w:keepNext w:val="0"/>
        <w:keepLines w:val="0"/>
        <w:pageBreakBefore w:val="0"/>
        <w:kinsoku/>
        <w:wordWrap/>
        <w:overflowPunct/>
        <w:topLinePunct w:val="0"/>
        <w:autoSpaceDE/>
        <w:autoSpaceDN/>
        <w:bidi w:val="0"/>
        <w:adjustRightInd/>
        <w:snapToGrid/>
        <w:spacing w:line="540" w:lineRule="exact"/>
        <w:ind w:firstLine="567" w:firstLineChars="181"/>
        <w:textAlignment w:val="auto"/>
        <w:outlineLvl w:val="9"/>
        <w:rPr>
          <w:rStyle w:val="6"/>
          <w:rFonts w:ascii="楷体" w:hAnsi="楷体" w:eastAsia="楷体"/>
          <w:spacing w:val="-4"/>
          <w:sz w:val="32"/>
          <w:szCs w:val="32"/>
        </w:rPr>
      </w:pPr>
      <w:r>
        <w:rPr>
          <w:rStyle w:val="6"/>
          <w:rFonts w:hint="eastAsia" w:ascii="楷体" w:hAnsi="楷体" w:eastAsia="楷体"/>
          <w:spacing w:val="-4"/>
          <w:sz w:val="32"/>
          <w:szCs w:val="32"/>
        </w:rPr>
        <w:t>（三）项目资金管理情况分析</w:t>
      </w:r>
    </w:p>
    <w:p>
      <w:pPr>
        <w:keepNext w:val="0"/>
        <w:keepLines w:val="0"/>
        <w:pageBreakBefore w:val="0"/>
        <w:kinsoku/>
        <w:wordWrap/>
        <w:overflowPunct/>
        <w:topLinePunct w:val="0"/>
        <w:autoSpaceDE/>
        <w:autoSpaceDN/>
        <w:bidi w:val="0"/>
        <w:adjustRightInd/>
        <w:snapToGrid/>
        <w:spacing w:line="540" w:lineRule="exact"/>
        <w:ind w:firstLine="624" w:firstLineChars="200"/>
        <w:textAlignment w:val="auto"/>
        <w:outlineLvl w:val="9"/>
        <w:rPr>
          <w:rStyle w:val="6"/>
          <w:rFonts w:ascii="仿宋_GB2312" w:hAnsi="仿宋_GB2312" w:eastAsia="仿宋_GB2312" w:cs="仿宋_GB2312"/>
          <w:b w:val="0"/>
          <w:spacing w:val="-4"/>
          <w:sz w:val="32"/>
          <w:szCs w:val="32"/>
        </w:rPr>
      </w:pPr>
      <w:r>
        <w:rPr>
          <w:rStyle w:val="6"/>
          <w:rFonts w:ascii="仿宋_GB2312" w:hAnsi="仿宋_GB2312" w:eastAsia="仿宋_GB2312" w:cs="仿宋_GB2312"/>
          <w:b w:val="0"/>
          <w:spacing w:val="-4"/>
          <w:sz w:val="32"/>
          <w:szCs w:val="32"/>
        </w:rPr>
        <w:t>2018</w:t>
      </w:r>
      <w:r>
        <w:rPr>
          <w:rStyle w:val="6"/>
          <w:rFonts w:hint="eastAsia" w:ascii="仿宋_GB2312" w:hAnsi="仿宋_GB2312" w:eastAsia="仿宋_GB2312" w:cs="仿宋_GB2312"/>
          <w:b w:val="0"/>
          <w:spacing w:val="-4"/>
          <w:sz w:val="32"/>
          <w:szCs w:val="32"/>
        </w:rPr>
        <w:t>年该项目</w:t>
      </w:r>
      <w:r>
        <w:rPr>
          <w:rFonts w:hint="eastAsia" w:ascii="仿宋_GB2312" w:hAnsi="仿宋_GB2312" w:eastAsia="仿宋_GB2312" w:cs="仿宋_GB2312"/>
          <w:sz w:val="32"/>
          <w:szCs w:val="32"/>
        </w:rPr>
        <w:t>所有资金实行专款专用。项目支出均有相关的授权审批，资金拨付严格审批程序，使用规范，会计核算结果真实、准确。项目单位建立健全项目实施预算方案、财务管理制度和会计核算制度，此次绩效评价过程中未发现有截留、挤占或挪用项目资金的情况。</w:t>
      </w:r>
    </w:p>
    <w:p>
      <w:pPr>
        <w:keepNext w:val="0"/>
        <w:keepLines w:val="0"/>
        <w:pageBreakBefore w:val="0"/>
        <w:kinsoku/>
        <w:wordWrap/>
        <w:overflowPunct/>
        <w:topLinePunct w:val="0"/>
        <w:autoSpaceDE/>
        <w:autoSpaceDN/>
        <w:bidi w:val="0"/>
        <w:adjustRightInd/>
        <w:snapToGrid/>
        <w:spacing w:line="540" w:lineRule="exact"/>
        <w:ind w:firstLine="640"/>
        <w:textAlignment w:val="auto"/>
        <w:outlineLvl w:val="9"/>
        <w:rPr>
          <w:rStyle w:val="6"/>
          <w:rFonts w:ascii="黑体" w:hAnsi="黑体" w:eastAsia="黑体"/>
          <w:b w:val="0"/>
          <w:spacing w:val="-4"/>
          <w:sz w:val="32"/>
          <w:szCs w:val="32"/>
        </w:rPr>
      </w:pPr>
      <w:r>
        <w:rPr>
          <w:rStyle w:val="6"/>
          <w:rFonts w:hint="eastAsia" w:ascii="黑体" w:hAnsi="黑体" w:eastAsia="黑体"/>
          <w:b w:val="0"/>
          <w:spacing w:val="-4"/>
          <w:sz w:val="32"/>
          <w:szCs w:val="32"/>
        </w:rPr>
        <w:t>三、项目组织实施情况</w:t>
      </w:r>
    </w:p>
    <w:p>
      <w:pPr>
        <w:keepNext w:val="0"/>
        <w:keepLines w:val="0"/>
        <w:pageBreakBefore w:val="0"/>
        <w:kinsoku/>
        <w:wordWrap/>
        <w:overflowPunct/>
        <w:topLinePunct w:val="0"/>
        <w:autoSpaceDE/>
        <w:autoSpaceDN/>
        <w:bidi w:val="0"/>
        <w:adjustRightInd/>
        <w:snapToGrid/>
        <w:spacing w:line="540" w:lineRule="exact"/>
        <w:ind w:firstLine="567" w:firstLineChars="181"/>
        <w:textAlignment w:val="auto"/>
        <w:outlineLvl w:val="9"/>
        <w:rPr>
          <w:rStyle w:val="6"/>
          <w:rFonts w:ascii="楷体" w:hAnsi="楷体" w:eastAsia="楷体"/>
          <w:spacing w:val="-4"/>
          <w:sz w:val="32"/>
          <w:szCs w:val="32"/>
        </w:rPr>
      </w:pPr>
      <w:r>
        <w:rPr>
          <w:rStyle w:val="6"/>
          <w:rFonts w:hint="eastAsia" w:ascii="楷体" w:hAnsi="楷体" w:eastAsia="楷体"/>
          <w:spacing w:val="-4"/>
          <w:sz w:val="32"/>
          <w:szCs w:val="32"/>
        </w:rPr>
        <w:t>（一）项目组织情况分析</w:t>
      </w:r>
    </w:p>
    <w:p>
      <w:pPr>
        <w:keepNext w:val="0"/>
        <w:keepLines w:val="0"/>
        <w:pageBreakBefore w:val="0"/>
        <w:kinsoku/>
        <w:wordWrap/>
        <w:overflowPunct/>
        <w:topLinePunct w:val="0"/>
        <w:autoSpaceDE/>
        <w:autoSpaceDN/>
        <w:bidi w:val="0"/>
        <w:adjustRightInd/>
        <w:snapToGrid/>
        <w:spacing w:line="540" w:lineRule="exact"/>
        <w:ind w:firstLine="579" w:firstLineChars="181"/>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该项目严格按照招投标程序组织实施。该项目已完成竣工决算验收及财务竣工审计。</w:t>
      </w:r>
    </w:p>
    <w:p>
      <w:pPr>
        <w:keepNext w:val="0"/>
        <w:keepLines w:val="0"/>
        <w:pageBreakBefore w:val="0"/>
        <w:kinsoku/>
        <w:wordWrap/>
        <w:overflowPunct/>
        <w:topLinePunct w:val="0"/>
        <w:autoSpaceDE/>
        <w:autoSpaceDN/>
        <w:bidi w:val="0"/>
        <w:adjustRightInd/>
        <w:snapToGrid/>
        <w:spacing w:line="540" w:lineRule="exact"/>
        <w:ind w:firstLine="567" w:firstLineChars="181"/>
        <w:textAlignment w:val="auto"/>
        <w:outlineLvl w:val="9"/>
        <w:rPr>
          <w:rStyle w:val="6"/>
          <w:rFonts w:ascii="楷体" w:hAnsi="楷体" w:eastAsia="楷体"/>
          <w:spacing w:val="-4"/>
          <w:sz w:val="32"/>
          <w:szCs w:val="32"/>
        </w:rPr>
      </w:pPr>
      <w:r>
        <w:rPr>
          <w:rStyle w:val="6"/>
          <w:rFonts w:hint="eastAsia" w:ascii="楷体" w:hAnsi="楷体" w:eastAsia="楷体"/>
          <w:spacing w:val="-4"/>
          <w:sz w:val="32"/>
          <w:szCs w:val="32"/>
        </w:rPr>
        <w:t>（二）项目管理情况分析</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项目目标设定依据充分、明确、合理项目建设符合县委、县政府相关规定。吉木萨尔北庭工业园区管理委员会作为该项目法人，</w:t>
      </w:r>
      <w:r>
        <w:rPr>
          <w:rStyle w:val="6"/>
          <w:rFonts w:hint="eastAsia" w:ascii="仿宋_GB2312" w:hAnsi="仿宋_GB2312" w:eastAsia="仿宋_GB2312" w:cs="仿宋_GB2312"/>
          <w:b w:val="0"/>
          <w:spacing w:val="-4"/>
          <w:sz w:val="32"/>
          <w:szCs w:val="32"/>
        </w:rPr>
        <w:t>对工程项目的前期工作、资金筹措、招投标、建设实施、竣工验收、运行管理等阶段实施管理，并根据国家有关规定结合工程实际情况制定了项目法人责任制，明确了由项目法人对工程质量负总责。</w:t>
      </w:r>
      <w:r>
        <w:rPr>
          <w:rFonts w:hint="eastAsia" w:ascii="仿宋_GB2312" w:hAnsi="仿宋_GB2312" w:eastAsia="仿宋_GB2312" w:cs="仿宋_GB2312"/>
          <w:color w:val="222222"/>
          <w:sz w:val="32"/>
          <w:szCs w:val="32"/>
          <w:shd w:val="clear" w:color="auto" w:fill="FFFFFF"/>
        </w:rPr>
        <w:t>结合项目实际情况做好项目的投资控制、质量控制、进度控制，项目的安全管理、合同管理、信息管理，组织协调好设计方、施工方、监理方的</w:t>
      </w:r>
      <w:r>
        <w:rPr>
          <w:rFonts w:hint="eastAsia" w:ascii="仿宋_GB2312" w:hAnsi="仿宋_GB2312" w:eastAsia="仿宋_GB2312" w:cs="仿宋_GB2312"/>
          <w:sz w:val="32"/>
          <w:szCs w:val="32"/>
        </w:rPr>
        <w:t>关系。遵循“施工自检、监理抽检、业主管理、政府监督”原则，做好项目的质量安全监督工作。</w:t>
      </w:r>
    </w:p>
    <w:p>
      <w:pPr>
        <w:keepNext w:val="0"/>
        <w:keepLines w:val="0"/>
        <w:pageBreakBefore w:val="0"/>
        <w:kinsoku/>
        <w:wordWrap/>
        <w:overflowPunct/>
        <w:topLinePunct w:val="0"/>
        <w:autoSpaceDE/>
        <w:autoSpaceDN/>
        <w:bidi w:val="0"/>
        <w:adjustRightInd/>
        <w:snapToGrid/>
        <w:spacing w:line="540" w:lineRule="exact"/>
        <w:ind w:firstLine="640"/>
        <w:textAlignment w:val="auto"/>
        <w:outlineLvl w:val="9"/>
        <w:rPr>
          <w:rStyle w:val="6"/>
          <w:rFonts w:ascii="黑体" w:hAnsi="黑体" w:eastAsia="黑体"/>
        </w:rPr>
      </w:pPr>
      <w:r>
        <w:rPr>
          <w:rStyle w:val="6"/>
          <w:rFonts w:hint="eastAsia" w:ascii="黑体" w:hAnsi="黑体" w:eastAsia="黑体"/>
          <w:b w:val="0"/>
          <w:spacing w:val="-4"/>
          <w:sz w:val="32"/>
          <w:szCs w:val="32"/>
        </w:rPr>
        <w:t>四、项目绩效情况</w:t>
      </w:r>
      <w:r>
        <w:rPr>
          <w:rStyle w:val="6"/>
          <w:rFonts w:ascii="黑体" w:hAnsi="黑体" w:eastAsia="黑体"/>
        </w:rPr>
        <w:t xml:space="preserve"> </w:t>
      </w:r>
    </w:p>
    <w:p>
      <w:pPr>
        <w:keepNext w:val="0"/>
        <w:keepLines w:val="0"/>
        <w:pageBreakBefore w:val="0"/>
        <w:kinsoku/>
        <w:wordWrap/>
        <w:overflowPunct/>
        <w:topLinePunct w:val="0"/>
        <w:autoSpaceDE/>
        <w:autoSpaceDN/>
        <w:bidi w:val="0"/>
        <w:adjustRightInd/>
        <w:snapToGrid/>
        <w:spacing w:line="540" w:lineRule="exact"/>
        <w:ind w:firstLine="567" w:firstLineChars="181"/>
        <w:textAlignment w:val="auto"/>
        <w:outlineLvl w:val="9"/>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keepNext w:val="0"/>
        <w:keepLines w:val="0"/>
        <w:pageBreakBefore w:val="0"/>
        <w:kinsoku/>
        <w:wordWrap/>
        <w:overflowPunct/>
        <w:topLinePunct w:val="0"/>
        <w:autoSpaceDE/>
        <w:autoSpaceDN/>
        <w:bidi w:val="0"/>
        <w:adjustRightInd/>
        <w:snapToGrid/>
        <w:spacing w:line="540" w:lineRule="exact"/>
        <w:ind w:firstLine="579" w:firstLineChars="181"/>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项目成本</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预算</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控制情况：本项目结算审定价</w:t>
      </w:r>
      <w:r>
        <w:rPr>
          <w:rFonts w:ascii="仿宋_GB2312" w:hAnsi="仿宋_GB2312" w:eastAsia="仿宋_GB2312" w:cs="仿宋_GB2312"/>
          <w:sz w:val="32"/>
          <w:szCs w:val="32"/>
        </w:rPr>
        <w:t>96.28</w:t>
      </w:r>
      <w:r>
        <w:rPr>
          <w:rFonts w:hint="eastAsia" w:ascii="仿宋_GB2312" w:hAnsi="仿宋_GB2312" w:eastAsia="仿宋_GB2312" w:cs="仿宋_GB2312"/>
          <w:kern w:val="0"/>
          <w:sz w:val="32"/>
          <w:szCs w:val="32"/>
        </w:rPr>
        <w:t>万</w:t>
      </w:r>
      <w:r>
        <w:rPr>
          <w:rFonts w:hint="eastAsia" w:ascii="仿宋_GB2312" w:hAnsi="仿宋_GB2312" w:eastAsia="仿宋_GB2312" w:cs="仿宋_GB2312"/>
          <w:sz w:val="32"/>
          <w:szCs w:val="32"/>
        </w:rPr>
        <w:t>元全部用于本项目建设等支出，在进行项目前期可行性研究的时，以减少项目预算成本，在聘请中介机构方面，我们主要选择多家单位进行比较，看谁的影响面广、价格又相对便宜，我们就和谁签订合同，以降低项目成本。通过成本比较的方式，对项目成本进行控制，有效节约了成本。</w:t>
      </w:r>
    </w:p>
    <w:p>
      <w:pPr>
        <w:keepNext w:val="0"/>
        <w:keepLines w:val="0"/>
        <w:pageBreakBefore w:val="0"/>
        <w:kinsoku/>
        <w:wordWrap/>
        <w:overflowPunct/>
        <w:topLinePunct w:val="0"/>
        <w:autoSpaceDE/>
        <w:autoSpaceDN/>
        <w:bidi w:val="0"/>
        <w:adjustRightInd/>
        <w:snapToGrid/>
        <w:spacing w:line="540" w:lineRule="exact"/>
        <w:ind w:firstLine="579" w:firstLineChars="181"/>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）项目的效率性分析：项目的实施进度是按照该项目工作的需求逐步进行，到</w:t>
      </w:r>
      <w:r>
        <w:rPr>
          <w:rFonts w:ascii="仿宋_GB2312" w:hAnsi="仿宋_GB2312" w:eastAsia="仿宋_GB2312" w:cs="仿宋_GB2312"/>
          <w:sz w:val="32"/>
          <w:szCs w:val="32"/>
        </w:rPr>
        <w:t>2018</w:t>
      </w:r>
      <w:r>
        <w:rPr>
          <w:rFonts w:hint="eastAsia" w:ascii="仿宋_GB2312" w:hAnsi="仿宋_GB2312" w:eastAsia="仿宋_GB2312" w:cs="仿宋_GB2312"/>
          <w:sz w:val="32"/>
          <w:szCs w:val="32"/>
        </w:rPr>
        <w:t>年底已完成了目标工作的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 xml:space="preserve">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ascii="仿宋_GB2312" w:hAnsi="仿宋_GB2312" w:eastAsia="仿宋_GB2312" w:cs="仿宋_GB2312"/>
          <w:kern w:val="0"/>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）项目的效益性分析：项目预期目标完成程度。该项目预期目标已完成</w:t>
      </w:r>
      <w:r>
        <w:rPr>
          <w:rFonts w:ascii="仿宋_GB2312" w:hAnsi="仿宋_GB2312" w:eastAsia="仿宋_GB2312" w:cs="仿宋_GB2312"/>
          <w:sz w:val="32"/>
          <w:szCs w:val="32"/>
        </w:rPr>
        <w:t>,2018</w:t>
      </w:r>
      <w:r>
        <w:rPr>
          <w:rFonts w:hint="eastAsia" w:ascii="仿宋_GB2312" w:hAnsi="仿宋_GB2312" w:eastAsia="仿宋_GB2312" w:cs="仿宋_GB2312"/>
          <w:sz w:val="32"/>
          <w:szCs w:val="32"/>
        </w:rPr>
        <w:t>年度财政收支未发生重大问题。项目实施加强了财政资金监管工作，确保了各项公益性建设项目顺利实施，提高了财政资金使用效率和运行质量预算执行进度强化了基层财政监</w:t>
      </w:r>
      <w:r>
        <w:rPr>
          <w:rFonts w:hint="eastAsia" w:ascii="仿宋_GB2312" w:hAnsi="仿宋_GB2312" w:eastAsia="仿宋_GB2312" w:cs="仿宋_GB2312"/>
          <w:kern w:val="0"/>
          <w:sz w:val="32"/>
          <w:szCs w:val="32"/>
        </w:rPr>
        <w:t>督职能，保障了各项政策贯彻实施和各项资金有效使用，极大地保障了财政资金的安全高效。</w:t>
      </w:r>
    </w:p>
    <w:p>
      <w:pPr>
        <w:keepNext w:val="0"/>
        <w:keepLines w:val="0"/>
        <w:pageBreakBefore w:val="0"/>
        <w:kinsoku/>
        <w:wordWrap/>
        <w:overflowPunct/>
        <w:topLinePunct w:val="0"/>
        <w:autoSpaceDE/>
        <w:autoSpaceDN/>
        <w:bidi w:val="0"/>
        <w:adjustRightInd/>
        <w:snapToGrid/>
        <w:spacing w:line="540" w:lineRule="exact"/>
        <w:ind w:firstLine="640"/>
        <w:textAlignment w:val="auto"/>
        <w:outlineLvl w:val="9"/>
        <w:rPr>
          <w:rStyle w:val="6"/>
          <w:rFonts w:ascii="黑体" w:hAnsi="黑体" w:eastAsia="黑体"/>
          <w:b w:val="0"/>
          <w:spacing w:val="-4"/>
          <w:sz w:val="32"/>
          <w:szCs w:val="32"/>
        </w:rPr>
      </w:pPr>
      <w:r>
        <w:rPr>
          <w:rStyle w:val="6"/>
          <w:rFonts w:hint="eastAsia" w:ascii="黑体" w:hAnsi="黑体" w:eastAsia="黑体"/>
          <w:b w:val="0"/>
          <w:spacing w:val="-4"/>
          <w:sz w:val="32"/>
          <w:szCs w:val="32"/>
        </w:rPr>
        <w:t>五、其他需要说明的问题</w:t>
      </w:r>
    </w:p>
    <w:p>
      <w:pPr>
        <w:keepNext w:val="0"/>
        <w:keepLines w:val="0"/>
        <w:pageBreakBefore w:val="0"/>
        <w:kinsoku/>
        <w:wordWrap/>
        <w:overflowPunct/>
        <w:topLinePunct w:val="0"/>
        <w:autoSpaceDE/>
        <w:autoSpaceDN/>
        <w:bidi w:val="0"/>
        <w:adjustRightInd/>
        <w:snapToGrid/>
        <w:spacing w:line="540" w:lineRule="exact"/>
        <w:ind w:firstLine="567" w:firstLineChars="181"/>
        <w:textAlignment w:val="auto"/>
        <w:outlineLvl w:val="9"/>
        <w:rPr>
          <w:rFonts w:ascii="楷体" w:hAnsi="楷体" w:eastAsia="楷体"/>
          <w:b/>
          <w:spacing w:val="-4"/>
          <w:sz w:val="32"/>
          <w:szCs w:val="32"/>
        </w:rPr>
      </w:pPr>
      <w:r>
        <w:rPr>
          <w:rFonts w:hint="eastAsia" w:ascii="楷体" w:hAnsi="楷体" w:eastAsia="楷体"/>
          <w:b/>
          <w:spacing w:val="-4"/>
          <w:sz w:val="32"/>
          <w:szCs w:val="32"/>
        </w:rPr>
        <w:t>（一）后续工作计划</w:t>
      </w:r>
    </w:p>
    <w:p>
      <w:pPr>
        <w:keepNext w:val="0"/>
        <w:keepLines w:val="0"/>
        <w:pageBreakBefore w:val="0"/>
        <w:kinsoku/>
        <w:wordWrap/>
        <w:overflowPunct/>
        <w:topLinePunct w:val="0"/>
        <w:autoSpaceDE/>
        <w:autoSpaceDN/>
        <w:bidi w:val="0"/>
        <w:adjustRightInd/>
        <w:snapToGrid/>
        <w:spacing w:line="540" w:lineRule="exact"/>
        <w:ind w:firstLine="579" w:firstLineChars="181"/>
        <w:textAlignment w:val="auto"/>
        <w:outlineLvl w:val="9"/>
        <w:rPr>
          <w:rFonts w:ascii="仿宋_GB2312" w:hAnsi="仿宋_GB2312" w:eastAsia="仿宋_GB2312" w:cs="仿宋_GB2312"/>
          <w:b/>
          <w:spacing w:val="-4"/>
          <w:sz w:val="32"/>
          <w:szCs w:val="32"/>
        </w:rPr>
      </w:pPr>
      <w:r>
        <w:rPr>
          <w:rFonts w:hint="eastAsia" w:ascii="仿宋_GB2312" w:hAnsi="仿宋_GB2312" w:eastAsia="仿宋_GB2312" w:cs="仿宋_GB2312"/>
          <w:kern w:val="0"/>
          <w:sz w:val="32"/>
          <w:szCs w:val="32"/>
        </w:rPr>
        <w:t>由于绩效自评是一项开展不久的工作任务，项目支出运行实践经验还欠缺，我管委会相关人员配备不足，相关制度建设还有待进一步拟定加强。</w:t>
      </w:r>
    </w:p>
    <w:p>
      <w:pPr>
        <w:keepNext w:val="0"/>
        <w:keepLines w:val="0"/>
        <w:pageBreakBefore w:val="0"/>
        <w:kinsoku/>
        <w:wordWrap/>
        <w:overflowPunct/>
        <w:topLinePunct w:val="0"/>
        <w:autoSpaceDE/>
        <w:autoSpaceDN/>
        <w:bidi w:val="0"/>
        <w:adjustRightInd/>
        <w:snapToGrid/>
        <w:spacing w:line="540" w:lineRule="exact"/>
        <w:ind w:firstLine="640"/>
        <w:textAlignment w:val="auto"/>
        <w:outlineLvl w:val="9"/>
        <w:rPr>
          <w:rStyle w:val="6"/>
          <w:rFonts w:ascii="黑体" w:hAnsi="黑体" w:eastAsia="黑体"/>
          <w:b w:val="0"/>
          <w:spacing w:val="-4"/>
          <w:sz w:val="32"/>
          <w:szCs w:val="32"/>
        </w:rPr>
      </w:pPr>
      <w:r>
        <w:rPr>
          <w:rStyle w:val="6"/>
          <w:rFonts w:hint="eastAsia" w:ascii="黑体" w:hAnsi="黑体" w:eastAsia="黑体"/>
          <w:b w:val="0"/>
          <w:spacing w:val="-4"/>
          <w:sz w:val="32"/>
          <w:szCs w:val="32"/>
        </w:rPr>
        <w:t>六、项目评价工作情况</w:t>
      </w:r>
    </w:p>
    <w:p>
      <w:pPr>
        <w:keepNext w:val="0"/>
        <w:keepLines w:val="0"/>
        <w:pageBreakBefore w:val="0"/>
        <w:kinsoku/>
        <w:wordWrap/>
        <w:overflowPunct/>
        <w:topLinePunct w:val="0"/>
        <w:autoSpaceDE/>
        <w:autoSpaceDN/>
        <w:bidi w:val="0"/>
        <w:adjustRightInd/>
        <w:snapToGrid/>
        <w:spacing w:line="540" w:lineRule="exact"/>
        <w:ind w:firstLine="640"/>
        <w:textAlignment w:val="auto"/>
        <w:outlineLvl w:val="9"/>
        <w:rPr>
          <w:rStyle w:val="6"/>
          <w:rFonts w:ascii="仿宋_GB2312" w:hAnsi="仿宋_GB2312" w:eastAsia="仿宋_GB2312" w:cs="仿宋_GB2312"/>
          <w:b w:val="0"/>
          <w:spacing w:val="-4"/>
          <w:sz w:val="32"/>
          <w:szCs w:val="32"/>
        </w:rPr>
      </w:pPr>
      <w:r>
        <w:rPr>
          <w:rStyle w:val="6"/>
          <w:rFonts w:hint="eastAsia" w:ascii="仿宋_GB2312" w:hAnsi="仿宋_GB2312" w:eastAsia="仿宋_GB2312" w:cs="仿宋_GB2312"/>
          <w:b w:val="0"/>
          <w:spacing w:val="-4"/>
          <w:sz w:val="32"/>
          <w:szCs w:val="32"/>
        </w:rPr>
        <w:t>根据项目批复文件、实施方案、招投标备案资料、施工合同、施工资料、群众满意度问卷调查及工程验收报告等资料对该项目进行绩效评价。</w:t>
      </w:r>
    </w:p>
    <w:p>
      <w:pPr>
        <w:keepNext w:val="0"/>
        <w:keepLines w:val="0"/>
        <w:pageBreakBefore w:val="0"/>
        <w:kinsoku/>
        <w:wordWrap/>
        <w:overflowPunct/>
        <w:topLinePunct w:val="0"/>
        <w:autoSpaceDE/>
        <w:autoSpaceDN/>
        <w:bidi w:val="0"/>
        <w:adjustRightInd/>
        <w:snapToGrid/>
        <w:spacing w:line="540" w:lineRule="exact"/>
        <w:ind w:firstLine="640"/>
        <w:textAlignment w:val="auto"/>
        <w:outlineLvl w:val="9"/>
        <w:rPr>
          <w:rStyle w:val="6"/>
          <w:rFonts w:ascii="黑体" w:hAnsi="黑体" w:eastAsia="黑体"/>
          <w:b w:val="0"/>
          <w:spacing w:val="-4"/>
          <w:sz w:val="32"/>
          <w:szCs w:val="32"/>
        </w:rPr>
      </w:pPr>
      <w:r>
        <w:rPr>
          <w:rStyle w:val="6"/>
          <w:rFonts w:hint="eastAsia" w:ascii="黑体" w:hAnsi="黑体" w:eastAsia="黑体"/>
          <w:b w:val="0"/>
          <w:spacing w:val="-4"/>
          <w:sz w:val="32"/>
          <w:szCs w:val="32"/>
        </w:rPr>
        <w:t>七、附表</w:t>
      </w:r>
    </w:p>
    <w:p>
      <w:pPr>
        <w:keepNext w:val="0"/>
        <w:keepLines w:val="0"/>
        <w:pageBreakBefore w:val="0"/>
        <w:kinsoku/>
        <w:wordWrap/>
        <w:overflowPunct/>
        <w:topLinePunct w:val="0"/>
        <w:autoSpaceDE/>
        <w:autoSpaceDN/>
        <w:bidi w:val="0"/>
        <w:adjustRightInd/>
        <w:snapToGrid/>
        <w:spacing w:line="540" w:lineRule="exact"/>
        <w:ind w:firstLine="567"/>
        <w:textAlignment w:val="auto"/>
        <w:outlineLvl w:val="9"/>
        <w:rPr>
          <w:rStyle w:val="6"/>
          <w:rFonts w:ascii="仿宋" w:hAnsi="仿宋" w:eastAsia="仿宋"/>
          <w:b w:val="0"/>
          <w:spacing w:val="-4"/>
          <w:sz w:val="32"/>
          <w:szCs w:val="32"/>
        </w:rPr>
      </w:pPr>
      <w:r>
        <w:rPr>
          <w:rStyle w:val="6"/>
          <w:rFonts w:hint="eastAsia" w:ascii="仿宋" w:hAnsi="仿宋" w:eastAsia="仿宋"/>
          <w:b w:val="0"/>
          <w:spacing w:val="-4"/>
          <w:sz w:val="32"/>
          <w:szCs w:val="32"/>
        </w:rPr>
        <w:t>《财政项目支出绩效自评表》</w:t>
      </w:r>
    </w:p>
    <w:tbl>
      <w:tblPr>
        <w:tblStyle w:val="7"/>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cs="宋体"/>
                <w:b/>
                <w:bCs/>
                <w:kern w:val="0"/>
                <w:sz w:val="32"/>
                <w:szCs w:val="32"/>
              </w:rPr>
            </w:pP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cs="宋体"/>
                <w:kern w:val="0"/>
                <w:sz w:val="24"/>
              </w:rPr>
            </w:pPr>
            <w:r>
              <w:rPr>
                <w:rFonts w:hint="eastAsia" w:ascii="宋体" w:hAnsi="宋体" w:cs="宋体"/>
                <w:kern w:val="0"/>
                <w:sz w:val="24"/>
              </w:rPr>
              <w:t>（</w:t>
            </w:r>
            <w:r>
              <w:rPr>
                <w:kern w:val="0"/>
                <w:sz w:val="24"/>
              </w:rPr>
              <w:t>2018</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cs="宋体"/>
                <w:kern w:val="0"/>
                <w:sz w:val="24"/>
              </w:rPr>
            </w:pPr>
          </w:p>
        </w:tc>
        <w:tc>
          <w:tcPr>
            <w:tcW w:w="114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cs="宋体"/>
                <w:kern w:val="0"/>
                <w:sz w:val="24"/>
              </w:rPr>
            </w:pPr>
          </w:p>
        </w:tc>
        <w:tc>
          <w:tcPr>
            <w:tcW w:w="136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cs="宋体"/>
                <w:kern w:val="0"/>
                <w:sz w:val="24"/>
              </w:rPr>
            </w:pPr>
          </w:p>
        </w:tc>
        <w:tc>
          <w:tcPr>
            <w:tcW w:w="108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cs="宋体"/>
                <w:kern w:val="0"/>
                <w:sz w:val="24"/>
              </w:rPr>
            </w:pPr>
          </w:p>
        </w:tc>
        <w:tc>
          <w:tcPr>
            <w:tcW w:w="88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cs="宋体"/>
                <w:kern w:val="0"/>
                <w:sz w:val="24"/>
              </w:rPr>
            </w:pPr>
          </w:p>
        </w:tc>
        <w:tc>
          <w:tcPr>
            <w:tcW w:w="206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cs="宋体"/>
                <w:kern w:val="0"/>
                <w:sz w:val="24"/>
              </w:rPr>
            </w:pPr>
          </w:p>
        </w:tc>
        <w:tc>
          <w:tcPr>
            <w:tcW w:w="178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eastAsia="宋体" w:cs="宋体"/>
                <w:kern w:val="0"/>
                <w:sz w:val="20"/>
                <w:szCs w:val="20"/>
              </w:rPr>
            </w:pPr>
            <w:r>
              <w:rPr>
                <w:rFonts w:hint="eastAsia" w:ascii="宋体" w:hAnsi="宋体" w:eastAsia="宋体" w:cs="宋体"/>
                <w:sz w:val="20"/>
                <w:szCs w:val="20"/>
              </w:rPr>
              <w:t>吉木萨尔县北庭管委会排水工程</w:t>
            </w:r>
            <w:r>
              <w:rPr>
                <w:rFonts w:hint="eastAsia" w:ascii="宋体" w:hAnsi="宋体" w:eastAsia="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吉木萨尔北庭工业园区管理委员会</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预算</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执行</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情况</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　16.61</w:t>
            </w:r>
          </w:p>
        </w:tc>
        <w:tc>
          <w:tcPr>
            <w:tcW w:w="20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 xml:space="preserve"> 执行数：</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16.61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p>
        </w:tc>
        <w:tc>
          <w:tcPr>
            <w:tcW w:w="250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16.61　</w:t>
            </w:r>
          </w:p>
        </w:tc>
        <w:tc>
          <w:tcPr>
            <w:tcW w:w="2060" w:type="dxa"/>
            <w:tcBorders>
              <w:top w:val="nil"/>
              <w:left w:val="nil"/>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其中：财政拨款</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16.61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p>
        </w:tc>
        <w:tc>
          <w:tcPr>
            <w:tcW w:w="250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　</w:t>
            </w:r>
          </w:p>
        </w:tc>
        <w:tc>
          <w:tcPr>
            <w:tcW w:w="2060" w:type="dxa"/>
            <w:tcBorders>
              <w:top w:val="single" w:color="auto" w:sz="4" w:space="0"/>
              <w:left w:val="nil"/>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其他资金</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年度</w:t>
            </w:r>
            <w:r>
              <w:rPr>
                <w:rFonts w:hint="eastAsia" w:ascii="宋体" w:hAnsi="宋体" w:eastAsia="宋体" w:cs="宋体"/>
                <w:kern w:val="0"/>
                <w:sz w:val="20"/>
                <w:szCs w:val="20"/>
              </w:rPr>
              <w:br w:type="textWrapping"/>
            </w:r>
            <w:r>
              <w:rPr>
                <w:rFonts w:hint="eastAsia" w:ascii="宋体" w:hAnsi="宋体" w:eastAsia="宋体" w:cs="宋体"/>
                <w:kern w:val="0"/>
                <w:sz w:val="20"/>
                <w:szCs w:val="20"/>
              </w:rPr>
              <w:t>目标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完成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　工程已全部完工，完成剩余资金的拨付</w:t>
            </w:r>
          </w:p>
        </w:tc>
        <w:tc>
          <w:tcPr>
            <w:tcW w:w="3840" w:type="dxa"/>
            <w:gridSpan w:val="2"/>
            <w:tcBorders>
              <w:top w:val="single" w:color="auto" w:sz="4" w:space="0"/>
              <w:left w:val="nil"/>
              <w:bottom w:val="single" w:color="auto"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工程已全部完工，完成剩余资金的拨付</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年度</w:t>
            </w:r>
            <w:r>
              <w:rPr>
                <w:rFonts w:hint="eastAsia" w:ascii="宋体" w:hAnsi="宋体" w:eastAsia="宋体" w:cs="宋体"/>
                <w:kern w:val="0"/>
                <w:sz w:val="20"/>
                <w:szCs w:val="20"/>
              </w:rPr>
              <w:br w:type="textWrapping"/>
            </w:r>
            <w:r>
              <w:rPr>
                <w:rFonts w:hint="eastAsia" w:ascii="宋体" w:hAnsi="宋体" w:eastAsia="宋体" w:cs="宋体"/>
                <w:kern w:val="0"/>
                <w:sz w:val="20"/>
                <w:szCs w:val="20"/>
              </w:rPr>
              <w:t>绩效</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指标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完成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情况</w:t>
            </w:r>
          </w:p>
        </w:tc>
        <w:tc>
          <w:tcPr>
            <w:tcW w:w="1140" w:type="dxa"/>
            <w:tcBorders>
              <w:top w:val="nil"/>
              <w:left w:val="nil"/>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一级指标</w:t>
            </w:r>
          </w:p>
        </w:tc>
        <w:tc>
          <w:tcPr>
            <w:tcW w:w="13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三级指标</w:t>
            </w:r>
          </w:p>
        </w:tc>
        <w:tc>
          <w:tcPr>
            <w:tcW w:w="20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项目完成指标</w:t>
            </w:r>
          </w:p>
        </w:tc>
        <w:tc>
          <w:tcPr>
            <w:tcW w:w="1360" w:type="dxa"/>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排水主管网的建设</w:t>
            </w:r>
          </w:p>
        </w:tc>
        <w:tc>
          <w:tcPr>
            <w:tcW w:w="20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　完成2.5公里排水管网的建设</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　完成2.5公里排水管网的建设</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工程验收合格率</w:t>
            </w:r>
          </w:p>
        </w:tc>
        <w:tc>
          <w:tcPr>
            <w:tcW w:w="20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100%</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 xml:space="preserve"> 工程量完成率</w:t>
            </w:r>
          </w:p>
        </w:tc>
        <w:tc>
          <w:tcPr>
            <w:tcW w:w="20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100%</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工程单位建设成本</w:t>
            </w:r>
          </w:p>
        </w:tc>
        <w:tc>
          <w:tcPr>
            <w:tcW w:w="20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16.61万元</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16.61万元</w:t>
            </w:r>
          </w:p>
        </w:tc>
      </w:tr>
      <w:tr>
        <w:tblPrEx>
          <w:tblLayout w:type="fixed"/>
          <w:tblCellMar>
            <w:top w:w="0" w:type="dxa"/>
            <w:left w:w="108" w:type="dxa"/>
            <w:bottom w:w="0" w:type="dxa"/>
            <w:right w:w="108" w:type="dxa"/>
          </w:tblCellMar>
        </w:tblPrEx>
        <w:trPr>
          <w:trHeight w:val="1265"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社会效益</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解决园区排水管线的问题</w:t>
            </w:r>
          </w:p>
        </w:tc>
        <w:tc>
          <w:tcPr>
            <w:tcW w:w="20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完善园区基础设施</w:t>
            </w:r>
          </w:p>
        </w:tc>
        <w:tc>
          <w:tcPr>
            <w:tcW w:w="1780"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优化投资环境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生态效益</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 xml:space="preserve"> 指标1：</w:t>
            </w:r>
          </w:p>
        </w:tc>
        <w:tc>
          <w:tcPr>
            <w:tcW w:w="20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　</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 xml:space="preserve"> 指标2：</w:t>
            </w:r>
          </w:p>
        </w:tc>
        <w:tc>
          <w:tcPr>
            <w:tcW w:w="20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　</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可持续影响</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 xml:space="preserve"> 指标1：</w:t>
            </w:r>
          </w:p>
        </w:tc>
        <w:tc>
          <w:tcPr>
            <w:tcW w:w="20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　</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 xml:space="preserve"> 指标2：</w:t>
            </w:r>
          </w:p>
        </w:tc>
        <w:tc>
          <w:tcPr>
            <w:tcW w:w="20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　</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p>
        </w:tc>
        <w:tc>
          <w:tcPr>
            <w:tcW w:w="1140" w:type="dxa"/>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满意度</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指标</w:t>
            </w:r>
          </w:p>
        </w:tc>
        <w:tc>
          <w:tcPr>
            <w:tcW w:w="1360" w:type="dxa"/>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受益群体满意度</w:t>
            </w:r>
          </w:p>
        </w:tc>
        <w:tc>
          <w:tcPr>
            <w:tcW w:w="20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100%</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hint="eastAsia" w:ascii="宋体" w:hAnsi="宋体" w:eastAsia="宋体" w:cs="宋体"/>
                <w:kern w:val="0"/>
                <w:sz w:val="20"/>
                <w:szCs w:val="20"/>
              </w:rPr>
            </w:pPr>
            <w:r>
              <w:rPr>
                <w:rFonts w:hint="eastAsia" w:ascii="宋体" w:hAnsi="宋体" w:eastAsia="宋体" w:cs="宋体"/>
                <w:kern w:val="0"/>
                <w:sz w:val="20"/>
                <w:szCs w:val="20"/>
              </w:rPr>
              <w:t>100%</w:t>
            </w:r>
          </w:p>
        </w:tc>
      </w:tr>
    </w:tbl>
    <w:p>
      <w:pPr>
        <w:keepNext w:val="0"/>
        <w:keepLines w:val="0"/>
        <w:pageBreakBefore w:val="0"/>
        <w:kinsoku/>
        <w:wordWrap/>
        <w:overflowPunct/>
        <w:topLinePunct w:val="0"/>
        <w:autoSpaceDE/>
        <w:autoSpaceDN/>
        <w:bidi w:val="0"/>
        <w:adjustRightInd/>
        <w:snapToGrid/>
        <w:spacing w:line="540" w:lineRule="exact"/>
        <w:textAlignment w:val="auto"/>
        <w:outlineLvl w:val="9"/>
        <w:rPr>
          <w:rFonts w:hint="eastAsia" w:ascii="宋体" w:hAnsi="宋体" w:eastAsia="宋体" w:cs="宋体"/>
          <w:sz w:val="20"/>
          <w:szCs w:val="20"/>
        </w:rPr>
      </w:pPr>
    </w:p>
    <w:p>
      <w:pPr>
        <w:keepNext w:val="0"/>
        <w:keepLines w:val="0"/>
        <w:pageBreakBefore w:val="0"/>
        <w:kinsoku/>
        <w:wordWrap/>
        <w:overflowPunct/>
        <w:topLinePunct w:val="0"/>
        <w:autoSpaceDE/>
        <w:autoSpaceDN/>
        <w:bidi w:val="0"/>
        <w:adjustRightInd/>
        <w:snapToGrid/>
        <w:spacing w:line="540" w:lineRule="exact"/>
        <w:textAlignment w:val="auto"/>
        <w:outlineLvl w:val="9"/>
        <w:rPr>
          <w:sz w:val="28"/>
          <w:szCs w:val="28"/>
        </w:rPr>
      </w:pPr>
      <w:r>
        <w:rPr>
          <w:sz w:val="28"/>
          <w:szCs w:val="28"/>
        </w:rPr>
        <w:t xml:space="preserve"> </w:t>
      </w:r>
    </w:p>
    <w:p>
      <w:pPr>
        <w:keepNext w:val="0"/>
        <w:keepLines w:val="0"/>
        <w:pageBreakBefore w:val="0"/>
        <w:kinsoku/>
        <w:wordWrap/>
        <w:overflowPunct/>
        <w:topLinePunct w:val="0"/>
        <w:autoSpaceDE/>
        <w:autoSpaceDN/>
        <w:bidi w:val="0"/>
        <w:adjustRightInd/>
        <w:snapToGrid/>
        <w:spacing w:line="540" w:lineRule="exact"/>
        <w:jc w:val="center"/>
        <w:textAlignment w:val="auto"/>
        <w:outlineLvl w:val="9"/>
        <w:rPr>
          <w:rFonts w:hint="eastAsia" w:ascii="黑体" w:hAnsi="黑体" w:eastAsia="黑体" w:cs="Times New Roman"/>
          <w:sz w:val="32"/>
          <w:szCs w:val="24"/>
        </w:rPr>
      </w:pPr>
      <w:r>
        <w:rPr>
          <w:rFonts w:hint="eastAsia" w:ascii="黑体" w:hAnsi="黑体" w:eastAsia="黑体" w:cs="Times New Roman"/>
          <w:sz w:val="32"/>
          <w:szCs w:val="24"/>
        </w:rPr>
        <w:t xml:space="preserve">第三部分 专业名词解释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 xml:space="preserve">财政拨款收入：指同级财政当年拨付的资金。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 xml:space="preserve">上级补助收入：指事业单位从主管部门和上级单位取得的非财政补助收入。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 xml:space="preserve">事业收入：指事业单位开展专业业务活动及其辅助活动所取得的收入。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 xml:space="preserve">经营收入：指事业单位在专业业务活动及其辅助活动之外开展非独立核算经营活动取得的收入。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附属单位缴款：指事业单位</w:t>
      </w:r>
      <w:bookmarkStart w:id="0" w:name="_GoBack"/>
      <w:bookmarkEnd w:id="0"/>
      <w:r>
        <w:rPr>
          <w:rFonts w:hint="eastAsia" w:ascii="仿宋_GB2312" w:hAnsi="宋体" w:eastAsia="仿宋_GB2312"/>
          <w:kern w:val="0"/>
          <w:sz w:val="32"/>
          <w:szCs w:val="32"/>
        </w:rPr>
        <w:t xml:space="preserve">附属的独立核算单位按有关规定上缴的收入。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 xml:space="preserve">其他收入：指除上述“财政拨款收入”、“事业收入”、“经营收入”、“附属单位缴款”等之外取得的收入。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 xml:space="preserve">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 xml:space="preserve">上年结转和结余：指以前年度支出预算因客观条件变化未执行完毕、结转到本年度按有关规定继续使用的资金，既包括财政拨款结转和结余，也包括事业收入、经营收入、其他收入的结转和结余。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 xml:space="preserve">结余分配：反映单位当年结余的分配情况。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 xml:space="preserve">年末结转和结余：指本年度或以前年度预算安排、因客观条件发生变化无法按原计划实施，需要延迟到以后年度按有关规定继续使用的资金，既包括财政拨款结转和结余，也包括事业收入、经营收入、其他收入的结转和结余。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 xml:space="preserve">基本支出：指为保障机构正常运转、完成日常工作任务而发生的人员支出和公用支出。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 xml:space="preserve">项目支出：指在基本支出之外为完成特定行政任务和事业发展目标所发生的支出。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 xml:space="preserve">经营支出：指事业单位在专业业务活动及其辅助活动之外开展非独立核算经营活动发生的支出。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 xml:space="preserve">对附属单位补助支出：指事业单位发生的用非财政预算资金对附属单位的补助支出。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 xml:space="preserve">“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 xml:space="preserve">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本单位支出功能分类说明。201（类）03（款）99（项）：指其他政府办公厅（室）及相关机构事务支出。208（类）05（款）05（项）：指机关事业单位基本养老保险。210（类）11（款）02（项）：指事业单位医疗。210（类）11（款）03（项）：指公务员医疗补助。2</w:t>
      </w:r>
      <w:r>
        <w:rPr>
          <w:rFonts w:hint="eastAsia" w:ascii="仿宋_GB2312" w:hAnsi="宋体" w:eastAsia="仿宋_GB2312"/>
          <w:kern w:val="0"/>
          <w:sz w:val="32"/>
          <w:szCs w:val="32"/>
          <w:lang w:val="en-US" w:eastAsia="zh-CN"/>
        </w:rPr>
        <w:t>31</w:t>
      </w:r>
      <w:r>
        <w:rPr>
          <w:rFonts w:hint="eastAsia" w:ascii="仿宋_GB2312" w:hAnsi="宋体" w:eastAsia="仿宋_GB2312"/>
          <w:kern w:val="0"/>
          <w:sz w:val="32"/>
          <w:szCs w:val="32"/>
        </w:rPr>
        <w:t>（类）</w:t>
      </w:r>
      <w:r>
        <w:rPr>
          <w:rFonts w:hint="eastAsia" w:ascii="仿宋_GB2312" w:hAnsi="宋体" w:eastAsia="仿宋_GB2312"/>
          <w:kern w:val="0"/>
          <w:sz w:val="32"/>
          <w:szCs w:val="32"/>
          <w:lang w:val="en-US" w:eastAsia="zh-CN"/>
        </w:rPr>
        <w:t>03</w:t>
      </w:r>
      <w:r>
        <w:rPr>
          <w:rFonts w:hint="eastAsia" w:ascii="仿宋_GB2312" w:hAnsi="宋体" w:eastAsia="仿宋_GB2312"/>
          <w:kern w:val="0"/>
          <w:sz w:val="32"/>
          <w:szCs w:val="32"/>
        </w:rPr>
        <w:t>（款）</w:t>
      </w:r>
      <w:r>
        <w:rPr>
          <w:rFonts w:hint="eastAsia" w:ascii="仿宋_GB2312" w:hAnsi="宋体" w:eastAsia="仿宋_GB2312"/>
          <w:kern w:val="0"/>
          <w:sz w:val="32"/>
          <w:szCs w:val="32"/>
          <w:lang w:val="en-US" w:eastAsia="zh-CN"/>
        </w:rPr>
        <w:t>99</w:t>
      </w:r>
      <w:r>
        <w:rPr>
          <w:rFonts w:hint="eastAsia" w:ascii="仿宋_GB2312" w:hAnsi="宋体" w:eastAsia="仿宋_GB2312"/>
          <w:kern w:val="0"/>
          <w:sz w:val="32"/>
          <w:szCs w:val="32"/>
        </w:rPr>
        <w:t xml:space="preserve">（项）：指地方政府其他一般债务还本支出。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p>
    <w:p>
      <w:pPr>
        <w:keepNext w:val="0"/>
        <w:keepLines w:val="0"/>
        <w:pageBreakBefore w:val="0"/>
        <w:kinsoku/>
        <w:wordWrap/>
        <w:overflowPunct/>
        <w:topLinePunct w:val="0"/>
        <w:autoSpaceDE/>
        <w:autoSpaceDN/>
        <w:bidi w:val="0"/>
        <w:adjustRightInd/>
        <w:snapToGrid/>
        <w:spacing w:line="540" w:lineRule="exact"/>
        <w:jc w:val="center"/>
        <w:textAlignment w:val="auto"/>
        <w:outlineLvl w:val="9"/>
        <w:rPr>
          <w:rFonts w:hint="eastAsia" w:ascii="黑体" w:hAnsi="黑体" w:eastAsia="黑体" w:cs="Times New Roman"/>
          <w:sz w:val="32"/>
          <w:szCs w:val="24"/>
        </w:rPr>
      </w:pPr>
      <w:r>
        <w:rPr>
          <w:rFonts w:hint="eastAsia" w:ascii="黑体" w:hAnsi="黑体" w:eastAsia="黑体" w:cs="Times New Roman"/>
          <w:sz w:val="32"/>
          <w:szCs w:val="24"/>
        </w:rPr>
        <w:t xml:space="preserve">第四部分 部门决算公开的8张报表（见附表）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 xml:space="preserve">一、《收入支出决算总表》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 xml:space="preserve">二、《收入决算表》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 xml:space="preserve">三、《支出决算表》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 xml:space="preserve">四、《财政拨款收入支出决算总表》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 xml:space="preserve">五、《一般公共预算财政拨款支出决算表》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 xml:space="preserve">六、《一般公共预算财政拨款基本支出决算表》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 xml:space="preserve">七、《一般公共预算财政拨款“三公”经费支出决算表》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lang w:eastAsia="zh-CN"/>
        </w:rPr>
      </w:pPr>
      <w:r>
        <w:rPr>
          <w:rFonts w:hint="eastAsia" w:ascii="仿宋_GB2312" w:hAnsi="宋体" w:eastAsia="仿宋_GB2312"/>
          <w:kern w:val="0"/>
          <w:sz w:val="32"/>
          <w:szCs w:val="32"/>
        </w:rPr>
        <w:t xml:space="preserve">八、《政府性基金预算财政拨款收入支出决算表》 </w:t>
      </w:r>
      <w:r>
        <w:rPr>
          <w:rFonts w:hint="eastAsia" w:ascii="仿宋_GB2312" w:hAnsi="宋体" w:eastAsia="仿宋_GB2312"/>
          <w:kern w:val="0"/>
          <w:sz w:val="32"/>
          <w:szCs w:val="32"/>
          <w:lang w:eastAsia="zh-CN"/>
        </w:rPr>
        <w:t>（空表）</w:t>
      </w:r>
    </w:p>
    <w:p>
      <w:pPr>
        <w:spacing w:line="540" w:lineRule="exact"/>
        <w:ind w:firstLine="640" w:firstLineChars="200"/>
        <w:rPr>
          <w:rFonts w:hint="eastAsia" w:ascii="仿宋_GB2312" w:hAnsi="宋体" w:eastAsia="仿宋_GB2312"/>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60153"/>
    <w:rsid w:val="00060153"/>
    <w:rsid w:val="001C3518"/>
    <w:rsid w:val="002C79CD"/>
    <w:rsid w:val="003113B5"/>
    <w:rsid w:val="00314542"/>
    <w:rsid w:val="00385A23"/>
    <w:rsid w:val="00385CD1"/>
    <w:rsid w:val="00390D13"/>
    <w:rsid w:val="0039780A"/>
    <w:rsid w:val="003A2B2A"/>
    <w:rsid w:val="003D65EA"/>
    <w:rsid w:val="0040745B"/>
    <w:rsid w:val="00457308"/>
    <w:rsid w:val="00481390"/>
    <w:rsid w:val="0054137F"/>
    <w:rsid w:val="005D467C"/>
    <w:rsid w:val="005E3AB4"/>
    <w:rsid w:val="006755D7"/>
    <w:rsid w:val="006F2E34"/>
    <w:rsid w:val="006F66CA"/>
    <w:rsid w:val="00714FE7"/>
    <w:rsid w:val="00726EAC"/>
    <w:rsid w:val="00727BC2"/>
    <w:rsid w:val="007E7093"/>
    <w:rsid w:val="00834E06"/>
    <w:rsid w:val="009417B8"/>
    <w:rsid w:val="00977292"/>
    <w:rsid w:val="00A663C5"/>
    <w:rsid w:val="00B57E8C"/>
    <w:rsid w:val="00BB4077"/>
    <w:rsid w:val="00BB708D"/>
    <w:rsid w:val="00C04464"/>
    <w:rsid w:val="00CF72A9"/>
    <w:rsid w:val="00D70DC8"/>
    <w:rsid w:val="00D73200"/>
    <w:rsid w:val="00E15D06"/>
    <w:rsid w:val="00E3619D"/>
    <w:rsid w:val="00EE2325"/>
    <w:rsid w:val="00EE65AD"/>
    <w:rsid w:val="00EF4973"/>
    <w:rsid w:val="00F16BD7"/>
    <w:rsid w:val="00F83343"/>
    <w:rsid w:val="00FF46CC"/>
    <w:rsid w:val="02795453"/>
    <w:rsid w:val="09F577DC"/>
    <w:rsid w:val="0AC550AF"/>
    <w:rsid w:val="0FD0798E"/>
    <w:rsid w:val="10471617"/>
    <w:rsid w:val="10586D3F"/>
    <w:rsid w:val="12D6262C"/>
    <w:rsid w:val="170A594C"/>
    <w:rsid w:val="1A5F74C5"/>
    <w:rsid w:val="1BC44B56"/>
    <w:rsid w:val="1C3834DF"/>
    <w:rsid w:val="1F712338"/>
    <w:rsid w:val="208D3424"/>
    <w:rsid w:val="21ED2037"/>
    <w:rsid w:val="221F210A"/>
    <w:rsid w:val="2A6B78BD"/>
    <w:rsid w:val="2E321C89"/>
    <w:rsid w:val="363350F4"/>
    <w:rsid w:val="397A6CAA"/>
    <w:rsid w:val="3AAE0096"/>
    <w:rsid w:val="3AE5537D"/>
    <w:rsid w:val="3D0F3240"/>
    <w:rsid w:val="3DA86AA8"/>
    <w:rsid w:val="40B83DCE"/>
    <w:rsid w:val="42C55D12"/>
    <w:rsid w:val="4B133330"/>
    <w:rsid w:val="4B17457A"/>
    <w:rsid w:val="51A665FC"/>
    <w:rsid w:val="528A0893"/>
    <w:rsid w:val="5DB63DB5"/>
    <w:rsid w:val="5FF82AA3"/>
    <w:rsid w:val="60BD3D7A"/>
    <w:rsid w:val="64741A32"/>
    <w:rsid w:val="65506C97"/>
    <w:rsid w:val="663A4424"/>
    <w:rsid w:val="67CD6167"/>
    <w:rsid w:val="6892089B"/>
    <w:rsid w:val="6D375729"/>
    <w:rsid w:val="6FCB6972"/>
    <w:rsid w:val="6FEC5354"/>
    <w:rsid w:val="71994144"/>
    <w:rsid w:val="72063F6E"/>
    <w:rsid w:val="762B4246"/>
    <w:rsid w:val="7A443828"/>
    <w:rsid w:val="7C445A31"/>
    <w:rsid w:val="7D13226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5">
    <w:name w:val="Default Paragraph Font"/>
    <w:semiHidden/>
    <w:uiPriority w:val="99"/>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6">
    <w:name w:val="Strong"/>
    <w:basedOn w:val="5"/>
    <w:qFormat/>
    <w:uiPriority w:val="99"/>
    <w:rPr>
      <w:rFonts w:cs="Times New Roman"/>
      <w:b/>
      <w:bCs/>
    </w:rPr>
  </w:style>
  <w:style w:type="character" w:customStyle="1" w:styleId="8">
    <w:name w:val="Footer Char"/>
    <w:basedOn w:val="5"/>
    <w:link w:val="2"/>
    <w:qFormat/>
    <w:locked/>
    <w:uiPriority w:val="99"/>
    <w:rPr>
      <w:rFonts w:cs="Times New Roman"/>
      <w:kern w:val="2"/>
      <w:sz w:val="18"/>
      <w:szCs w:val="18"/>
    </w:rPr>
  </w:style>
  <w:style w:type="character" w:customStyle="1" w:styleId="9">
    <w:name w:val="Header Char"/>
    <w:basedOn w:val="5"/>
    <w:link w:val="3"/>
    <w:qFormat/>
    <w:locked/>
    <w:uiPriority w:val="99"/>
    <w:rPr>
      <w:rFonts w:cs="Times New Roman"/>
      <w:kern w:val="2"/>
      <w:sz w:val="18"/>
      <w:szCs w:val="18"/>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 China</Company>
  <Pages>16</Pages>
  <Words>1175</Words>
  <Characters>6698</Characters>
  <Lines>0</Lines>
  <Paragraphs>0</Paragraphs>
  <TotalTime>0</TotalTime>
  <ScaleCrop>false</ScaleCrop>
  <LinksUpToDate>false</LinksUpToDate>
  <CharactersWithSpaces>0</CharactersWithSpaces>
  <Application>WPS Office_10.8.2.6870_F1E327BC-269C-435d-A152-05C5408002CA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2019-05-16T02:07:00Z</dcterms:created>
  <dc:creator>Lenovo</dc:creator>
  <cp:lastModifiedBy>Administrator</cp:lastModifiedBy>
  <dcterms:modified xsi:type="dcterms:W3CDTF">2021-07-01T04:38:53Z</dcterms:modified>
  <dc:title>××年度××（单位）部门决算公开说明</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2052-10.8.2.6870</vt:lpwstr>
  </property>
  <property fmtid="{D5CDD505-2E9C-101B-9397-08002B2CF9AE}" pid="3" name="ICV">
    <vt:lpwstr>4564E90FF1C3432497D6863591416059</vt:lpwstr>
  </property>
</Properties>
</file>