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eastAsia" w:ascii="方正小标宋_GBK" w:hAnsi="宋体" w:eastAsia="方正小标宋_GBK"/>
          <w:sz w:val="44"/>
          <w:szCs w:val="24"/>
        </w:rPr>
      </w:pPr>
      <w:r>
        <w:rPr>
          <w:rFonts w:hint="eastAsia" w:ascii="方正小标宋_GBK" w:hAnsi="宋体" w:eastAsia="方正小标宋_GBK"/>
          <w:sz w:val="44"/>
          <w:szCs w:val="24"/>
        </w:rPr>
        <w:t>2018年度</w:t>
      </w:r>
      <w:r>
        <w:rPr>
          <w:rFonts w:hint="eastAsia" w:ascii="方正小标宋_GBK" w:hAnsi="宋体" w:eastAsia="方正小标宋_GBK"/>
          <w:sz w:val="44"/>
          <w:szCs w:val="24"/>
          <w:lang w:eastAsia="zh-CN"/>
        </w:rPr>
        <w:t>吉木萨尔县</w:t>
      </w:r>
      <w:r>
        <w:rPr>
          <w:rFonts w:hint="eastAsia" w:ascii="方正小标宋_GBK" w:hAnsi="宋体" w:eastAsia="方正小标宋_GBK"/>
          <w:sz w:val="44"/>
          <w:szCs w:val="24"/>
        </w:rPr>
        <w:t>庆阳湖乡人民政府部门决算公开说明</w:t>
      </w:r>
    </w:p>
    <w:p>
      <w:pPr>
        <w:rPr>
          <w:sz w:val="28"/>
          <w:szCs w:val="28"/>
        </w:rPr>
      </w:pPr>
      <w:r>
        <w:rPr>
          <w:sz w:val="28"/>
          <w:szCs w:val="28"/>
        </w:rPr>
        <w:t xml:space="preserve"> </w:t>
      </w:r>
    </w:p>
    <w:p>
      <w:pPr>
        <w:spacing w:line="540" w:lineRule="exact"/>
        <w:jc w:val="center"/>
        <w:rPr>
          <w:rFonts w:hint="eastAsia" w:ascii="黑体" w:hAnsi="黑体" w:eastAsia="黑体"/>
          <w:b w:val="0"/>
          <w:bCs/>
          <w:kern w:val="0"/>
          <w:sz w:val="32"/>
          <w:szCs w:val="32"/>
        </w:rPr>
      </w:pPr>
      <w:r>
        <w:rPr>
          <w:rFonts w:hint="eastAsia" w:ascii="黑体" w:hAnsi="黑体" w:eastAsia="黑体"/>
          <w:b w:val="0"/>
          <w:bCs/>
          <w:kern w:val="0"/>
          <w:sz w:val="32"/>
          <w:szCs w:val="32"/>
        </w:rPr>
        <w:t>目  录</w:t>
      </w:r>
    </w:p>
    <w:p>
      <w:pPr>
        <w:keepNext w:val="0"/>
        <w:keepLines w:val="0"/>
        <w:pageBreakBefore w:val="0"/>
        <w:kinsoku/>
        <w:wordWrap/>
        <w:overflowPunct/>
        <w:topLinePunct w:val="0"/>
        <w:autoSpaceDE/>
        <w:autoSpaceDN/>
        <w:bidi w:val="0"/>
        <w:adjustRightInd/>
        <w:snapToGrid/>
        <w:spacing w:line="540" w:lineRule="exact"/>
        <w:ind w:firstLine="0" w:firstLineChars="0"/>
        <w:textAlignment w:val="auto"/>
        <w:outlineLvl w:val="9"/>
        <w:rPr>
          <w:rFonts w:hint="eastAsia" w:ascii="仿宋_GB2312" w:hAnsi="宋体" w:eastAsia="仿宋_GB2312"/>
          <w:b/>
          <w:kern w:val="0"/>
          <w:sz w:val="32"/>
          <w:szCs w:val="32"/>
        </w:rPr>
      </w:pP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黑体" w:hAnsi="黑体" w:eastAsia="黑体"/>
          <w:kern w:val="0"/>
          <w:sz w:val="32"/>
          <w:szCs w:val="32"/>
        </w:rPr>
      </w:pPr>
      <w:r>
        <w:rPr>
          <w:rFonts w:hint="eastAsia" w:ascii="黑体" w:hAnsi="黑体" w:eastAsia="黑体"/>
          <w:kern w:val="0"/>
          <w:sz w:val="32"/>
          <w:szCs w:val="32"/>
        </w:rPr>
        <w:t>第一部分 部门单位概况</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一、主要职能</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黑体" w:hAnsi="黑体" w:eastAsia="黑体"/>
          <w:kern w:val="0"/>
          <w:sz w:val="32"/>
          <w:szCs w:val="32"/>
        </w:rPr>
      </w:pPr>
      <w:r>
        <w:rPr>
          <w:rFonts w:hint="eastAsia" w:ascii="黑体" w:hAnsi="黑体" w:eastAsia="黑体"/>
          <w:kern w:val="0"/>
          <w:sz w:val="32"/>
          <w:szCs w:val="32"/>
        </w:rPr>
        <w:t>第二部分 部门决算情况说明</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一、部门收支总体情况</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（一）部门收入支出决算总体情况说明</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（二）部门收入总体情况说明</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（三）部门支出总体情况说明</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二、部门财政拨款收支情况</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（一）财政拨款收支总体情况说明</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（二）一般公共预算收支决算情况说明</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（三）政府性基金预算收支决算情况说明</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三、部门结转结余情况</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四、一般公共预算“三公”经费支出情况</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五、机关运行经费支出情况</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六、政府采购情况</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七、其他重要事项的情况</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（一）国有资产占用情况说明</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（二）预算绩效情况的说明</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黑体" w:hAnsi="黑体" w:eastAsia="黑体"/>
          <w:kern w:val="0"/>
          <w:sz w:val="32"/>
          <w:szCs w:val="32"/>
        </w:rPr>
      </w:pPr>
      <w:r>
        <w:rPr>
          <w:rFonts w:hint="eastAsia" w:ascii="黑体" w:hAnsi="黑体" w:eastAsia="黑体"/>
          <w:kern w:val="0"/>
          <w:sz w:val="32"/>
          <w:szCs w:val="32"/>
        </w:rPr>
        <w:t>第三部分 专业名词解释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《收入支出决算总表》</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《收入决算表》</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《支出决算表》</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《财政拨款收入支出决算总表》</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《一般公共预算财政拨款支出决算表》</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《一般公共预算财政拨款基本支出决算表》</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《一般公共预算财政拨款“三公”经费支出决算表》</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宋体" w:eastAsia="仿宋_GB2312"/>
          <w:sz w:val="32"/>
          <w:szCs w:val="32"/>
        </w:rPr>
      </w:pPr>
      <w:r>
        <w:rPr>
          <w:rFonts w:hint="eastAsia" w:ascii="仿宋_GB2312" w:eastAsia="仿宋_GB2312"/>
          <w:sz w:val="32"/>
          <w:szCs w:val="32"/>
        </w:rPr>
        <w:t>《政府性基金预算财政拨款收入支出决算表》</w:t>
      </w:r>
    </w:p>
    <w:p>
      <w:pPr>
        <w:keepNext w:val="0"/>
        <w:keepLines w:val="0"/>
        <w:pageBreakBefore w:val="0"/>
        <w:kinsoku/>
        <w:wordWrap/>
        <w:overflowPunct/>
        <w:topLinePunct w:val="0"/>
        <w:autoSpaceDE/>
        <w:autoSpaceDN/>
        <w:bidi w:val="0"/>
        <w:adjustRightInd/>
        <w:snapToGrid/>
        <w:spacing w:line="540" w:lineRule="exact"/>
        <w:textAlignment w:val="auto"/>
        <w:outlineLvl w:val="9"/>
        <w:rPr>
          <w:sz w:val="28"/>
          <w:szCs w:val="28"/>
        </w:rPr>
      </w:pPr>
    </w:p>
    <w:p>
      <w:pPr>
        <w:keepNext w:val="0"/>
        <w:keepLines w:val="0"/>
        <w:pageBreakBefore w:val="0"/>
        <w:kinsoku/>
        <w:wordWrap/>
        <w:overflowPunct/>
        <w:topLinePunct w:val="0"/>
        <w:autoSpaceDE/>
        <w:autoSpaceDN/>
        <w:bidi w:val="0"/>
        <w:adjustRightInd/>
        <w:snapToGrid/>
        <w:spacing w:line="540" w:lineRule="exact"/>
        <w:jc w:val="center"/>
        <w:textAlignment w:val="auto"/>
        <w:outlineLvl w:val="9"/>
        <w:rPr>
          <w:rFonts w:hint="eastAsia" w:ascii="黑体" w:hAnsi="黑体" w:eastAsia="黑体" w:cs="黑体"/>
          <w:sz w:val="32"/>
          <w:szCs w:val="32"/>
        </w:rPr>
      </w:pPr>
      <w:r>
        <w:rPr>
          <w:rFonts w:hint="eastAsia" w:ascii="黑体" w:hAnsi="黑体" w:eastAsia="黑体" w:cs="黑体"/>
          <w:sz w:val="32"/>
          <w:szCs w:val="32"/>
        </w:rPr>
        <w:t>第一部分 部门单位概况</w:t>
      </w:r>
    </w:p>
    <w:p>
      <w:pPr>
        <w:keepNext w:val="0"/>
        <w:keepLines w:val="0"/>
        <w:pageBreakBefore w:val="0"/>
        <w:numPr>
          <w:ilvl w:val="0"/>
          <w:numId w:val="0"/>
        </w:numPr>
        <w:kinsoku/>
        <w:wordWrap/>
        <w:overflowPunct/>
        <w:topLinePunct w:val="0"/>
        <w:autoSpaceDE/>
        <w:autoSpaceDN/>
        <w:bidi w:val="0"/>
        <w:adjustRightInd/>
        <w:snapToGrid/>
        <w:spacing w:line="540" w:lineRule="exact"/>
        <w:ind w:left="560" w:leftChars="0" w:firstLine="320" w:firstLineChars="100"/>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主要职能</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 xml:space="preserve"> 1、落实政策： 宣传、落实好党的路线、方针、政策，完善农村基本经济制度，坚持依法行政，推进政务公开，加强对村民委员会的指导，提高、培育村民委员会自治能力。</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２、促进发展： 科学制定发展规划，营造农村经济发展环境，加强农村市场监督，培育、提升市场功能，搞活市场流通，推广农业技术，完善农业社会化服务体系，引导农民发展现代农业，调整产业结构，加强农村劳动力技能培训，引导农村劳动力转移和就业，不断提高社会主义新农村建设水平。</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3、加强管理： 加强民政、教育、科技、文化、卫生、服务、安全生产、劳动保障和乡村规划等社会管理，加强社会主义精神文明建设，做好防灾减灾工作，加强环境保护，努力改善农村人居环境，不断提高农村人口素质和农民生活质量。</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4、提供服务： 进一步发展和完善农业社会化服务体系，引导各类协会和农村专业合作经济组织发展农村社会公益事业和集体公益事业。加强农村基础设施建设，增加公共产品，提供政策、科技、市场信息，及时向上级党委、政府反映社情民意，进一步密切党群关系。</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黑体" w:hAnsi="黑体" w:eastAsia="黑体" w:cs="黑体"/>
          <w:color w:val="000000" w:themeColor="text1"/>
          <w:sz w:val="32"/>
          <w:szCs w:val="32"/>
        </w:rPr>
      </w:pPr>
      <w:r>
        <w:rPr>
          <w:rFonts w:hint="eastAsia" w:ascii="黑体" w:hAnsi="黑体" w:eastAsia="黑体" w:cs="黑体"/>
          <w:color w:val="000000" w:themeColor="text1"/>
          <w:sz w:val="32"/>
          <w:szCs w:val="32"/>
        </w:rPr>
        <w:t xml:space="preserve">二、机构设置情况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从决算单位构成看，吉木萨尔县庆阳湖乡人民政府部门决算包括：吉木萨尔县庆阳湖乡人民政府部门本级决算、</w:t>
      </w:r>
      <w:r>
        <w:rPr>
          <w:rFonts w:hint="eastAsia" w:ascii="仿宋_GB2312" w:hAnsi="Times New Roman" w:eastAsia="仿宋_GB2312"/>
          <w:sz w:val="32"/>
          <w:szCs w:val="24"/>
          <w:lang w:val="en-US" w:eastAsia="zh-CN"/>
        </w:rPr>
        <w:t>本单位无下</w:t>
      </w:r>
      <w:r>
        <w:rPr>
          <w:rFonts w:hint="eastAsia" w:ascii="仿宋_GB2312" w:hAnsi="Times New Roman" w:eastAsia="仿宋_GB2312"/>
          <w:sz w:val="32"/>
          <w:szCs w:val="24"/>
        </w:rPr>
        <w:t xml:space="preserve">属单位。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纳入吉木萨尔县庆阳湖乡人民政府2018年部门决算编制范围的单位名单见下表：</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9"/>
        <w:gridCol w:w="5725"/>
        <w:gridCol w:w="2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1449" w:type="dxa"/>
            <w:vAlign w:val="center"/>
          </w:tcPr>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序号</w:t>
            </w:r>
          </w:p>
        </w:tc>
        <w:tc>
          <w:tcPr>
            <w:tcW w:w="5725" w:type="dxa"/>
            <w:vAlign w:val="center"/>
          </w:tcPr>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单位名称</w:t>
            </w:r>
          </w:p>
        </w:tc>
        <w:tc>
          <w:tcPr>
            <w:tcW w:w="2290" w:type="dxa"/>
            <w:vAlign w:val="center"/>
          </w:tcPr>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1449" w:type="dxa"/>
            <w:vAlign w:val="center"/>
          </w:tcPr>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1</w:t>
            </w:r>
          </w:p>
        </w:tc>
        <w:tc>
          <w:tcPr>
            <w:tcW w:w="5725" w:type="dxa"/>
            <w:vAlign w:val="center"/>
          </w:tcPr>
          <w:p>
            <w:pPr>
              <w:keepNext w:val="0"/>
              <w:keepLines w:val="0"/>
              <w:pageBreakBefore w:val="0"/>
              <w:kinsoku/>
              <w:wordWrap/>
              <w:overflowPunct/>
              <w:topLinePunct w:val="0"/>
              <w:autoSpaceDE/>
              <w:autoSpaceDN/>
              <w:bidi w:val="0"/>
              <w:adjustRightInd/>
              <w:snapToGrid/>
              <w:spacing w:line="540" w:lineRule="exact"/>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吉木萨尔县庆阳湖乡人民政府本级</w:t>
            </w:r>
          </w:p>
        </w:tc>
        <w:tc>
          <w:tcPr>
            <w:tcW w:w="2290" w:type="dxa"/>
            <w:vAlign w:val="center"/>
          </w:tcPr>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p>
        </w:tc>
      </w:tr>
    </w:tbl>
    <w:p>
      <w:pPr>
        <w:keepNext w:val="0"/>
        <w:keepLines w:val="0"/>
        <w:pageBreakBefore w:val="0"/>
        <w:kinsoku/>
        <w:wordWrap/>
        <w:overflowPunct/>
        <w:topLinePunct w:val="0"/>
        <w:autoSpaceDE/>
        <w:autoSpaceDN/>
        <w:bidi w:val="0"/>
        <w:adjustRightInd/>
        <w:snapToGrid/>
        <w:spacing w:line="540" w:lineRule="exact"/>
        <w:textAlignment w:val="auto"/>
        <w:outlineLvl w:val="9"/>
        <w:rPr>
          <w:rFonts w:ascii="宋体" w:hAnsi="宋体"/>
          <w:sz w:val="28"/>
          <w:szCs w:val="28"/>
        </w:rPr>
      </w:pPr>
    </w:p>
    <w:p>
      <w:pPr>
        <w:keepNext w:val="0"/>
        <w:keepLines w:val="0"/>
        <w:pageBreakBefore w:val="0"/>
        <w:kinsoku/>
        <w:wordWrap/>
        <w:overflowPunct/>
        <w:topLinePunct w:val="0"/>
        <w:autoSpaceDE/>
        <w:autoSpaceDN/>
        <w:bidi w:val="0"/>
        <w:adjustRightInd/>
        <w:snapToGrid/>
        <w:spacing w:line="540" w:lineRule="exact"/>
        <w:jc w:val="center"/>
        <w:textAlignment w:val="auto"/>
        <w:outlineLvl w:val="9"/>
        <w:rPr>
          <w:rFonts w:hint="eastAsia" w:ascii="黑体" w:hAnsi="黑体" w:eastAsia="黑体" w:cs="黑体"/>
          <w:sz w:val="32"/>
          <w:szCs w:val="32"/>
        </w:rPr>
      </w:pPr>
      <w:r>
        <w:rPr>
          <w:rFonts w:hint="eastAsia" w:ascii="黑体" w:hAnsi="黑体" w:eastAsia="黑体" w:cs="黑体"/>
          <w:sz w:val="32"/>
          <w:szCs w:val="32"/>
        </w:rPr>
        <w:t>第二部分 部门决算情况说明</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rPr>
        <w:t xml:space="preserve">一、部门收支总体情况 </w:t>
      </w:r>
    </w:p>
    <w:p>
      <w:pPr>
        <w:keepNext w:val="0"/>
        <w:keepLines w:val="0"/>
        <w:pageBreakBefore w:val="0"/>
        <w:kinsoku/>
        <w:wordWrap/>
        <w:overflowPunct/>
        <w:topLinePunct w:val="0"/>
        <w:autoSpaceDE/>
        <w:autoSpaceDN/>
        <w:bidi w:val="0"/>
        <w:adjustRightInd/>
        <w:snapToGrid/>
        <w:spacing w:line="540" w:lineRule="exact"/>
        <w:ind w:firstLine="643" w:firstLineChars="200"/>
        <w:textAlignment w:val="auto"/>
        <w:outlineLvl w:val="9"/>
        <w:rPr>
          <w:rFonts w:hint="eastAsia" w:ascii="楷体_GB2312" w:hAnsi="Times New Roman" w:eastAsia="楷体_GB2312"/>
          <w:b/>
          <w:sz w:val="32"/>
          <w:szCs w:val="24"/>
        </w:rPr>
      </w:pPr>
      <w:r>
        <w:rPr>
          <w:rFonts w:hint="eastAsia" w:ascii="楷体_GB2312" w:hAnsi="Times New Roman" w:eastAsia="楷体_GB2312"/>
          <w:b/>
          <w:sz w:val="32"/>
          <w:szCs w:val="24"/>
        </w:rPr>
        <w:t xml:space="preserve">（一）部门收入支出决算总体情况说明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2018年度收入1557.68万元,与上年相比，增加7.48万元，增长0.49%，增减变化主要原因是：</w:t>
      </w:r>
      <w:r>
        <w:rPr>
          <w:rFonts w:hint="eastAsia" w:ascii="仿宋_GB2312" w:hAnsi="Times New Roman" w:eastAsia="仿宋_GB2312"/>
          <w:sz w:val="32"/>
          <w:szCs w:val="24"/>
          <w:lang w:eastAsia="zh-CN"/>
        </w:rPr>
        <w:t>人员</w:t>
      </w:r>
      <w:r>
        <w:rPr>
          <w:rFonts w:hint="eastAsia" w:ascii="仿宋_GB2312" w:hAnsi="Times New Roman" w:eastAsia="仿宋_GB2312"/>
          <w:sz w:val="32"/>
          <w:szCs w:val="24"/>
        </w:rPr>
        <w:t>经费</w:t>
      </w:r>
      <w:r>
        <w:rPr>
          <w:rFonts w:hint="eastAsia" w:ascii="仿宋_GB2312" w:hAnsi="Times New Roman" w:eastAsia="仿宋_GB2312"/>
          <w:sz w:val="32"/>
          <w:szCs w:val="24"/>
          <w:lang w:eastAsia="zh-CN"/>
        </w:rPr>
        <w:t>增加</w:t>
      </w:r>
      <w:r>
        <w:rPr>
          <w:rFonts w:hint="eastAsia" w:ascii="仿宋_GB2312" w:hAnsi="Times New Roman" w:eastAsia="仿宋_GB2312"/>
          <w:sz w:val="32"/>
          <w:szCs w:val="24"/>
        </w:rPr>
        <w:t>。 支出1602.27万元,与上年相比，减少15.61万元，下降0.96%，增减变化主要原因是：</w:t>
      </w:r>
      <w:r>
        <w:rPr>
          <w:rFonts w:hint="eastAsia" w:ascii="仿宋_GB2312" w:hAnsi="Times New Roman" w:eastAsia="仿宋_GB2312"/>
          <w:sz w:val="32"/>
          <w:szCs w:val="24"/>
          <w:lang w:eastAsia="zh-CN"/>
        </w:rPr>
        <w:t>人员</w:t>
      </w:r>
      <w:r>
        <w:rPr>
          <w:rFonts w:hint="eastAsia" w:ascii="仿宋_GB2312" w:hAnsi="Times New Roman" w:eastAsia="仿宋_GB2312"/>
          <w:sz w:val="32"/>
          <w:szCs w:val="24"/>
        </w:rPr>
        <w:t>经费</w:t>
      </w:r>
      <w:r>
        <w:rPr>
          <w:rFonts w:hint="eastAsia" w:ascii="仿宋_GB2312" w:hAnsi="Times New Roman" w:eastAsia="仿宋_GB2312"/>
          <w:sz w:val="32"/>
          <w:szCs w:val="24"/>
          <w:lang w:eastAsia="zh-CN"/>
        </w:rPr>
        <w:t>增加</w:t>
      </w:r>
      <w:r>
        <w:rPr>
          <w:rFonts w:hint="eastAsia" w:ascii="仿宋_GB2312" w:hAnsi="Times New Roman" w:eastAsia="仿宋_GB2312"/>
          <w:sz w:val="32"/>
          <w:szCs w:val="24"/>
        </w:rPr>
        <w:t>。结余15.86万元，与上年相比，减少44.59万元，降低73.76%</w:t>
      </w:r>
      <w:r>
        <w:rPr>
          <w:rFonts w:hint="eastAsia" w:ascii="仿宋_GB2312" w:hAnsi="Times New Roman" w:eastAsia="仿宋_GB2312"/>
          <w:sz w:val="32"/>
          <w:szCs w:val="24"/>
          <w:lang w:eastAsia="zh-CN"/>
        </w:rPr>
        <w:t>，</w:t>
      </w:r>
      <w:r>
        <w:rPr>
          <w:rFonts w:hint="eastAsia" w:ascii="仿宋_GB2312" w:hAnsi="Times New Roman" w:eastAsia="仿宋_GB2312"/>
          <w:sz w:val="32"/>
          <w:szCs w:val="24"/>
        </w:rPr>
        <w:t xml:space="preserve">增减变化主要原因是：厉行节约，压缩经费。 </w:t>
      </w:r>
    </w:p>
    <w:p>
      <w:pPr>
        <w:keepNext w:val="0"/>
        <w:keepLines w:val="0"/>
        <w:pageBreakBefore w:val="0"/>
        <w:kinsoku/>
        <w:wordWrap/>
        <w:overflowPunct/>
        <w:topLinePunct w:val="0"/>
        <w:autoSpaceDE/>
        <w:autoSpaceDN/>
        <w:bidi w:val="0"/>
        <w:adjustRightInd/>
        <w:snapToGrid/>
        <w:spacing w:line="540" w:lineRule="exact"/>
        <w:ind w:firstLine="643" w:firstLineChars="200"/>
        <w:textAlignment w:val="auto"/>
        <w:outlineLvl w:val="9"/>
        <w:rPr>
          <w:rFonts w:hint="eastAsia" w:ascii="楷体_GB2312" w:hAnsi="Times New Roman" w:eastAsia="楷体_GB2312"/>
          <w:b/>
          <w:sz w:val="32"/>
          <w:szCs w:val="24"/>
        </w:rPr>
      </w:pPr>
      <w:r>
        <w:rPr>
          <w:rFonts w:hint="eastAsia" w:ascii="楷体_GB2312" w:hAnsi="Times New Roman" w:eastAsia="楷体_GB2312"/>
          <w:b/>
          <w:sz w:val="32"/>
          <w:szCs w:val="24"/>
        </w:rPr>
        <w:t xml:space="preserve">（二）部门收入总体情况说明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lang w:eastAsia="zh-CN"/>
        </w:rPr>
      </w:pPr>
      <w:r>
        <w:rPr>
          <w:rFonts w:hint="eastAsia" w:ascii="仿宋_GB2312" w:hAnsi="Times New Roman" w:eastAsia="仿宋_GB2312"/>
          <w:sz w:val="32"/>
          <w:szCs w:val="24"/>
        </w:rPr>
        <w:t xml:space="preserve">本年收入合计1557.68万元，其中：财政拨款收入1527.52万元，占98.06%；上级补助收入0万元，占0%；事业收入0万元，占0%；经营收入0万元，占0%；附属单位缴款0万元，占0%；其他收入30.15万元，占1.94% </w:t>
      </w:r>
      <w:r>
        <w:rPr>
          <w:rFonts w:hint="eastAsia" w:ascii="仿宋_GB2312" w:hAnsi="Times New Roman" w:eastAsia="仿宋_GB2312"/>
          <w:sz w:val="32"/>
          <w:szCs w:val="24"/>
          <w:lang w:eastAsia="zh-CN"/>
        </w:rPr>
        <w:t>。</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与年初预算数相比情况：本年收入年初预算数971.17万元，决算数1557.68万元，预决算差异率37.65%，差异主要原因:人员工资普调。</w:t>
      </w:r>
    </w:p>
    <w:p>
      <w:pPr>
        <w:keepNext w:val="0"/>
        <w:keepLines w:val="0"/>
        <w:pageBreakBefore w:val="0"/>
        <w:kinsoku/>
        <w:wordWrap/>
        <w:overflowPunct/>
        <w:topLinePunct w:val="0"/>
        <w:autoSpaceDE/>
        <w:autoSpaceDN/>
        <w:bidi w:val="0"/>
        <w:adjustRightInd/>
        <w:snapToGrid/>
        <w:spacing w:line="540" w:lineRule="exact"/>
        <w:ind w:firstLine="643" w:firstLineChars="200"/>
        <w:textAlignment w:val="auto"/>
        <w:outlineLvl w:val="9"/>
        <w:rPr>
          <w:rFonts w:hint="eastAsia" w:ascii="楷体_GB2312" w:hAnsi="Times New Roman" w:eastAsia="楷体_GB2312"/>
          <w:b/>
          <w:sz w:val="32"/>
          <w:szCs w:val="24"/>
        </w:rPr>
      </w:pPr>
      <w:r>
        <w:rPr>
          <w:rFonts w:hint="eastAsia" w:ascii="楷体_GB2312" w:hAnsi="Times New Roman" w:eastAsia="楷体_GB2312"/>
          <w:b/>
          <w:sz w:val="32"/>
          <w:szCs w:val="24"/>
        </w:rPr>
        <w:t xml:space="preserve">（三）部门支出总体情况说明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本年支出合计1602.27万元，其中：基本支出1492.77万元，占93.17%；项目支出109.5万元，占6.83%；上缴上级支出0万元，占0%；经营支出0万元，占0%；对附属单位补助支出0万元，占0%。</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与年初预算数相比情况：本年支出年初预算数971.17万元，决算数1602.27万元，预决算差异率64.98%，差异主要原因:人员工资普调。</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黑体" w:hAnsi="黑体" w:eastAsia="黑体" w:cs="黑体"/>
          <w:b w:val="0"/>
          <w:bCs/>
          <w:sz w:val="32"/>
          <w:szCs w:val="24"/>
        </w:rPr>
      </w:pPr>
      <w:r>
        <w:rPr>
          <w:rFonts w:hint="eastAsia" w:ascii="黑体" w:hAnsi="黑体" w:eastAsia="黑体" w:cs="黑体"/>
          <w:b w:val="0"/>
          <w:bCs/>
          <w:sz w:val="32"/>
          <w:szCs w:val="24"/>
        </w:rPr>
        <w:t xml:space="preserve">二、部门财政拨款收支情况 </w:t>
      </w:r>
    </w:p>
    <w:p>
      <w:pPr>
        <w:keepNext w:val="0"/>
        <w:keepLines w:val="0"/>
        <w:pageBreakBefore w:val="0"/>
        <w:kinsoku/>
        <w:wordWrap/>
        <w:overflowPunct/>
        <w:topLinePunct w:val="0"/>
        <w:autoSpaceDE/>
        <w:autoSpaceDN/>
        <w:bidi w:val="0"/>
        <w:adjustRightInd/>
        <w:snapToGrid/>
        <w:spacing w:line="540" w:lineRule="exact"/>
        <w:ind w:firstLine="643" w:firstLineChars="200"/>
        <w:textAlignment w:val="auto"/>
        <w:outlineLvl w:val="9"/>
        <w:rPr>
          <w:rFonts w:hint="eastAsia" w:ascii="楷体_GB2312" w:hAnsi="Times New Roman" w:eastAsia="楷体_GB2312"/>
          <w:b/>
          <w:sz w:val="32"/>
          <w:szCs w:val="24"/>
        </w:rPr>
      </w:pPr>
      <w:r>
        <w:rPr>
          <w:rFonts w:hint="eastAsia" w:ascii="楷体_GB2312" w:hAnsi="Times New Roman" w:eastAsia="楷体_GB2312"/>
          <w:b/>
          <w:sz w:val="32"/>
          <w:szCs w:val="24"/>
        </w:rPr>
        <w:t xml:space="preserve">（一）财政拨款收支总体情况说明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2018年度财政拨款收入1527.52万元，与上年相比，增加99.2</w:t>
      </w:r>
      <w:r>
        <w:rPr>
          <w:rFonts w:hint="eastAsia" w:ascii="仿宋_GB2312" w:hAnsi="Times New Roman" w:eastAsia="仿宋_GB2312"/>
          <w:sz w:val="32"/>
          <w:szCs w:val="24"/>
          <w:lang w:eastAsia="zh-CN"/>
        </w:rPr>
        <w:t>万</w:t>
      </w:r>
      <w:r>
        <w:rPr>
          <w:rFonts w:hint="eastAsia" w:ascii="仿宋_GB2312" w:hAnsi="Times New Roman" w:eastAsia="仿宋_GB2312"/>
          <w:sz w:val="32"/>
          <w:szCs w:val="24"/>
        </w:rPr>
        <w:t>元，增长6.95%。增减变化的主要原因是：人员工资普调。财政拨款支出1527.52万元，与上年相比，增加99.2</w:t>
      </w:r>
      <w:r>
        <w:rPr>
          <w:rFonts w:hint="eastAsia" w:ascii="仿宋_GB2312" w:hAnsi="Times New Roman" w:eastAsia="仿宋_GB2312"/>
          <w:sz w:val="32"/>
          <w:szCs w:val="24"/>
          <w:lang w:eastAsia="zh-CN"/>
        </w:rPr>
        <w:t>万</w:t>
      </w:r>
      <w:r>
        <w:rPr>
          <w:rFonts w:hint="eastAsia" w:ascii="仿宋_GB2312" w:hAnsi="Times New Roman" w:eastAsia="仿宋_GB2312"/>
          <w:sz w:val="32"/>
          <w:szCs w:val="24"/>
        </w:rPr>
        <w:t>元，增长6.95%。增减变化的主要原因是：人员工资普调。其中：基本支出1418.02万元，项目支出109.5</w:t>
      </w:r>
      <w:r>
        <w:rPr>
          <w:rFonts w:hint="eastAsia" w:ascii="仿宋_GB2312" w:hAnsi="Times New Roman" w:eastAsia="仿宋_GB2312"/>
          <w:sz w:val="32"/>
          <w:szCs w:val="24"/>
          <w:lang w:eastAsia="zh-CN"/>
        </w:rPr>
        <w:t>万</w:t>
      </w:r>
      <w:r>
        <w:rPr>
          <w:rFonts w:hint="eastAsia" w:ascii="仿宋_GB2312" w:hAnsi="Times New Roman" w:eastAsia="仿宋_GB2312"/>
          <w:sz w:val="32"/>
          <w:szCs w:val="24"/>
        </w:rPr>
        <w:t>元。财政拨款结转结余15.87万元，与上年相比，减少44.59万元，降低73.76%。减少变化的主要原因是：厉行节约，压缩经费。</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与年初预算数相比情况：财政拨款收入年初预算数971.17万元，决算数1527.52万元，预决算差异率57.29%，差异主要原因:人员工资普调。财政拨款支出年初预算数971.17万元，决算数1527.52万元，预决算差异率57.29%，差异主要原因:人员工资普调。</w:t>
      </w:r>
    </w:p>
    <w:p>
      <w:pPr>
        <w:keepNext w:val="0"/>
        <w:keepLines w:val="0"/>
        <w:pageBreakBefore w:val="0"/>
        <w:kinsoku/>
        <w:wordWrap/>
        <w:overflowPunct/>
        <w:topLinePunct w:val="0"/>
        <w:autoSpaceDE/>
        <w:autoSpaceDN/>
        <w:bidi w:val="0"/>
        <w:adjustRightInd/>
        <w:snapToGrid/>
        <w:spacing w:line="540" w:lineRule="exact"/>
        <w:ind w:firstLine="643" w:firstLineChars="200"/>
        <w:textAlignment w:val="auto"/>
        <w:outlineLvl w:val="9"/>
        <w:rPr>
          <w:rFonts w:hint="eastAsia" w:ascii="楷体_GB2312" w:hAnsi="Times New Roman" w:eastAsia="楷体_GB2312"/>
          <w:b/>
          <w:sz w:val="32"/>
          <w:szCs w:val="24"/>
        </w:rPr>
      </w:pPr>
      <w:r>
        <w:rPr>
          <w:rFonts w:hint="eastAsia" w:ascii="楷体_GB2312" w:hAnsi="Times New Roman" w:eastAsia="楷体_GB2312"/>
          <w:b/>
          <w:sz w:val="32"/>
          <w:szCs w:val="24"/>
        </w:rPr>
        <w:t>（二）一般公共预算</w:t>
      </w:r>
      <w:r>
        <w:rPr>
          <w:rFonts w:hint="eastAsia" w:ascii="楷体_GB2312" w:hAnsi="Times New Roman" w:eastAsia="楷体_GB2312"/>
          <w:b/>
          <w:sz w:val="32"/>
          <w:szCs w:val="24"/>
          <w:lang w:eastAsia="zh-CN"/>
        </w:rPr>
        <w:t>收</w:t>
      </w:r>
      <w:r>
        <w:rPr>
          <w:rFonts w:hint="eastAsia" w:ascii="楷体_GB2312" w:hAnsi="Times New Roman" w:eastAsia="楷体_GB2312"/>
          <w:b/>
          <w:sz w:val="32"/>
          <w:szCs w:val="24"/>
        </w:rPr>
        <w:t xml:space="preserve">支决算情况说明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2018年度一般公共预算财政拨款收入1527.52万元。与上年相比，增加274.65，增长21.92%。增减变化的主要原因是：人员工资普调。一般公共预算财政拨款支出1527</w:t>
      </w:r>
      <w:r>
        <w:rPr>
          <w:rFonts w:hint="eastAsia" w:ascii="仿宋_GB2312" w:hAnsi="Times New Roman" w:eastAsia="仿宋_GB2312"/>
          <w:sz w:val="32"/>
          <w:szCs w:val="24"/>
          <w:lang w:val="en-US" w:eastAsia="zh-CN"/>
        </w:rPr>
        <w:t>.</w:t>
      </w:r>
      <w:r>
        <w:rPr>
          <w:rFonts w:hint="eastAsia" w:ascii="仿宋_GB2312" w:hAnsi="Times New Roman" w:eastAsia="仿宋_GB2312"/>
          <w:sz w:val="32"/>
          <w:szCs w:val="24"/>
        </w:rPr>
        <w:t>52万元。与上年相比，增加274。65万元，增长21.92%。增减变化的主要原因是：人员工资普调。其中：按功能分类科目，201一般公共服务支出727.01万元，207文化体育与传媒支出24.25万元，208社会保障和就业支出117.26万元，</w:t>
      </w:r>
      <w:r>
        <w:rPr>
          <w:rFonts w:hint="eastAsia" w:ascii="仿宋_GB2312" w:hAnsi="Times New Roman" w:eastAsia="仿宋_GB2312" w:cs="Times New Roman"/>
          <w:sz w:val="32"/>
          <w:szCs w:val="24"/>
        </w:rPr>
        <w:t>210医疗卫生与计划生育支出</w:t>
      </w:r>
      <w:bookmarkStart w:id="0" w:name="_GoBack"/>
      <w:bookmarkEnd w:id="0"/>
      <w:r>
        <w:rPr>
          <w:rFonts w:hint="eastAsia" w:ascii="仿宋_GB2312" w:hAnsi="Times New Roman" w:eastAsia="仿宋_GB2312"/>
          <w:sz w:val="32"/>
          <w:szCs w:val="24"/>
        </w:rPr>
        <w:t>81.23万元，211节能环保支出44.77</w:t>
      </w:r>
      <w:r>
        <w:rPr>
          <w:rFonts w:hint="eastAsia" w:ascii="仿宋_GB2312" w:hAnsi="Times New Roman" w:eastAsia="仿宋_GB2312"/>
          <w:sz w:val="32"/>
          <w:szCs w:val="24"/>
          <w:lang w:eastAsia="zh-CN"/>
        </w:rPr>
        <w:t>万元</w:t>
      </w:r>
      <w:r>
        <w:rPr>
          <w:rFonts w:hint="eastAsia" w:ascii="仿宋_GB2312" w:hAnsi="Times New Roman" w:eastAsia="仿宋_GB2312"/>
          <w:sz w:val="32"/>
          <w:szCs w:val="24"/>
        </w:rPr>
        <w:t>，212城乡社区支出24.3</w:t>
      </w:r>
      <w:r>
        <w:rPr>
          <w:rFonts w:hint="eastAsia" w:ascii="仿宋_GB2312" w:hAnsi="Times New Roman" w:eastAsia="仿宋_GB2312"/>
          <w:sz w:val="32"/>
          <w:szCs w:val="24"/>
          <w:lang w:val="en-US" w:eastAsia="zh-CN"/>
        </w:rPr>
        <w:t>5</w:t>
      </w:r>
      <w:r>
        <w:rPr>
          <w:rFonts w:hint="eastAsia" w:ascii="仿宋_GB2312" w:hAnsi="Times New Roman" w:eastAsia="仿宋_GB2312"/>
          <w:sz w:val="32"/>
          <w:szCs w:val="24"/>
        </w:rPr>
        <w:t>万元，213农林水支出497.17万元,229其他支出11</w:t>
      </w:r>
      <w:r>
        <w:rPr>
          <w:rFonts w:hint="eastAsia" w:ascii="仿宋_GB2312" w:hAnsi="Times New Roman" w:eastAsia="仿宋_GB2312"/>
          <w:sz w:val="32"/>
          <w:szCs w:val="24"/>
          <w:lang w:val="en-US" w:eastAsia="zh-CN"/>
        </w:rPr>
        <w:t>.49</w:t>
      </w:r>
      <w:r>
        <w:rPr>
          <w:rFonts w:hint="eastAsia" w:ascii="仿宋_GB2312" w:hAnsi="Times New Roman" w:eastAsia="仿宋_GB2312"/>
          <w:sz w:val="32"/>
          <w:szCs w:val="24"/>
        </w:rPr>
        <w:t>万元。按经济分类科目，工资福利支出482.</w:t>
      </w:r>
      <w:r>
        <w:rPr>
          <w:rFonts w:hint="eastAsia" w:ascii="仿宋_GB2312" w:hAnsi="Times New Roman" w:eastAsia="仿宋_GB2312"/>
          <w:sz w:val="32"/>
          <w:szCs w:val="24"/>
          <w:lang w:val="en-US" w:eastAsia="zh-CN"/>
        </w:rPr>
        <w:t>85</w:t>
      </w:r>
      <w:r>
        <w:rPr>
          <w:rFonts w:hint="eastAsia" w:ascii="仿宋_GB2312" w:hAnsi="Times New Roman" w:eastAsia="仿宋_GB2312"/>
          <w:sz w:val="32"/>
          <w:szCs w:val="24"/>
        </w:rPr>
        <w:t>万元，商品和服务支出</w:t>
      </w:r>
      <w:r>
        <w:rPr>
          <w:rFonts w:hint="eastAsia" w:ascii="仿宋_GB2312" w:hAnsi="Times New Roman" w:eastAsia="仿宋_GB2312"/>
          <w:sz w:val="32"/>
          <w:szCs w:val="24"/>
          <w:lang w:val="en-US" w:eastAsia="zh-CN"/>
        </w:rPr>
        <w:t>236.91</w:t>
      </w:r>
      <w:r>
        <w:rPr>
          <w:rFonts w:hint="eastAsia" w:ascii="仿宋_GB2312" w:hAnsi="Times New Roman" w:eastAsia="仿宋_GB2312"/>
          <w:sz w:val="32"/>
          <w:szCs w:val="24"/>
        </w:rPr>
        <w:t>万元，对个人和家庭的补助支出689.15万元，资本性支出9.11万元。</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 xml:space="preserve">与年初预算数相比情况：一般公共预算财政拨款收入年初预算数971.17万元，决算数1527.52万元，预决算差异率57.29%，差异主要原因：人员工资普调。一般公共预算财政拨款支出年初预算数971.17万元，决算数1527.52万元，预决算差异率57.29%，差异主要原因：人员工资普调。 </w:t>
      </w:r>
    </w:p>
    <w:p>
      <w:pPr>
        <w:keepNext w:val="0"/>
        <w:keepLines w:val="0"/>
        <w:pageBreakBefore w:val="0"/>
        <w:kinsoku/>
        <w:wordWrap/>
        <w:overflowPunct/>
        <w:topLinePunct w:val="0"/>
        <w:autoSpaceDE/>
        <w:autoSpaceDN/>
        <w:bidi w:val="0"/>
        <w:adjustRightInd/>
        <w:snapToGrid/>
        <w:spacing w:line="540" w:lineRule="exact"/>
        <w:ind w:firstLine="643" w:firstLineChars="200"/>
        <w:textAlignment w:val="auto"/>
        <w:outlineLvl w:val="9"/>
        <w:rPr>
          <w:rFonts w:hint="eastAsia" w:ascii="楷体_GB2312" w:hAnsi="Times New Roman" w:eastAsia="楷体_GB2312"/>
          <w:b/>
          <w:sz w:val="32"/>
          <w:szCs w:val="24"/>
        </w:rPr>
      </w:pPr>
      <w:r>
        <w:rPr>
          <w:rFonts w:hint="eastAsia" w:ascii="楷体_GB2312" w:hAnsi="Times New Roman" w:eastAsia="楷体_GB2312"/>
          <w:b/>
          <w:sz w:val="32"/>
          <w:szCs w:val="24"/>
        </w:rPr>
        <w:t xml:space="preserve">（三）政府性基金预算收支决算情况说明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2018年度政府性基金预算财政拨款收入0万元，与上年相比</w:t>
      </w:r>
      <w:r>
        <w:rPr>
          <w:rFonts w:hint="eastAsia" w:ascii="仿宋_GB2312" w:hAnsi="Times New Roman" w:eastAsia="仿宋_GB2312"/>
          <w:sz w:val="32"/>
          <w:szCs w:val="24"/>
          <w:lang w:eastAsia="zh-CN"/>
        </w:rPr>
        <w:t>，</w:t>
      </w:r>
      <w:r>
        <w:rPr>
          <w:rFonts w:hint="eastAsia" w:ascii="仿宋_GB2312" w:hAnsi="Times New Roman" w:eastAsia="仿宋_GB2312"/>
          <w:sz w:val="32"/>
          <w:szCs w:val="24"/>
        </w:rPr>
        <w:t>增加0万元，增长0%。增减变化的主要原因是：2018年度无政府性基金收支。政府性基金预算支出0万元。与上年相比，增加0万元，增长</w:t>
      </w:r>
      <w:r>
        <w:rPr>
          <w:rFonts w:hint="eastAsia" w:ascii="仿宋_GB2312" w:hAnsi="Times New Roman" w:eastAsia="仿宋_GB2312"/>
          <w:sz w:val="32"/>
          <w:szCs w:val="24"/>
          <w:lang w:val="en-US" w:eastAsia="zh-CN"/>
        </w:rPr>
        <w:t>0</w:t>
      </w:r>
      <w:r>
        <w:rPr>
          <w:rFonts w:hint="eastAsia" w:ascii="仿宋_GB2312" w:hAnsi="Times New Roman" w:eastAsia="仿宋_GB2312"/>
          <w:sz w:val="32"/>
          <w:szCs w:val="24"/>
        </w:rPr>
        <w:t>%。增减变化的主要原因是：2018年度无政府性基金收支。其中：按功能分类科目，支出</w:t>
      </w:r>
      <w:r>
        <w:rPr>
          <w:rFonts w:hint="eastAsia" w:ascii="仿宋_GB2312" w:hAnsi="Times New Roman" w:eastAsia="仿宋_GB2312"/>
          <w:sz w:val="32"/>
          <w:szCs w:val="24"/>
          <w:lang w:val="en-US" w:eastAsia="zh-CN"/>
        </w:rPr>
        <w:t>0</w:t>
      </w:r>
      <w:r>
        <w:rPr>
          <w:rFonts w:hint="eastAsia" w:ascii="仿宋_GB2312" w:hAnsi="Times New Roman" w:eastAsia="仿宋_GB2312"/>
          <w:sz w:val="32"/>
          <w:szCs w:val="24"/>
          <w:lang w:eastAsia="zh-CN"/>
        </w:rPr>
        <w:t>万元</w:t>
      </w:r>
      <w:r>
        <w:rPr>
          <w:rFonts w:hint="eastAsia" w:ascii="仿宋_GB2312" w:hAnsi="Times New Roman" w:eastAsia="仿宋_GB2312"/>
          <w:sz w:val="32"/>
          <w:szCs w:val="24"/>
        </w:rPr>
        <w:t>。按经济分类科目，支出</w:t>
      </w:r>
      <w:r>
        <w:rPr>
          <w:rFonts w:hint="eastAsia" w:ascii="仿宋_GB2312" w:hAnsi="Times New Roman" w:eastAsia="仿宋_GB2312"/>
          <w:sz w:val="32"/>
          <w:szCs w:val="24"/>
          <w:lang w:val="en-US" w:eastAsia="zh-CN"/>
        </w:rPr>
        <w:t>0</w:t>
      </w:r>
      <w:r>
        <w:rPr>
          <w:rFonts w:hint="eastAsia" w:ascii="仿宋_GB2312" w:hAnsi="Times New Roman" w:eastAsia="仿宋_GB2312"/>
          <w:sz w:val="32"/>
          <w:szCs w:val="24"/>
          <w:lang w:eastAsia="zh-CN"/>
        </w:rPr>
        <w:t>万元</w:t>
      </w:r>
      <w:r>
        <w:rPr>
          <w:rFonts w:hint="eastAsia" w:ascii="仿宋_GB2312" w:hAnsi="Times New Roman" w:eastAsia="仿宋_GB2312"/>
          <w:sz w:val="32"/>
          <w:szCs w:val="24"/>
        </w:rPr>
        <w:t>。</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与年初预算数相比情况：政府性基金预算财政拨款收入年初预数0万元，决算数0万元，预决算差异率0%，差异主要原因：2018年度无政府性基金收支。政府性基金预算财政拨款支出年初预算数0万元，决算数0万元，预决算差异率0%，差异主要原因：2018年度无政府性基金收支。</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楷体_GB2312" w:hAnsi="Times New Roman" w:eastAsia="楷体_GB2312"/>
          <w:b/>
          <w:sz w:val="32"/>
          <w:szCs w:val="24"/>
        </w:rPr>
      </w:pPr>
      <w:r>
        <w:rPr>
          <w:rFonts w:hint="eastAsia" w:ascii="黑体" w:hAnsi="黑体" w:eastAsia="黑体" w:cs="黑体"/>
          <w:b w:val="0"/>
          <w:bCs/>
          <w:sz w:val="32"/>
          <w:szCs w:val="24"/>
        </w:rPr>
        <w:t>三、部门结转结余情况</w:t>
      </w:r>
      <w:r>
        <w:rPr>
          <w:rFonts w:hint="eastAsia" w:ascii="楷体_GB2312" w:hAnsi="Times New Roman" w:eastAsia="楷体_GB2312"/>
          <w:b/>
          <w:sz w:val="32"/>
          <w:szCs w:val="24"/>
        </w:rPr>
        <w:t xml:space="preserve">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年末结转结余15.86万元，与上年相比，减少44.59万元，降低73.76%。</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 xml:space="preserve"> 其中财政拨款结转结余0万元。与上年相比，增加0万元，增长0%。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楷体_GB2312" w:hAnsi="Times New Roman" w:eastAsia="楷体_GB2312"/>
          <w:b/>
          <w:sz w:val="32"/>
          <w:szCs w:val="24"/>
        </w:rPr>
      </w:pPr>
      <w:r>
        <w:rPr>
          <w:rFonts w:hint="eastAsia" w:ascii="黑体" w:hAnsi="黑体" w:eastAsia="黑体" w:cs="黑体"/>
          <w:b w:val="0"/>
          <w:bCs/>
          <w:sz w:val="32"/>
          <w:szCs w:val="24"/>
        </w:rPr>
        <w:t>四、一般公共预算“三公”经费支出情况</w:t>
      </w:r>
      <w:r>
        <w:rPr>
          <w:rFonts w:hint="eastAsia" w:ascii="楷体_GB2312" w:hAnsi="Times New Roman" w:eastAsia="楷体_GB2312"/>
          <w:b/>
          <w:sz w:val="32"/>
          <w:szCs w:val="24"/>
        </w:rPr>
        <w:t xml:space="preserve">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2018年度一般公共预算“三公”经费支出决算16.39万元，比上年减少1.4万元，降低7.85%，减少原因是压缩“三公”经费支出。其中，因公出国（境）费支出0万元，占</w:t>
      </w:r>
      <w:r>
        <w:rPr>
          <w:rFonts w:hint="eastAsia" w:ascii="仿宋_GB2312" w:hAnsi="Times New Roman" w:eastAsia="仿宋_GB2312"/>
          <w:sz w:val="32"/>
          <w:szCs w:val="24"/>
          <w:lang w:val="en-US" w:eastAsia="zh-CN"/>
        </w:rPr>
        <w:t>0</w:t>
      </w:r>
      <w:r>
        <w:rPr>
          <w:rFonts w:hint="eastAsia" w:ascii="仿宋_GB2312" w:hAnsi="Times New Roman" w:eastAsia="仿宋_GB2312"/>
          <w:sz w:val="32"/>
          <w:szCs w:val="24"/>
        </w:rPr>
        <w:t>%，比上年减少</w:t>
      </w:r>
      <w:r>
        <w:rPr>
          <w:rFonts w:hint="eastAsia" w:ascii="仿宋_GB2312" w:hAnsi="Times New Roman" w:eastAsia="仿宋_GB2312"/>
          <w:sz w:val="32"/>
          <w:szCs w:val="24"/>
          <w:lang w:val="en-US" w:eastAsia="zh-CN"/>
        </w:rPr>
        <w:t>0</w:t>
      </w:r>
      <w:r>
        <w:rPr>
          <w:rFonts w:hint="eastAsia" w:ascii="仿宋_GB2312" w:hAnsi="Times New Roman" w:eastAsia="仿宋_GB2312"/>
          <w:sz w:val="32"/>
          <w:szCs w:val="24"/>
        </w:rPr>
        <w:t>万元，降低</w:t>
      </w:r>
      <w:r>
        <w:rPr>
          <w:rFonts w:hint="eastAsia" w:ascii="仿宋_GB2312" w:hAnsi="Times New Roman" w:eastAsia="仿宋_GB2312"/>
          <w:sz w:val="32"/>
          <w:szCs w:val="24"/>
          <w:lang w:val="en-US" w:eastAsia="zh-CN"/>
        </w:rPr>
        <w:t>0</w:t>
      </w:r>
      <w:r>
        <w:rPr>
          <w:rFonts w:hint="eastAsia" w:ascii="仿宋_GB2312" w:hAnsi="Times New Roman" w:eastAsia="仿宋_GB2312"/>
          <w:sz w:val="32"/>
          <w:szCs w:val="24"/>
        </w:rPr>
        <w:t>%，减少原因是</w:t>
      </w:r>
      <w:r>
        <w:rPr>
          <w:rFonts w:hint="eastAsia" w:ascii="仿宋_GB2312" w:hAnsi="Times New Roman" w:eastAsia="仿宋_GB2312"/>
          <w:sz w:val="32"/>
          <w:szCs w:val="24"/>
          <w:lang w:val="en-US" w:eastAsia="zh-CN"/>
        </w:rPr>
        <w:t>压缩三公经费支出</w:t>
      </w:r>
      <w:r>
        <w:rPr>
          <w:rFonts w:hint="eastAsia" w:ascii="仿宋_GB2312" w:hAnsi="Times New Roman" w:eastAsia="仿宋_GB2312"/>
          <w:sz w:val="32"/>
          <w:szCs w:val="24"/>
        </w:rPr>
        <w:t>；公务用车购置及运行维护费支出15.73万元，占95.97%，比上年减少1.38万元，降低8.05%，减少原因是压缩“三公”经费支出；公务接待费支0.66万元，占4.03%，比上年减少197.12万元，降低2.9%，减原因是压缩“三公”经费支出。具体情况如下：</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因公出国（境）费支出0万元。吉木萨尔县庆阳湖乡人民政府全年使用一般公共预算财政拨款安排的出国（境）团组0个，累计0人次。开支内容包括：</w:t>
      </w:r>
      <w:r>
        <w:rPr>
          <w:rFonts w:hint="eastAsia" w:ascii="仿宋_GB2312" w:hAnsi="Times New Roman" w:eastAsia="仿宋_GB2312"/>
          <w:sz w:val="32"/>
          <w:szCs w:val="24"/>
          <w:lang w:eastAsia="zh-CN"/>
        </w:rPr>
        <w:t>无</w:t>
      </w:r>
      <w:r>
        <w:rPr>
          <w:rFonts w:hint="eastAsia" w:ascii="仿宋_GB2312" w:hAnsi="Times New Roman" w:eastAsia="仿宋_GB2312"/>
          <w:sz w:val="32"/>
          <w:szCs w:val="24"/>
        </w:rPr>
        <w:t xml:space="preserve">因公出国（境）费。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公务用车购置及运行维护费15.73万元,其中，公务用车购置0万元，公务用车运行维护费15</w:t>
      </w:r>
      <w:r>
        <w:rPr>
          <w:rFonts w:hint="eastAsia" w:ascii="仿宋_GB2312" w:hAnsi="Times New Roman" w:eastAsia="仿宋_GB2312"/>
          <w:sz w:val="32"/>
          <w:szCs w:val="24"/>
          <w:lang w:val="en-US" w:eastAsia="zh-CN"/>
        </w:rPr>
        <w:t>.</w:t>
      </w:r>
      <w:r>
        <w:rPr>
          <w:rFonts w:hint="eastAsia" w:ascii="仿宋_GB2312" w:hAnsi="Times New Roman" w:eastAsia="仿宋_GB2312"/>
          <w:sz w:val="32"/>
          <w:szCs w:val="24"/>
        </w:rPr>
        <w:t>73</w:t>
      </w:r>
      <w:r>
        <w:rPr>
          <w:rFonts w:hint="eastAsia" w:ascii="仿宋_GB2312" w:hAnsi="Times New Roman" w:eastAsia="仿宋_GB2312"/>
          <w:sz w:val="32"/>
          <w:szCs w:val="24"/>
          <w:lang w:val="en-US" w:eastAsia="zh-CN"/>
        </w:rPr>
        <w:t>万</w:t>
      </w:r>
      <w:r>
        <w:rPr>
          <w:rFonts w:hint="eastAsia" w:ascii="仿宋_GB2312" w:hAnsi="Times New Roman" w:eastAsia="仿宋_GB2312"/>
          <w:sz w:val="32"/>
          <w:szCs w:val="24"/>
        </w:rPr>
        <w:t xml:space="preserve">元。主要用于油费、过路费及维修费等。2018年，单位一般公共财政拨款安排的公务用车购置量0辆，保有量为3辆。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公务接待费0.66万元。具体是：国内公务接待支出0.66万元，</w:t>
      </w:r>
      <w:r>
        <w:rPr>
          <w:rFonts w:hint="eastAsia" w:ascii="仿宋_GB2312" w:hAnsi="Times New Roman" w:eastAsia="仿宋_GB2312"/>
          <w:sz w:val="32"/>
          <w:szCs w:val="24"/>
          <w:lang w:val="en-US" w:eastAsia="zh-CN"/>
        </w:rPr>
        <w:t>主要是接待上级单位来人检查等，</w:t>
      </w:r>
      <w:r>
        <w:rPr>
          <w:rFonts w:hint="eastAsia" w:ascii="仿宋_GB2312" w:hAnsi="Times New Roman" w:eastAsia="仿宋_GB2312"/>
          <w:sz w:val="32"/>
          <w:szCs w:val="24"/>
        </w:rPr>
        <w:t xml:space="preserve">国内公务接待39批次，195人次。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与年初预算数相比情况：一般公共预算“三公”经费支出年初预算数</w:t>
      </w:r>
      <w:r>
        <w:rPr>
          <w:rFonts w:hint="eastAsia" w:ascii="仿宋_GB2312" w:hAnsi="Times New Roman" w:eastAsia="仿宋_GB2312"/>
          <w:sz w:val="32"/>
          <w:szCs w:val="24"/>
          <w:lang w:val="en-US" w:eastAsia="zh-CN"/>
        </w:rPr>
        <w:t>16.39</w:t>
      </w:r>
      <w:r>
        <w:rPr>
          <w:rFonts w:hint="eastAsia" w:ascii="仿宋_GB2312" w:hAnsi="Times New Roman" w:eastAsia="仿宋_GB2312"/>
          <w:sz w:val="32"/>
          <w:szCs w:val="24"/>
        </w:rPr>
        <w:t>万元，决算数</w:t>
      </w:r>
      <w:r>
        <w:rPr>
          <w:rFonts w:hint="eastAsia" w:ascii="仿宋_GB2312" w:hAnsi="Times New Roman" w:eastAsia="仿宋_GB2312"/>
          <w:sz w:val="32"/>
          <w:szCs w:val="24"/>
          <w:lang w:val="en-US" w:eastAsia="zh-CN"/>
        </w:rPr>
        <w:t>16.39</w:t>
      </w:r>
      <w:r>
        <w:rPr>
          <w:rFonts w:hint="eastAsia" w:ascii="仿宋_GB2312" w:hAnsi="Times New Roman" w:eastAsia="仿宋_GB2312"/>
          <w:sz w:val="32"/>
          <w:szCs w:val="24"/>
        </w:rPr>
        <w:t>万元，预决算差异率</w:t>
      </w:r>
      <w:r>
        <w:rPr>
          <w:rFonts w:hint="eastAsia" w:ascii="仿宋_GB2312" w:hAnsi="Times New Roman" w:eastAsia="仿宋_GB2312"/>
          <w:sz w:val="32"/>
          <w:szCs w:val="24"/>
          <w:lang w:val="en-US" w:eastAsia="zh-CN"/>
        </w:rPr>
        <w:t>0</w:t>
      </w:r>
      <w:r>
        <w:rPr>
          <w:rFonts w:hint="eastAsia" w:ascii="仿宋_GB2312" w:hAnsi="Times New Roman" w:eastAsia="仿宋_GB2312"/>
          <w:sz w:val="32"/>
          <w:szCs w:val="24"/>
        </w:rPr>
        <w:t>%，差异主要原因：</w:t>
      </w:r>
      <w:r>
        <w:rPr>
          <w:rFonts w:hint="eastAsia" w:ascii="仿宋_GB2312" w:hAnsi="Times New Roman" w:eastAsia="仿宋_GB2312"/>
          <w:sz w:val="32"/>
          <w:szCs w:val="24"/>
          <w:lang w:eastAsia="zh-CN"/>
        </w:rPr>
        <w:t>无差异</w:t>
      </w:r>
      <w:r>
        <w:rPr>
          <w:rFonts w:hint="eastAsia" w:ascii="仿宋_GB2312" w:hAnsi="Times New Roman" w:eastAsia="仿宋_GB2312"/>
          <w:sz w:val="32"/>
          <w:szCs w:val="24"/>
        </w:rPr>
        <w:t>。其中：因公出国（境）费预算数0万元，决算数0万元，预决算差异率0%，差异主要原因：无因公出国费用收支；公务用车购置预算数0万元，决算数0万元，预决算差异率0%，差异主要原因：无公务用车购置收支；公务用车运行费预算数1</w:t>
      </w:r>
      <w:r>
        <w:rPr>
          <w:rFonts w:hint="eastAsia" w:ascii="仿宋_GB2312" w:hAnsi="Times New Roman" w:eastAsia="仿宋_GB2312"/>
          <w:sz w:val="32"/>
          <w:szCs w:val="24"/>
          <w:lang w:val="en-US" w:eastAsia="zh-CN"/>
        </w:rPr>
        <w:t>5.73</w:t>
      </w:r>
      <w:r>
        <w:rPr>
          <w:rFonts w:hint="eastAsia" w:ascii="仿宋_GB2312" w:hAnsi="Times New Roman" w:eastAsia="仿宋_GB2312"/>
          <w:sz w:val="32"/>
          <w:szCs w:val="24"/>
        </w:rPr>
        <w:t>万元，决算数15.73万元，预决算差异率</w:t>
      </w:r>
      <w:r>
        <w:rPr>
          <w:rFonts w:hint="eastAsia" w:ascii="仿宋_GB2312" w:hAnsi="Times New Roman" w:eastAsia="仿宋_GB2312"/>
          <w:sz w:val="32"/>
          <w:szCs w:val="24"/>
          <w:lang w:val="en-US" w:eastAsia="zh-CN"/>
        </w:rPr>
        <w:t>0</w:t>
      </w:r>
      <w:r>
        <w:rPr>
          <w:rFonts w:hint="eastAsia" w:ascii="仿宋_GB2312" w:hAnsi="Times New Roman" w:eastAsia="仿宋_GB2312"/>
          <w:sz w:val="32"/>
          <w:szCs w:val="24"/>
        </w:rPr>
        <w:t>%，差异主要原因：</w:t>
      </w:r>
      <w:r>
        <w:rPr>
          <w:rFonts w:hint="eastAsia" w:ascii="仿宋_GB2312" w:hAnsi="Times New Roman" w:eastAsia="仿宋_GB2312"/>
          <w:sz w:val="32"/>
          <w:szCs w:val="24"/>
          <w:lang w:eastAsia="zh-CN"/>
        </w:rPr>
        <w:t>无差异</w:t>
      </w:r>
      <w:r>
        <w:rPr>
          <w:rFonts w:hint="eastAsia" w:ascii="仿宋_GB2312" w:hAnsi="Times New Roman" w:eastAsia="仿宋_GB2312"/>
          <w:sz w:val="32"/>
          <w:szCs w:val="24"/>
        </w:rPr>
        <w:t>；公务接待费预算数0</w:t>
      </w:r>
      <w:r>
        <w:rPr>
          <w:rFonts w:hint="eastAsia" w:ascii="仿宋_GB2312" w:hAnsi="Times New Roman" w:eastAsia="仿宋_GB2312"/>
          <w:sz w:val="32"/>
          <w:szCs w:val="24"/>
          <w:lang w:val="en-US" w:eastAsia="zh-CN"/>
        </w:rPr>
        <w:t>.66</w:t>
      </w:r>
      <w:r>
        <w:rPr>
          <w:rFonts w:hint="eastAsia" w:ascii="仿宋_GB2312" w:hAnsi="Times New Roman" w:eastAsia="仿宋_GB2312"/>
          <w:sz w:val="32"/>
          <w:szCs w:val="24"/>
        </w:rPr>
        <w:t>万元，决算数0.66万元，预决算差异率0%，差异主要原因:</w:t>
      </w:r>
      <w:r>
        <w:rPr>
          <w:rFonts w:hint="eastAsia" w:ascii="仿宋_GB2312" w:hAnsi="Times New Roman" w:eastAsia="仿宋_GB2312"/>
          <w:sz w:val="32"/>
          <w:szCs w:val="24"/>
          <w:lang w:eastAsia="zh-CN"/>
        </w:rPr>
        <w:t>无差异</w:t>
      </w:r>
      <w:r>
        <w:rPr>
          <w:rFonts w:hint="eastAsia" w:ascii="仿宋_GB2312" w:hAnsi="Times New Roman" w:eastAsia="仿宋_GB2312"/>
          <w:sz w:val="32"/>
          <w:szCs w:val="24"/>
        </w:rPr>
        <w:t xml:space="preserve">。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楷体_GB2312" w:hAnsi="Times New Roman" w:eastAsia="楷体_GB2312"/>
          <w:b/>
          <w:sz w:val="32"/>
          <w:szCs w:val="24"/>
        </w:rPr>
      </w:pPr>
      <w:r>
        <w:rPr>
          <w:rFonts w:hint="eastAsia" w:ascii="黑体" w:hAnsi="黑体" w:eastAsia="黑体" w:cs="黑体"/>
          <w:b w:val="0"/>
          <w:bCs/>
          <w:sz w:val="32"/>
          <w:szCs w:val="24"/>
        </w:rPr>
        <w:t>五、机关运行经费支出情况</w:t>
      </w:r>
      <w:r>
        <w:rPr>
          <w:rFonts w:hint="eastAsia" w:ascii="楷体_GB2312" w:hAnsi="Times New Roman" w:eastAsia="楷体_GB2312"/>
          <w:b/>
          <w:sz w:val="32"/>
          <w:szCs w:val="24"/>
        </w:rPr>
        <w:t xml:space="preserve">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2018年度</w:t>
      </w:r>
      <w:r>
        <w:rPr>
          <w:rFonts w:hint="eastAsia" w:ascii="仿宋_GB2312" w:hAnsi="Times New Roman" w:eastAsia="仿宋_GB2312"/>
          <w:sz w:val="32"/>
          <w:szCs w:val="24"/>
          <w:lang w:eastAsia="zh-CN"/>
        </w:rPr>
        <w:t>吉木萨尔县</w:t>
      </w:r>
      <w:r>
        <w:rPr>
          <w:rFonts w:hint="eastAsia" w:ascii="仿宋_GB2312" w:hAnsi="Times New Roman" w:eastAsia="仿宋_GB2312"/>
          <w:sz w:val="32"/>
          <w:szCs w:val="24"/>
        </w:rPr>
        <w:t>庆阳湖乡人民政府机关运行经费支出246.02万元，比上年增加79.26万元，增长47.53%，主要原因是人员增加，工资普调。</w:t>
      </w:r>
    </w:p>
    <w:p>
      <w:pPr>
        <w:keepNext w:val="0"/>
        <w:keepLines w:val="0"/>
        <w:pageBreakBefore w:val="0"/>
        <w:kinsoku/>
        <w:wordWrap/>
        <w:overflowPunct/>
        <w:topLinePunct w:val="0"/>
        <w:autoSpaceDE/>
        <w:autoSpaceDN/>
        <w:bidi w:val="0"/>
        <w:adjustRightInd/>
        <w:snapToGrid/>
        <w:spacing w:line="540" w:lineRule="exact"/>
        <w:ind w:firstLine="643" w:firstLineChars="200"/>
        <w:textAlignment w:val="auto"/>
        <w:outlineLvl w:val="9"/>
        <w:rPr>
          <w:rFonts w:hint="eastAsia" w:ascii="黑体" w:hAnsi="黑体" w:eastAsia="黑体" w:cs="黑体"/>
          <w:b/>
          <w:sz w:val="32"/>
          <w:szCs w:val="24"/>
        </w:rPr>
      </w:pPr>
      <w:r>
        <w:rPr>
          <w:rFonts w:hint="eastAsia" w:ascii="黑体" w:hAnsi="黑体" w:eastAsia="黑体" w:cs="黑体"/>
          <w:b/>
          <w:sz w:val="32"/>
          <w:szCs w:val="24"/>
        </w:rPr>
        <w:t xml:space="preserve">六、政府采购情况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2018年度政府采购支出总额 437.</w:t>
      </w:r>
      <w:r>
        <w:rPr>
          <w:rFonts w:hint="eastAsia" w:ascii="仿宋_GB2312" w:hAnsi="Times New Roman" w:eastAsia="仿宋_GB2312"/>
          <w:sz w:val="32"/>
          <w:szCs w:val="24"/>
          <w:lang w:val="en-US" w:eastAsia="zh-CN"/>
        </w:rPr>
        <w:t>13</w:t>
      </w:r>
      <w:r>
        <w:rPr>
          <w:rFonts w:hint="eastAsia" w:ascii="仿宋_GB2312" w:hAnsi="Times New Roman" w:eastAsia="仿宋_GB2312"/>
          <w:sz w:val="32"/>
          <w:szCs w:val="24"/>
        </w:rPr>
        <w:t xml:space="preserve">万元，其中：政府采购货物支出52.45万元、政府采购工程支出384.68万元、政府采购服务支出0万元。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楷体_GB2312" w:hAnsi="Times New Roman" w:eastAsia="楷体_GB2312"/>
          <w:b/>
          <w:sz w:val="32"/>
          <w:szCs w:val="24"/>
        </w:rPr>
      </w:pPr>
      <w:r>
        <w:rPr>
          <w:rFonts w:hint="eastAsia" w:ascii="黑体" w:hAnsi="黑体" w:eastAsia="黑体" w:cs="黑体"/>
          <w:b w:val="0"/>
          <w:bCs/>
          <w:sz w:val="32"/>
          <w:szCs w:val="24"/>
        </w:rPr>
        <w:t>七、其他重要事项的情况</w:t>
      </w:r>
      <w:r>
        <w:rPr>
          <w:rFonts w:hint="eastAsia" w:ascii="楷体_GB2312" w:hAnsi="Times New Roman" w:eastAsia="楷体_GB2312"/>
          <w:b/>
          <w:sz w:val="32"/>
          <w:szCs w:val="24"/>
        </w:rPr>
        <w:t xml:space="preserve"> </w:t>
      </w:r>
    </w:p>
    <w:p>
      <w:pPr>
        <w:keepNext w:val="0"/>
        <w:keepLines w:val="0"/>
        <w:pageBreakBefore w:val="0"/>
        <w:kinsoku/>
        <w:wordWrap/>
        <w:overflowPunct/>
        <w:topLinePunct w:val="0"/>
        <w:autoSpaceDE/>
        <w:autoSpaceDN/>
        <w:bidi w:val="0"/>
        <w:adjustRightInd/>
        <w:snapToGrid/>
        <w:spacing w:line="540" w:lineRule="exact"/>
        <w:ind w:firstLine="643" w:firstLineChars="200"/>
        <w:textAlignment w:val="auto"/>
        <w:outlineLvl w:val="9"/>
        <w:rPr>
          <w:rFonts w:hint="eastAsia" w:ascii="楷体_GB2312" w:hAnsi="Times New Roman" w:eastAsia="楷体_GB2312"/>
          <w:b/>
          <w:sz w:val="32"/>
          <w:szCs w:val="24"/>
        </w:rPr>
      </w:pPr>
      <w:r>
        <w:rPr>
          <w:rFonts w:hint="eastAsia" w:ascii="楷体_GB2312" w:hAnsi="Times New Roman" w:eastAsia="楷体_GB2312"/>
          <w:b/>
          <w:sz w:val="32"/>
          <w:szCs w:val="24"/>
        </w:rPr>
        <w:t xml:space="preserve">（一）国有资产占用情况说明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截至2018年12月31日，吉木萨尔县庆阳湖乡人民政府共有车辆3辆，价值33.62万元；其中：部级领导干部用车0辆、主要领导干部用车0辆、机要通信用车0辆、应急保障用车0辆、执法执勤用车0辆、特种专业技术用车0辆、离退休干部用车</w:t>
      </w:r>
      <w:r>
        <w:rPr>
          <w:rFonts w:hint="eastAsia" w:ascii="仿宋_GB2312" w:hAnsi="Times New Roman" w:eastAsia="仿宋_GB2312"/>
          <w:sz w:val="32"/>
          <w:szCs w:val="24"/>
          <w:lang w:val="en-US" w:eastAsia="zh-CN"/>
        </w:rPr>
        <w:t>0</w:t>
      </w:r>
      <w:r>
        <w:rPr>
          <w:rFonts w:hint="eastAsia" w:ascii="仿宋_GB2312" w:hAnsi="Times New Roman" w:eastAsia="仿宋_GB2312"/>
          <w:sz w:val="32"/>
          <w:szCs w:val="24"/>
        </w:rPr>
        <w:t>辆、其他用车3辆</w:t>
      </w:r>
      <w:r>
        <w:rPr>
          <w:rFonts w:hint="eastAsia" w:ascii="仿宋_GB2312" w:hAnsi="Times New Roman" w:eastAsia="仿宋_GB2312"/>
          <w:sz w:val="32"/>
          <w:szCs w:val="24"/>
          <w:lang w:eastAsia="zh-CN"/>
        </w:rPr>
        <w:t>，</w:t>
      </w:r>
      <w:r>
        <w:rPr>
          <w:rFonts w:hint="eastAsia" w:ascii="仿宋_GB2312" w:hAnsi="Times New Roman" w:eastAsia="仿宋_GB2312"/>
          <w:sz w:val="32"/>
          <w:szCs w:val="24"/>
        </w:rPr>
        <w:t>其他用车主要是：</w:t>
      </w:r>
      <w:r>
        <w:rPr>
          <w:rFonts w:hint="eastAsia" w:ascii="仿宋_GB2312" w:hAnsi="Times New Roman" w:eastAsia="仿宋_GB2312"/>
          <w:sz w:val="32"/>
          <w:szCs w:val="24"/>
          <w:lang w:val="en-US" w:eastAsia="zh-CN"/>
        </w:rPr>
        <w:t>一般公务用车</w:t>
      </w:r>
      <w:r>
        <w:rPr>
          <w:rFonts w:hint="eastAsia" w:ascii="仿宋_GB2312" w:hAnsi="Times New Roman" w:eastAsia="仿宋_GB2312"/>
          <w:sz w:val="32"/>
          <w:szCs w:val="24"/>
        </w:rPr>
        <w:t xml:space="preserve">；单位价值50万元以上通用设备0台（套）、单位价值100万元以上专用设备0台（套）。 </w:t>
      </w:r>
    </w:p>
    <w:p>
      <w:pPr>
        <w:keepNext w:val="0"/>
        <w:keepLines w:val="0"/>
        <w:pageBreakBefore w:val="0"/>
        <w:kinsoku/>
        <w:wordWrap/>
        <w:overflowPunct/>
        <w:topLinePunct w:val="0"/>
        <w:autoSpaceDE/>
        <w:autoSpaceDN/>
        <w:bidi w:val="0"/>
        <w:adjustRightInd/>
        <w:snapToGrid/>
        <w:spacing w:line="540" w:lineRule="exact"/>
        <w:ind w:firstLine="643" w:firstLineChars="200"/>
        <w:textAlignment w:val="auto"/>
        <w:outlineLvl w:val="9"/>
        <w:rPr>
          <w:rFonts w:hint="eastAsia" w:ascii="楷体_GB2312" w:hAnsi="Times New Roman" w:eastAsia="楷体_GB2312"/>
          <w:b/>
          <w:sz w:val="32"/>
          <w:szCs w:val="24"/>
        </w:rPr>
      </w:pPr>
      <w:r>
        <w:rPr>
          <w:rFonts w:hint="eastAsia" w:ascii="楷体_GB2312" w:hAnsi="Times New Roman" w:eastAsia="楷体_GB2312"/>
          <w:b/>
          <w:sz w:val="32"/>
          <w:szCs w:val="24"/>
        </w:rPr>
        <w:t xml:space="preserve">（二）预算绩效情况的说明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 xml:space="preserve">2018年度，本部门单位预算绩效自评情况：自述有关预算绩效管理和绩效自评开展情况。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 xml:space="preserve">庆阳湖乡二工梁村污水处理（农村环境保护）项目绩效自评综述：根据年初设定的绩效目标，庆阳湖乡二工梁村污水处理（农村环境保护）项目绩效自评得分为88分。项目全年预算数为44.77万元，执行数为44.77万元，完成预算的100%。主要产出和效果：一是促进农村经济建设、政治建设和文化建设又好又快发展；二是改善乡村亮化环境，改善群众的生活环境，不断满足群众生活需求，完善群众服务工作。发现的问题及原因：一是加大资金投入；二是完善项目资料。下一步改进措施：一是资金安排到位，严格按照项目要求支付资金；二是款项支出主要解决提高乡村生活环境，提高生活水平，不断满足群众生活需求。有关项目自评情况可以附项目支出绩效自评表。 </w:t>
      </w:r>
    </w:p>
    <w:tbl>
      <w:tblPr>
        <w:tblStyle w:val="7"/>
        <w:tblW w:w="9229"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989"/>
      </w:tblGrid>
      <w:tr>
        <w:tblPrEx>
          <w:tblLayout w:type="fixed"/>
          <w:tblCellMar>
            <w:top w:w="0" w:type="dxa"/>
            <w:left w:w="108" w:type="dxa"/>
            <w:bottom w:w="0" w:type="dxa"/>
            <w:right w:w="108" w:type="dxa"/>
          </w:tblCellMar>
        </w:tblPrEx>
        <w:trPr>
          <w:trHeight w:val="405" w:hRule="atLeast"/>
        </w:trPr>
        <w:tc>
          <w:tcPr>
            <w:tcW w:w="9229" w:type="dxa"/>
            <w:gridSpan w:val="7"/>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bCs/>
                <w:color w:val="000000" w:themeColor="text1"/>
                <w:kern w:val="0"/>
                <w:sz w:val="32"/>
                <w:szCs w:val="32"/>
              </w:rPr>
            </w:pPr>
            <w:r>
              <w:rPr>
                <w:rFonts w:hint="eastAsia" w:ascii="宋体" w:hAnsi="宋体" w:cs="宋体"/>
                <w:bCs/>
                <w:color w:val="000000" w:themeColor="text1"/>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229" w:type="dxa"/>
            <w:gridSpan w:val="7"/>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color w:val="000000" w:themeColor="text1"/>
                <w:kern w:val="0"/>
                <w:sz w:val="24"/>
              </w:rPr>
            </w:pPr>
            <w:r>
              <w:rPr>
                <w:rFonts w:hint="eastAsia" w:ascii="宋体" w:hAnsi="宋体" w:cs="宋体"/>
                <w:color w:val="000000" w:themeColor="text1"/>
                <w:kern w:val="0"/>
                <w:sz w:val="24"/>
              </w:rPr>
              <w:t>（2018年度）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color w:val="000000" w:themeColor="text1"/>
                <w:kern w:val="0"/>
                <w:sz w:val="24"/>
              </w:rPr>
            </w:pPr>
          </w:p>
        </w:tc>
        <w:tc>
          <w:tcPr>
            <w:tcW w:w="114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color w:val="000000" w:themeColor="text1"/>
                <w:kern w:val="0"/>
                <w:sz w:val="24"/>
              </w:rPr>
            </w:pPr>
          </w:p>
        </w:tc>
        <w:tc>
          <w:tcPr>
            <w:tcW w:w="136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color w:val="000000" w:themeColor="text1"/>
                <w:kern w:val="0"/>
                <w:sz w:val="24"/>
              </w:rPr>
            </w:pPr>
          </w:p>
        </w:tc>
        <w:tc>
          <w:tcPr>
            <w:tcW w:w="108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color w:val="000000" w:themeColor="text1"/>
                <w:kern w:val="0"/>
                <w:sz w:val="24"/>
              </w:rPr>
            </w:pPr>
          </w:p>
        </w:tc>
        <w:tc>
          <w:tcPr>
            <w:tcW w:w="88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color w:val="000000" w:themeColor="text1"/>
                <w:kern w:val="0"/>
                <w:sz w:val="24"/>
              </w:rPr>
            </w:pPr>
          </w:p>
        </w:tc>
        <w:tc>
          <w:tcPr>
            <w:tcW w:w="206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color w:val="000000" w:themeColor="text1"/>
                <w:kern w:val="0"/>
                <w:sz w:val="24"/>
              </w:rPr>
            </w:pPr>
          </w:p>
        </w:tc>
        <w:tc>
          <w:tcPr>
            <w:tcW w:w="1989"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color w:val="000000" w:themeColor="text1"/>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项目名称</w:t>
            </w:r>
          </w:p>
        </w:tc>
        <w:tc>
          <w:tcPr>
            <w:tcW w:w="6009" w:type="dxa"/>
            <w:gridSpan w:val="4"/>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庆阳湖乡二工梁村污水处理项目（农村环境保护）</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预算单位</w:t>
            </w:r>
          </w:p>
        </w:tc>
        <w:tc>
          <w:tcPr>
            <w:tcW w:w="6009" w:type="dxa"/>
            <w:gridSpan w:val="4"/>
            <w:tcBorders>
              <w:top w:val="single" w:color="auto" w:sz="4" w:space="0"/>
              <w:left w:val="nil"/>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　新疆吉木萨尔县庆阳湖乡人民政府（本级）</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right"/>
              <w:textAlignment w:val="auto"/>
              <w:outlineLvl w:val="9"/>
              <w:rPr>
                <w:rFonts w:ascii="宋体" w:hAnsi="宋体" w:cs="宋体"/>
                <w:kern w:val="0"/>
                <w:sz w:val="20"/>
                <w:szCs w:val="20"/>
              </w:rPr>
            </w:pPr>
            <w:r>
              <w:rPr>
                <w:rFonts w:hint="eastAsia" w:ascii="宋体" w:hAnsi="宋体" w:cs="宋体"/>
                <w:kern w:val="0"/>
                <w:sz w:val="20"/>
                <w:szCs w:val="20"/>
              </w:rPr>
              <w:t>44.77万　</w:t>
            </w:r>
          </w:p>
        </w:tc>
        <w:tc>
          <w:tcPr>
            <w:tcW w:w="20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 xml:space="preserve"> 执行数：</w:t>
            </w:r>
          </w:p>
        </w:tc>
        <w:tc>
          <w:tcPr>
            <w:tcW w:w="198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right"/>
              <w:textAlignment w:val="auto"/>
              <w:outlineLvl w:val="9"/>
              <w:rPr>
                <w:rFonts w:ascii="宋体" w:hAnsi="宋体" w:cs="宋体"/>
                <w:kern w:val="0"/>
                <w:sz w:val="20"/>
                <w:szCs w:val="20"/>
              </w:rPr>
            </w:pPr>
            <w:r>
              <w:rPr>
                <w:rFonts w:hint="eastAsia" w:ascii="宋体" w:hAnsi="宋体" w:cs="宋体"/>
                <w:kern w:val="0"/>
                <w:sz w:val="20"/>
                <w:szCs w:val="20"/>
              </w:rPr>
              <w:t>44.77万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right"/>
              <w:textAlignment w:val="auto"/>
              <w:outlineLvl w:val="9"/>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right"/>
              <w:textAlignment w:val="auto"/>
              <w:outlineLvl w:val="9"/>
              <w:rPr>
                <w:rFonts w:ascii="宋体" w:hAnsi="宋体" w:cs="宋体"/>
                <w:kern w:val="0"/>
                <w:sz w:val="20"/>
                <w:szCs w:val="20"/>
              </w:rPr>
            </w:pPr>
            <w:r>
              <w:rPr>
                <w:rFonts w:hint="eastAsia" w:ascii="宋体" w:hAnsi="宋体" w:cs="宋体"/>
                <w:kern w:val="0"/>
                <w:sz w:val="20"/>
                <w:szCs w:val="20"/>
              </w:rPr>
              <w:t>44.77万　</w:t>
            </w:r>
          </w:p>
        </w:tc>
        <w:tc>
          <w:tcPr>
            <w:tcW w:w="2060" w:type="dxa"/>
            <w:tcBorders>
              <w:top w:val="nil"/>
              <w:left w:val="nil"/>
              <w:bottom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right"/>
              <w:textAlignment w:val="auto"/>
              <w:outlineLvl w:val="9"/>
              <w:rPr>
                <w:rFonts w:ascii="宋体" w:hAnsi="宋体" w:cs="宋体"/>
                <w:kern w:val="0"/>
                <w:sz w:val="20"/>
                <w:szCs w:val="20"/>
              </w:rPr>
            </w:pPr>
            <w:r>
              <w:rPr>
                <w:rFonts w:hint="eastAsia" w:ascii="宋体" w:hAnsi="宋体" w:cs="宋体"/>
                <w:kern w:val="0"/>
                <w:sz w:val="20"/>
                <w:szCs w:val="20"/>
              </w:rPr>
              <w:t>其中：财政拨款</w:t>
            </w:r>
          </w:p>
        </w:tc>
        <w:tc>
          <w:tcPr>
            <w:tcW w:w="198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right"/>
              <w:textAlignment w:val="auto"/>
              <w:outlineLvl w:val="9"/>
              <w:rPr>
                <w:rFonts w:ascii="宋体" w:hAnsi="宋体" w:cs="宋体"/>
                <w:kern w:val="0"/>
                <w:sz w:val="20"/>
                <w:szCs w:val="20"/>
              </w:rPr>
            </w:pPr>
            <w:r>
              <w:rPr>
                <w:rFonts w:hint="eastAsia" w:ascii="宋体" w:hAnsi="宋体" w:cs="宋体"/>
                <w:kern w:val="0"/>
                <w:sz w:val="20"/>
                <w:szCs w:val="20"/>
              </w:rPr>
              <w:t>44.77万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right"/>
              <w:textAlignment w:val="auto"/>
              <w:outlineLvl w:val="9"/>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　0</w:t>
            </w:r>
          </w:p>
        </w:tc>
        <w:tc>
          <w:tcPr>
            <w:tcW w:w="2060" w:type="dxa"/>
            <w:tcBorders>
              <w:top w:val="single" w:color="auto" w:sz="4" w:space="0"/>
              <w:left w:val="nil"/>
              <w:bottom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right"/>
              <w:textAlignment w:val="auto"/>
              <w:outlineLvl w:val="9"/>
              <w:rPr>
                <w:rFonts w:ascii="宋体" w:hAnsi="宋体" w:cs="宋体"/>
                <w:kern w:val="0"/>
                <w:sz w:val="20"/>
                <w:szCs w:val="20"/>
              </w:rPr>
            </w:pPr>
            <w:r>
              <w:rPr>
                <w:rFonts w:hint="eastAsia" w:ascii="宋体" w:hAnsi="宋体" w:cs="宋体"/>
                <w:kern w:val="0"/>
                <w:sz w:val="20"/>
                <w:szCs w:val="20"/>
              </w:rPr>
              <w:t>其他资金</w:t>
            </w:r>
          </w:p>
        </w:tc>
        <w:tc>
          <w:tcPr>
            <w:tcW w:w="198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right"/>
              <w:textAlignment w:val="auto"/>
              <w:outlineLvl w:val="9"/>
              <w:rPr>
                <w:rFonts w:ascii="宋体" w:hAnsi="宋体" w:cs="宋体"/>
                <w:kern w:val="0"/>
                <w:sz w:val="20"/>
                <w:szCs w:val="20"/>
              </w:rPr>
            </w:pPr>
            <w:r>
              <w:rPr>
                <w:rFonts w:hint="eastAsia" w:ascii="宋体" w:hAnsi="宋体" w:cs="宋体"/>
                <w:kern w:val="0"/>
                <w:sz w:val="20"/>
                <w:szCs w:val="20"/>
              </w:rPr>
              <w:t>0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预期目标</w:t>
            </w:r>
          </w:p>
        </w:tc>
        <w:tc>
          <w:tcPr>
            <w:tcW w:w="4049"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该项目新建铺设1.7公里30厘米的PVC污水管。做好该项目实施完工，改善乡村生活环境，提高乡村基础设施，不断满足群众生活需求，完善群众服务工作，促进农村经济建设、政治建设和文化建设又好又快发展。</w:t>
            </w:r>
          </w:p>
        </w:tc>
        <w:tc>
          <w:tcPr>
            <w:tcW w:w="4049" w:type="dxa"/>
            <w:gridSpan w:val="2"/>
            <w:tcBorders>
              <w:top w:val="single" w:color="auto" w:sz="4" w:space="0"/>
              <w:left w:val="nil"/>
              <w:bottom w:val="single" w:color="auto"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540" w:lineRule="exact"/>
              <w:ind w:firstLine="200" w:firstLineChars="100"/>
              <w:jc w:val="left"/>
              <w:textAlignment w:val="auto"/>
              <w:outlineLvl w:val="9"/>
              <w:rPr>
                <w:rFonts w:ascii="宋体" w:hAnsi="宋体" w:cs="宋体"/>
                <w:kern w:val="0"/>
                <w:sz w:val="20"/>
                <w:szCs w:val="20"/>
              </w:rPr>
            </w:pPr>
            <w:r>
              <w:rPr>
                <w:rFonts w:hint="eastAsia" w:ascii="宋体" w:hAnsi="宋体" w:cs="宋体"/>
                <w:kern w:val="0"/>
                <w:sz w:val="20"/>
                <w:szCs w:val="20"/>
              </w:rPr>
              <w:t>此项资金的拨付对做好该项目实施完工，新建铺设1.7公里30厘米的PVC污水管。做好该项目实施完工，改善乡村生活环境，提高乡村基础设施，不断满足群众生活需求，完善群众服务工作，促进农村经济建设、政治建设和文化建设又好又快发展。</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预期指标值（包含数字及文字描述）</w:t>
            </w:r>
          </w:p>
        </w:tc>
        <w:tc>
          <w:tcPr>
            <w:tcW w:w="198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项目完成指标</w:t>
            </w:r>
          </w:p>
        </w:tc>
        <w:tc>
          <w:tcPr>
            <w:tcW w:w="13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庆阳湖乡二工梁村污水处理项目</w:t>
            </w:r>
          </w:p>
        </w:tc>
        <w:tc>
          <w:tcPr>
            <w:tcW w:w="20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铺设1.7公里30厘米的PVC污水管</w:t>
            </w:r>
          </w:p>
        </w:tc>
        <w:tc>
          <w:tcPr>
            <w:tcW w:w="198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ind w:left="200" w:hanging="200" w:hangingChars="100"/>
              <w:jc w:val="left"/>
              <w:textAlignment w:val="auto"/>
              <w:outlineLvl w:val="9"/>
              <w:rPr>
                <w:rFonts w:ascii="宋体" w:hAnsi="宋体" w:cs="宋体"/>
                <w:kern w:val="0"/>
                <w:sz w:val="20"/>
                <w:szCs w:val="20"/>
              </w:rPr>
            </w:pPr>
            <w:r>
              <w:rPr>
                <w:rFonts w:hint="eastAsia" w:ascii="宋体" w:hAnsi="宋体" w:cs="宋体"/>
                <w:kern w:val="0"/>
                <w:sz w:val="20"/>
                <w:szCs w:val="20"/>
              </w:rPr>
              <w:t>铺设1.7公里30厘米的PVC污水管</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3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庆阳湖乡二工梁村污水处理项目</w:t>
            </w:r>
          </w:p>
        </w:tc>
        <w:tc>
          <w:tcPr>
            <w:tcW w:w="20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工程验收合格100%</w:t>
            </w:r>
          </w:p>
        </w:tc>
        <w:tc>
          <w:tcPr>
            <w:tcW w:w="1989"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工程验收合格100%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3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庆阳湖乡二工梁村污水处理项目</w:t>
            </w:r>
          </w:p>
        </w:tc>
        <w:tc>
          <w:tcPr>
            <w:tcW w:w="20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工程量完成率100%</w:t>
            </w:r>
          </w:p>
        </w:tc>
        <w:tc>
          <w:tcPr>
            <w:tcW w:w="19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工程量完成率100%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3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庆阳湖乡二工梁村污水处理项目</w:t>
            </w:r>
          </w:p>
        </w:tc>
        <w:tc>
          <w:tcPr>
            <w:tcW w:w="20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工程成本44.77万</w:t>
            </w:r>
          </w:p>
        </w:tc>
        <w:tc>
          <w:tcPr>
            <w:tcW w:w="19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工程成本44.77万</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360" w:type="dxa"/>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经济效益指标</w:t>
            </w:r>
          </w:p>
        </w:tc>
        <w:tc>
          <w:tcPr>
            <w:tcW w:w="196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庆阳湖乡二工梁村污水处理项目</w:t>
            </w:r>
          </w:p>
        </w:tc>
        <w:tc>
          <w:tcPr>
            <w:tcW w:w="206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设备完好市场价值总额占设备总数量市场价值总额100%</w:t>
            </w:r>
          </w:p>
        </w:tc>
        <w:tc>
          <w:tcPr>
            <w:tcW w:w="1989"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设备完好市场价值总额占设备总数量市场价值总额100%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360" w:type="dxa"/>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庆阳湖乡二工梁村污水处理项目</w:t>
            </w:r>
          </w:p>
        </w:tc>
        <w:tc>
          <w:tcPr>
            <w:tcW w:w="206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改善乡村生活环境，满足群众生活需求。</w:t>
            </w:r>
          </w:p>
        </w:tc>
        <w:tc>
          <w:tcPr>
            <w:tcW w:w="1989"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改善乡村生活环境，满足群众生活需求。</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140" w:type="dxa"/>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庆阳湖乡二工梁村污水处理项目</w:t>
            </w:r>
          </w:p>
        </w:tc>
        <w:tc>
          <w:tcPr>
            <w:tcW w:w="20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收益群众满意度100%　　</w:t>
            </w:r>
          </w:p>
        </w:tc>
        <w:tc>
          <w:tcPr>
            <w:tcW w:w="198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收益群众满意度100%　</w:t>
            </w:r>
          </w:p>
        </w:tc>
      </w:tr>
    </w:tbl>
    <w:p>
      <w:pPr>
        <w:keepNext w:val="0"/>
        <w:keepLines w:val="0"/>
        <w:pageBreakBefore w:val="0"/>
        <w:kinsoku/>
        <w:wordWrap/>
        <w:overflowPunct/>
        <w:topLinePunct w:val="0"/>
        <w:autoSpaceDE/>
        <w:autoSpaceDN/>
        <w:bidi w:val="0"/>
        <w:adjustRightInd/>
        <w:snapToGrid/>
        <w:spacing w:line="540" w:lineRule="exact"/>
        <w:textAlignment w:val="auto"/>
        <w:outlineLvl w:val="9"/>
        <w:rPr>
          <w:rFonts w:ascii="宋体" w:hAnsi="宋体"/>
          <w:sz w:val="28"/>
          <w:szCs w:val="28"/>
        </w:rPr>
      </w:pP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庆阳湖乡大东沟村农牧民就业基地项目（其他商贸事务支出）项目绩效自评综述：根据年初设定的绩效目标，庆阳湖乡大东沟村农牧民就业基地项目（其他商贸事务支出）项目绩效自评得分为86分。项目全年预算数为20万元，执行数为20万元，完成预算的100%。主要产出和效果：一是促进农村经济建设、政治建设和文化建设又好又快发展，提高农牧民就业能力；二是提升农牧民现代化农业技术培训和技能培训。发现的问题及原因：一是加大资金投入；二是乡村文化建设要不断提高。下一步改进措施：一是加强乡村基础建设，提高乡村基础设施，不断满足群众生活需求，完善群众服务工作；二是提高农牧民就业能力，提升农牧民现代化农业技术培训和技能培训。款。有关项目自评情况可以附项目支出绩效自评表。</w:t>
      </w:r>
    </w:p>
    <w:tbl>
      <w:tblPr>
        <w:tblStyle w:val="7"/>
        <w:tblW w:w="9229"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989"/>
      </w:tblGrid>
      <w:tr>
        <w:tblPrEx>
          <w:tblLayout w:type="fixed"/>
          <w:tblCellMar>
            <w:top w:w="0" w:type="dxa"/>
            <w:left w:w="108" w:type="dxa"/>
            <w:bottom w:w="0" w:type="dxa"/>
            <w:right w:w="108" w:type="dxa"/>
          </w:tblCellMar>
        </w:tblPrEx>
        <w:trPr>
          <w:trHeight w:val="610" w:hRule="atLeast"/>
        </w:trPr>
        <w:tc>
          <w:tcPr>
            <w:tcW w:w="9229" w:type="dxa"/>
            <w:gridSpan w:val="7"/>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bCs/>
                <w:kern w:val="0"/>
                <w:sz w:val="32"/>
                <w:szCs w:val="32"/>
              </w:rPr>
            </w:pPr>
            <w:r>
              <w:rPr>
                <w:rFonts w:hint="eastAsia" w:ascii="宋体" w:hAnsi="宋体" w:cs="宋体"/>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229" w:type="dxa"/>
            <w:gridSpan w:val="7"/>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4"/>
              </w:rPr>
            </w:pPr>
            <w:r>
              <w:rPr>
                <w:rFonts w:hint="eastAsia" w:ascii="宋体" w:hAnsi="宋体" w:cs="宋体"/>
                <w:kern w:val="0"/>
                <w:sz w:val="24"/>
              </w:rPr>
              <w:t>（2018年度）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4"/>
              </w:rPr>
            </w:pPr>
          </w:p>
        </w:tc>
        <w:tc>
          <w:tcPr>
            <w:tcW w:w="114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4"/>
              </w:rPr>
            </w:pPr>
          </w:p>
        </w:tc>
        <w:tc>
          <w:tcPr>
            <w:tcW w:w="136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4"/>
              </w:rPr>
            </w:pPr>
          </w:p>
        </w:tc>
        <w:tc>
          <w:tcPr>
            <w:tcW w:w="108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4"/>
              </w:rPr>
            </w:pPr>
          </w:p>
        </w:tc>
        <w:tc>
          <w:tcPr>
            <w:tcW w:w="88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4"/>
              </w:rPr>
            </w:pPr>
          </w:p>
        </w:tc>
        <w:tc>
          <w:tcPr>
            <w:tcW w:w="206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4"/>
              </w:rPr>
            </w:pPr>
          </w:p>
        </w:tc>
        <w:tc>
          <w:tcPr>
            <w:tcW w:w="1989"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项目名称</w:t>
            </w:r>
          </w:p>
        </w:tc>
        <w:tc>
          <w:tcPr>
            <w:tcW w:w="6009" w:type="dxa"/>
            <w:gridSpan w:val="4"/>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庆阳湖乡大东沟村农牧民就业基地项目（其他商贸事务支出）</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预算单位</w:t>
            </w:r>
          </w:p>
        </w:tc>
        <w:tc>
          <w:tcPr>
            <w:tcW w:w="6009" w:type="dxa"/>
            <w:gridSpan w:val="4"/>
            <w:tcBorders>
              <w:top w:val="single" w:color="auto" w:sz="4" w:space="0"/>
              <w:left w:val="nil"/>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　新疆吉木萨尔县庆阳湖乡人民政府（本级）</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right"/>
              <w:textAlignment w:val="auto"/>
              <w:outlineLvl w:val="9"/>
              <w:rPr>
                <w:rFonts w:ascii="宋体" w:hAnsi="宋体" w:cs="宋体"/>
                <w:kern w:val="0"/>
                <w:sz w:val="20"/>
                <w:szCs w:val="20"/>
              </w:rPr>
            </w:pPr>
            <w:r>
              <w:rPr>
                <w:rFonts w:hint="eastAsia" w:ascii="宋体" w:hAnsi="宋体" w:cs="宋体"/>
                <w:kern w:val="0"/>
                <w:sz w:val="20"/>
                <w:szCs w:val="20"/>
              </w:rPr>
              <w:t>45万　</w:t>
            </w:r>
          </w:p>
        </w:tc>
        <w:tc>
          <w:tcPr>
            <w:tcW w:w="20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 xml:space="preserve"> 执行数：</w:t>
            </w:r>
          </w:p>
        </w:tc>
        <w:tc>
          <w:tcPr>
            <w:tcW w:w="198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right"/>
              <w:textAlignment w:val="auto"/>
              <w:outlineLvl w:val="9"/>
              <w:rPr>
                <w:rFonts w:ascii="宋体" w:hAnsi="宋体" w:cs="宋体"/>
                <w:kern w:val="0"/>
                <w:sz w:val="20"/>
                <w:szCs w:val="20"/>
              </w:rPr>
            </w:pPr>
            <w:r>
              <w:rPr>
                <w:rFonts w:hint="eastAsia" w:ascii="宋体" w:hAnsi="宋体" w:cs="宋体"/>
                <w:kern w:val="0"/>
                <w:sz w:val="20"/>
                <w:szCs w:val="20"/>
              </w:rPr>
              <w:t>20万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right"/>
              <w:textAlignment w:val="auto"/>
              <w:outlineLvl w:val="9"/>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right"/>
              <w:textAlignment w:val="auto"/>
              <w:outlineLvl w:val="9"/>
              <w:rPr>
                <w:rFonts w:ascii="宋体" w:hAnsi="宋体" w:cs="宋体"/>
                <w:kern w:val="0"/>
                <w:sz w:val="20"/>
                <w:szCs w:val="20"/>
              </w:rPr>
            </w:pPr>
            <w:r>
              <w:rPr>
                <w:rFonts w:hint="eastAsia" w:ascii="宋体" w:hAnsi="宋体" w:cs="宋体"/>
                <w:kern w:val="0"/>
                <w:sz w:val="20"/>
                <w:szCs w:val="20"/>
              </w:rPr>
              <w:t>45万　</w:t>
            </w:r>
          </w:p>
        </w:tc>
        <w:tc>
          <w:tcPr>
            <w:tcW w:w="2060" w:type="dxa"/>
            <w:tcBorders>
              <w:top w:val="nil"/>
              <w:left w:val="nil"/>
              <w:bottom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right"/>
              <w:textAlignment w:val="auto"/>
              <w:outlineLvl w:val="9"/>
              <w:rPr>
                <w:rFonts w:ascii="宋体" w:hAnsi="宋体" w:cs="宋体"/>
                <w:kern w:val="0"/>
                <w:sz w:val="20"/>
                <w:szCs w:val="20"/>
              </w:rPr>
            </w:pPr>
            <w:r>
              <w:rPr>
                <w:rFonts w:hint="eastAsia" w:ascii="宋体" w:hAnsi="宋体" w:cs="宋体"/>
                <w:kern w:val="0"/>
                <w:sz w:val="20"/>
                <w:szCs w:val="20"/>
              </w:rPr>
              <w:t>其中：财政拨款</w:t>
            </w:r>
          </w:p>
        </w:tc>
        <w:tc>
          <w:tcPr>
            <w:tcW w:w="198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right"/>
              <w:textAlignment w:val="auto"/>
              <w:outlineLvl w:val="9"/>
              <w:rPr>
                <w:rFonts w:ascii="宋体" w:hAnsi="宋体" w:cs="宋体"/>
                <w:kern w:val="0"/>
                <w:sz w:val="20"/>
                <w:szCs w:val="20"/>
              </w:rPr>
            </w:pPr>
            <w:r>
              <w:rPr>
                <w:rFonts w:hint="eastAsia" w:ascii="宋体" w:hAnsi="宋体" w:cs="宋体"/>
                <w:kern w:val="0"/>
                <w:sz w:val="20"/>
                <w:szCs w:val="20"/>
              </w:rPr>
              <w:t>20万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right"/>
              <w:textAlignment w:val="auto"/>
              <w:outlineLvl w:val="9"/>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　0</w:t>
            </w:r>
          </w:p>
        </w:tc>
        <w:tc>
          <w:tcPr>
            <w:tcW w:w="2060" w:type="dxa"/>
            <w:tcBorders>
              <w:top w:val="single" w:color="auto" w:sz="4" w:space="0"/>
              <w:left w:val="nil"/>
              <w:bottom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right"/>
              <w:textAlignment w:val="auto"/>
              <w:outlineLvl w:val="9"/>
              <w:rPr>
                <w:rFonts w:ascii="宋体" w:hAnsi="宋体" w:cs="宋体"/>
                <w:kern w:val="0"/>
                <w:sz w:val="20"/>
                <w:szCs w:val="20"/>
              </w:rPr>
            </w:pPr>
            <w:r>
              <w:rPr>
                <w:rFonts w:hint="eastAsia" w:ascii="宋体" w:hAnsi="宋体" w:cs="宋体"/>
                <w:kern w:val="0"/>
                <w:sz w:val="20"/>
                <w:szCs w:val="20"/>
              </w:rPr>
              <w:t>其他资金</w:t>
            </w:r>
          </w:p>
        </w:tc>
        <w:tc>
          <w:tcPr>
            <w:tcW w:w="198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right"/>
              <w:textAlignment w:val="auto"/>
              <w:outlineLvl w:val="9"/>
              <w:rPr>
                <w:rFonts w:ascii="宋体" w:hAnsi="宋体" w:cs="宋体"/>
                <w:kern w:val="0"/>
                <w:sz w:val="20"/>
                <w:szCs w:val="20"/>
              </w:rPr>
            </w:pPr>
            <w:r>
              <w:rPr>
                <w:rFonts w:hint="eastAsia" w:ascii="宋体" w:hAnsi="宋体" w:cs="宋体"/>
                <w:kern w:val="0"/>
                <w:sz w:val="20"/>
                <w:szCs w:val="20"/>
              </w:rPr>
              <w:t>0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预期目标</w:t>
            </w:r>
          </w:p>
        </w:tc>
        <w:tc>
          <w:tcPr>
            <w:tcW w:w="4049"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540" w:lineRule="exact"/>
              <w:ind w:firstLine="400" w:firstLineChars="200"/>
              <w:jc w:val="left"/>
              <w:textAlignment w:val="auto"/>
              <w:outlineLvl w:val="9"/>
              <w:rPr>
                <w:rFonts w:ascii="宋体" w:hAnsi="宋体" w:cs="宋体"/>
                <w:kern w:val="0"/>
                <w:sz w:val="20"/>
                <w:szCs w:val="20"/>
              </w:rPr>
            </w:pPr>
            <w:r>
              <w:rPr>
                <w:rFonts w:hint="eastAsia" w:ascii="宋体" w:hAnsi="宋体" w:cs="宋体"/>
                <w:kern w:val="0"/>
                <w:sz w:val="20"/>
                <w:szCs w:val="20"/>
              </w:rPr>
              <w:t>该项目280平米农牧民就业基地建设。做好该项目实施完工，提高乡村基础设施，不断满足群众生活需求，完善群众服务工作，促进农村经济建设、政治建设和文化建设又好又快发展，提高农牧民就业能力，提升农牧民现代化农业技术培训和技能培训。</w:t>
            </w:r>
          </w:p>
        </w:tc>
        <w:tc>
          <w:tcPr>
            <w:tcW w:w="4049" w:type="dxa"/>
            <w:gridSpan w:val="2"/>
            <w:tcBorders>
              <w:top w:val="single" w:color="auto" w:sz="4" w:space="0"/>
              <w:left w:val="nil"/>
              <w:bottom w:val="single" w:color="auto"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540" w:lineRule="exact"/>
              <w:ind w:firstLine="400" w:firstLineChars="200"/>
              <w:jc w:val="left"/>
              <w:textAlignment w:val="auto"/>
              <w:outlineLvl w:val="9"/>
              <w:rPr>
                <w:rFonts w:ascii="宋体" w:hAnsi="宋体" w:cs="宋体"/>
                <w:kern w:val="0"/>
                <w:sz w:val="20"/>
                <w:szCs w:val="20"/>
              </w:rPr>
            </w:pPr>
            <w:r>
              <w:rPr>
                <w:rFonts w:hint="eastAsia" w:ascii="宋体" w:hAnsi="宋体" w:cs="宋体"/>
                <w:kern w:val="0"/>
                <w:sz w:val="20"/>
                <w:szCs w:val="20"/>
              </w:rPr>
              <w:t>此项资金的拨付对做好该项目实施完工，该项目280平米农牧民就业基地建设。提高乡村基础设施，不断满足群众生活需求，完善群众服务工作，促进农村经济建设、政治建设和文化建设又好又快发展，提高农牧民就业能力，提升农牧民现代化农业技术培训和技能培训。</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预期指标值（包含数字及文字描述）</w:t>
            </w:r>
          </w:p>
        </w:tc>
        <w:tc>
          <w:tcPr>
            <w:tcW w:w="198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项目完成指标</w:t>
            </w:r>
          </w:p>
        </w:tc>
        <w:tc>
          <w:tcPr>
            <w:tcW w:w="13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庆阳湖乡大东沟村农牧民就业基地项目</w:t>
            </w:r>
          </w:p>
        </w:tc>
        <w:tc>
          <w:tcPr>
            <w:tcW w:w="20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280平米就业基地建设</w:t>
            </w:r>
          </w:p>
        </w:tc>
        <w:tc>
          <w:tcPr>
            <w:tcW w:w="198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ind w:left="200" w:hanging="200" w:hangingChars="100"/>
              <w:jc w:val="left"/>
              <w:textAlignment w:val="auto"/>
              <w:outlineLvl w:val="9"/>
              <w:rPr>
                <w:rFonts w:ascii="宋体" w:hAnsi="宋体" w:cs="宋体"/>
                <w:kern w:val="0"/>
                <w:sz w:val="20"/>
                <w:szCs w:val="20"/>
              </w:rPr>
            </w:pPr>
            <w:r>
              <w:rPr>
                <w:rFonts w:hint="eastAsia" w:ascii="宋体" w:hAnsi="宋体" w:cs="宋体"/>
                <w:kern w:val="0"/>
                <w:sz w:val="20"/>
                <w:szCs w:val="20"/>
              </w:rPr>
              <w:t>280平米就业基地建设</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3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庆阳湖乡大东沟村农牧民就业基地项目</w:t>
            </w:r>
          </w:p>
        </w:tc>
        <w:tc>
          <w:tcPr>
            <w:tcW w:w="20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工程验收合格100%</w:t>
            </w:r>
          </w:p>
        </w:tc>
        <w:tc>
          <w:tcPr>
            <w:tcW w:w="198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工程验收合格100%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3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庆阳湖乡大东沟村农牧民就业基地项目</w:t>
            </w:r>
          </w:p>
        </w:tc>
        <w:tc>
          <w:tcPr>
            <w:tcW w:w="20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工程量完成率100%</w:t>
            </w:r>
          </w:p>
        </w:tc>
        <w:tc>
          <w:tcPr>
            <w:tcW w:w="19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工程量完成率100%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3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庆阳湖乡大东沟村农牧民就业基地项目</w:t>
            </w:r>
          </w:p>
        </w:tc>
        <w:tc>
          <w:tcPr>
            <w:tcW w:w="20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工程成本45万</w:t>
            </w:r>
          </w:p>
        </w:tc>
        <w:tc>
          <w:tcPr>
            <w:tcW w:w="19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工程成本45万</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360" w:type="dxa"/>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经济效益指标</w:t>
            </w:r>
          </w:p>
        </w:tc>
        <w:tc>
          <w:tcPr>
            <w:tcW w:w="196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庆阳湖乡大东沟村农牧民就业基地项目</w:t>
            </w:r>
          </w:p>
        </w:tc>
        <w:tc>
          <w:tcPr>
            <w:tcW w:w="206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设备完好市场价值总额占设备总数量市场价值总额100%</w:t>
            </w:r>
          </w:p>
        </w:tc>
        <w:tc>
          <w:tcPr>
            <w:tcW w:w="1989"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设备完好市场价值总额占设备总数量市场价值总额100%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360" w:type="dxa"/>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庆阳湖乡大东沟村农牧民就业基地项目</w:t>
            </w:r>
          </w:p>
        </w:tc>
        <w:tc>
          <w:tcPr>
            <w:tcW w:w="206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改善乡村亮化环境，满足群众生活需求。</w:t>
            </w:r>
          </w:p>
        </w:tc>
        <w:tc>
          <w:tcPr>
            <w:tcW w:w="1989"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改善乡村亮化环境，满足群众生活需求。</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140" w:type="dxa"/>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庆阳湖乡大东沟村农牧民就业基地项目</w:t>
            </w:r>
          </w:p>
        </w:tc>
        <w:tc>
          <w:tcPr>
            <w:tcW w:w="20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收益群众满意度100%　　</w:t>
            </w:r>
          </w:p>
        </w:tc>
        <w:tc>
          <w:tcPr>
            <w:tcW w:w="198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收益群众满意度100%　</w:t>
            </w:r>
          </w:p>
        </w:tc>
      </w:tr>
    </w:tbl>
    <w:p>
      <w:pPr>
        <w:keepNext w:val="0"/>
        <w:keepLines w:val="0"/>
        <w:pageBreakBefore w:val="0"/>
        <w:kinsoku/>
        <w:wordWrap/>
        <w:overflowPunct/>
        <w:topLinePunct w:val="0"/>
        <w:autoSpaceDE/>
        <w:autoSpaceDN/>
        <w:bidi w:val="0"/>
        <w:adjustRightInd/>
        <w:snapToGrid/>
        <w:spacing w:line="540" w:lineRule="exact"/>
        <w:ind w:left="643"/>
        <w:textAlignment w:val="auto"/>
        <w:outlineLvl w:val="9"/>
        <w:rPr>
          <w:rFonts w:ascii="宋体" w:hAnsi="宋体" w:cs="宋体"/>
          <w:bCs/>
          <w:sz w:val="32"/>
          <w:szCs w:val="32"/>
        </w:rPr>
      </w:pP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庆阳湖乡西庆村亮化建设项目（其他社会保障和就业支出）项目绩效自评综述：根据年初设定的绩效目标，庆阳湖乡西庆村亮化建设项目（其他社会保障和就业支出）项目绩效自评得分为88分。项目全年预算数为44.73万元，执行数为44.73万元，完成预算的100%。主要产出和效果：一是促进农村经济建设、政治建设和文化建设又好又快发展；二是改善乡村亮化环境，提高乡村基础设施，改善群众的生活环境。发现的问题及原因：一是加大资金投入；二是不断改善群众生活生活环境，提高提高乡村基础设施。下一步改进措施：一是加强乡村基础建设，提高乡村基础设施，不断满足群众生活需求，完善群众服务工作；二是改善乡村亮化环境，提高乡村基础设施，改善群众的生活环境。有关项目自评情况可以附项目支出绩效自评表。</w:t>
      </w:r>
    </w:p>
    <w:p>
      <w:pPr>
        <w:keepNext w:val="0"/>
        <w:keepLines w:val="0"/>
        <w:pageBreakBefore w:val="0"/>
        <w:kinsoku/>
        <w:wordWrap/>
        <w:overflowPunct/>
        <w:topLinePunct w:val="0"/>
        <w:autoSpaceDE/>
        <w:autoSpaceDN/>
        <w:bidi w:val="0"/>
        <w:adjustRightInd/>
        <w:snapToGrid/>
        <w:spacing w:line="540" w:lineRule="exact"/>
        <w:ind w:firstLine="1680" w:firstLineChars="600"/>
        <w:textAlignment w:val="auto"/>
        <w:outlineLvl w:val="9"/>
        <w:rPr>
          <w:rFonts w:ascii="宋体" w:hAnsi="宋体"/>
          <w:color w:val="000000" w:themeColor="text1"/>
          <w:sz w:val="28"/>
          <w:szCs w:val="28"/>
        </w:rPr>
      </w:pPr>
      <w:r>
        <w:rPr>
          <w:rFonts w:hint="eastAsia" w:ascii="宋体" w:hAnsi="宋体"/>
          <w:color w:val="000000" w:themeColor="text1"/>
          <w:sz w:val="28"/>
          <w:szCs w:val="28"/>
        </w:rPr>
        <w:t>《财政项目支出绩效自评表》</w:t>
      </w:r>
    </w:p>
    <w:tbl>
      <w:tblPr>
        <w:tblStyle w:val="7"/>
        <w:tblW w:w="9229"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989"/>
      </w:tblGrid>
      <w:tr>
        <w:tblPrEx>
          <w:tblLayout w:type="fixed"/>
          <w:tblCellMar>
            <w:top w:w="0" w:type="dxa"/>
            <w:left w:w="108" w:type="dxa"/>
            <w:bottom w:w="0" w:type="dxa"/>
            <w:right w:w="108" w:type="dxa"/>
          </w:tblCellMar>
        </w:tblPrEx>
        <w:trPr>
          <w:trHeight w:val="405" w:hRule="atLeast"/>
        </w:trPr>
        <w:tc>
          <w:tcPr>
            <w:tcW w:w="9229" w:type="dxa"/>
            <w:gridSpan w:val="7"/>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bCs/>
                <w:color w:val="000000" w:themeColor="text1"/>
                <w:kern w:val="0"/>
                <w:sz w:val="32"/>
                <w:szCs w:val="32"/>
              </w:rPr>
            </w:pPr>
            <w:r>
              <w:rPr>
                <w:rFonts w:hint="eastAsia" w:ascii="宋体" w:hAnsi="宋体" w:cs="宋体"/>
                <w:bCs/>
                <w:color w:val="000000" w:themeColor="text1"/>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229" w:type="dxa"/>
            <w:gridSpan w:val="7"/>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4"/>
              </w:rPr>
            </w:pPr>
            <w:r>
              <w:rPr>
                <w:rFonts w:hint="eastAsia" w:ascii="宋体" w:hAnsi="宋体" w:cs="宋体"/>
                <w:kern w:val="0"/>
                <w:sz w:val="24"/>
              </w:rPr>
              <w:t>（2018年度）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4"/>
              </w:rPr>
            </w:pPr>
          </w:p>
        </w:tc>
        <w:tc>
          <w:tcPr>
            <w:tcW w:w="114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4"/>
              </w:rPr>
            </w:pPr>
          </w:p>
        </w:tc>
        <w:tc>
          <w:tcPr>
            <w:tcW w:w="136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4"/>
              </w:rPr>
            </w:pPr>
          </w:p>
        </w:tc>
        <w:tc>
          <w:tcPr>
            <w:tcW w:w="108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4"/>
              </w:rPr>
            </w:pPr>
          </w:p>
        </w:tc>
        <w:tc>
          <w:tcPr>
            <w:tcW w:w="88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4"/>
              </w:rPr>
            </w:pPr>
          </w:p>
        </w:tc>
        <w:tc>
          <w:tcPr>
            <w:tcW w:w="206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4"/>
              </w:rPr>
            </w:pPr>
          </w:p>
        </w:tc>
        <w:tc>
          <w:tcPr>
            <w:tcW w:w="1989"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项目名称</w:t>
            </w:r>
          </w:p>
        </w:tc>
        <w:tc>
          <w:tcPr>
            <w:tcW w:w="6009" w:type="dxa"/>
            <w:gridSpan w:val="4"/>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庆阳湖乡西庆村亮化建设项目（其他社会保障和就业支出）</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预算单位</w:t>
            </w:r>
          </w:p>
        </w:tc>
        <w:tc>
          <w:tcPr>
            <w:tcW w:w="6009" w:type="dxa"/>
            <w:gridSpan w:val="4"/>
            <w:tcBorders>
              <w:top w:val="single" w:color="auto" w:sz="4" w:space="0"/>
              <w:left w:val="nil"/>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　新疆吉木萨尔县庆阳湖乡人民政府（本级）</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right"/>
              <w:textAlignment w:val="auto"/>
              <w:outlineLvl w:val="9"/>
              <w:rPr>
                <w:rFonts w:ascii="宋体" w:hAnsi="宋体" w:cs="宋体"/>
                <w:kern w:val="0"/>
                <w:sz w:val="20"/>
                <w:szCs w:val="20"/>
              </w:rPr>
            </w:pPr>
            <w:r>
              <w:rPr>
                <w:rFonts w:hint="eastAsia" w:ascii="宋体" w:hAnsi="宋体" w:cs="宋体"/>
                <w:kern w:val="0"/>
                <w:sz w:val="20"/>
                <w:szCs w:val="20"/>
              </w:rPr>
              <w:t>44.73万　</w:t>
            </w:r>
          </w:p>
        </w:tc>
        <w:tc>
          <w:tcPr>
            <w:tcW w:w="20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 xml:space="preserve"> 执行数：</w:t>
            </w:r>
          </w:p>
        </w:tc>
        <w:tc>
          <w:tcPr>
            <w:tcW w:w="198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right"/>
              <w:textAlignment w:val="auto"/>
              <w:outlineLvl w:val="9"/>
              <w:rPr>
                <w:rFonts w:ascii="宋体" w:hAnsi="宋体" w:cs="宋体"/>
                <w:kern w:val="0"/>
                <w:sz w:val="20"/>
                <w:szCs w:val="20"/>
              </w:rPr>
            </w:pPr>
            <w:r>
              <w:rPr>
                <w:rFonts w:hint="eastAsia" w:ascii="宋体" w:hAnsi="宋体" w:cs="宋体"/>
                <w:kern w:val="0"/>
                <w:sz w:val="20"/>
                <w:szCs w:val="20"/>
              </w:rPr>
              <w:t>44.73万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right"/>
              <w:textAlignment w:val="auto"/>
              <w:outlineLvl w:val="9"/>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right"/>
              <w:textAlignment w:val="auto"/>
              <w:outlineLvl w:val="9"/>
              <w:rPr>
                <w:rFonts w:ascii="宋体" w:hAnsi="宋体" w:cs="宋体"/>
                <w:kern w:val="0"/>
                <w:sz w:val="20"/>
                <w:szCs w:val="20"/>
              </w:rPr>
            </w:pPr>
            <w:r>
              <w:rPr>
                <w:rFonts w:hint="eastAsia" w:ascii="宋体" w:hAnsi="宋体" w:cs="宋体"/>
                <w:kern w:val="0"/>
                <w:sz w:val="20"/>
                <w:szCs w:val="20"/>
              </w:rPr>
              <w:t>44.73万　</w:t>
            </w:r>
          </w:p>
        </w:tc>
        <w:tc>
          <w:tcPr>
            <w:tcW w:w="2060" w:type="dxa"/>
            <w:tcBorders>
              <w:top w:val="nil"/>
              <w:left w:val="nil"/>
              <w:bottom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right"/>
              <w:textAlignment w:val="auto"/>
              <w:outlineLvl w:val="9"/>
              <w:rPr>
                <w:rFonts w:ascii="宋体" w:hAnsi="宋体" w:cs="宋体"/>
                <w:kern w:val="0"/>
                <w:sz w:val="20"/>
                <w:szCs w:val="20"/>
              </w:rPr>
            </w:pPr>
            <w:r>
              <w:rPr>
                <w:rFonts w:hint="eastAsia" w:ascii="宋体" w:hAnsi="宋体" w:cs="宋体"/>
                <w:kern w:val="0"/>
                <w:sz w:val="20"/>
                <w:szCs w:val="20"/>
              </w:rPr>
              <w:t>其中：财政拨款</w:t>
            </w:r>
          </w:p>
        </w:tc>
        <w:tc>
          <w:tcPr>
            <w:tcW w:w="198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right"/>
              <w:textAlignment w:val="auto"/>
              <w:outlineLvl w:val="9"/>
              <w:rPr>
                <w:rFonts w:ascii="宋体" w:hAnsi="宋体" w:cs="宋体"/>
                <w:kern w:val="0"/>
                <w:sz w:val="20"/>
                <w:szCs w:val="20"/>
              </w:rPr>
            </w:pPr>
            <w:r>
              <w:rPr>
                <w:rFonts w:hint="eastAsia" w:ascii="宋体" w:hAnsi="宋体" w:cs="宋体"/>
                <w:kern w:val="0"/>
                <w:sz w:val="20"/>
                <w:szCs w:val="20"/>
              </w:rPr>
              <w:t>44.73万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right"/>
              <w:textAlignment w:val="auto"/>
              <w:outlineLvl w:val="9"/>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　0</w:t>
            </w:r>
          </w:p>
        </w:tc>
        <w:tc>
          <w:tcPr>
            <w:tcW w:w="2060" w:type="dxa"/>
            <w:tcBorders>
              <w:top w:val="single" w:color="auto" w:sz="4" w:space="0"/>
              <w:left w:val="nil"/>
              <w:bottom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right"/>
              <w:textAlignment w:val="auto"/>
              <w:outlineLvl w:val="9"/>
              <w:rPr>
                <w:rFonts w:ascii="宋体" w:hAnsi="宋体" w:cs="宋体"/>
                <w:kern w:val="0"/>
                <w:sz w:val="20"/>
                <w:szCs w:val="20"/>
              </w:rPr>
            </w:pPr>
            <w:r>
              <w:rPr>
                <w:rFonts w:hint="eastAsia" w:ascii="宋体" w:hAnsi="宋体" w:cs="宋体"/>
                <w:kern w:val="0"/>
                <w:sz w:val="20"/>
                <w:szCs w:val="20"/>
              </w:rPr>
              <w:t>其他资金</w:t>
            </w:r>
          </w:p>
        </w:tc>
        <w:tc>
          <w:tcPr>
            <w:tcW w:w="198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right"/>
              <w:textAlignment w:val="auto"/>
              <w:outlineLvl w:val="9"/>
              <w:rPr>
                <w:rFonts w:ascii="宋体" w:hAnsi="宋体" w:cs="宋体"/>
                <w:kern w:val="0"/>
                <w:sz w:val="20"/>
                <w:szCs w:val="20"/>
              </w:rPr>
            </w:pPr>
            <w:r>
              <w:rPr>
                <w:rFonts w:hint="eastAsia" w:ascii="宋体" w:hAnsi="宋体" w:cs="宋体"/>
                <w:kern w:val="0"/>
                <w:sz w:val="20"/>
                <w:szCs w:val="20"/>
              </w:rPr>
              <w:t>0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预期目标</w:t>
            </w:r>
          </w:p>
        </w:tc>
        <w:tc>
          <w:tcPr>
            <w:tcW w:w="4049"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做好该项目实施完工，建设安装太阳能路灯100盏，改善乡村亮化环境，提高乡村基础设施，改善群众的生活环境，不断满足群众生活需求，完善群众服务工作，促进农村经济建设、政治建设和文化建设又好又快发展。</w:t>
            </w:r>
          </w:p>
        </w:tc>
        <w:tc>
          <w:tcPr>
            <w:tcW w:w="4049" w:type="dxa"/>
            <w:gridSpan w:val="2"/>
            <w:tcBorders>
              <w:top w:val="single" w:color="auto" w:sz="4" w:space="0"/>
              <w:left w:val="nil"/>
              <w:bottom w:val="single" w:color="auto"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540" w:lineRule="exact"/>
              <w:ind w:firstLine="200" w:firstLineChars="100"/>
              <w:jc w:val="left"/>
              <w:textAlignment w:val="auto"/>
              <w:outlineLvl w:val="9"/>
              <w:rPr>
                <w:rFonts w:ascii="宋体" w:hAnsi="宋体" w:cs="宋体"/>
                <w:kern w:val="0"/>
                <w:sz w:val="20"/>
                <w:szCs w:val="20"/>
              </w:rPr>
            </w:pPr>
            <w:r>
              <w:rPr>
                <w:rFonts w:hint="eastAsia" w:ascii="宋体" w:hAnsi="宋体" w:cs="宋体"/>
                <w:kern w:val="0"/>
                <w:sz w:val="20"/>
                <w:szCs w:val="20"/>
              </w:rPr>
              <w:t>此项资金的拨付对做好该项目实施完工，建设安装太阳能路灯100盏，改善乡村亮化环境，提高乡村基础设施，改善群众的生活环境，不断满足群众生活需求，完善群众服务工作，促进农村经济建设、政治建设和文化建设又好又快发展。</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预期指标值（包含数字及文字描述）</w:t>
            </w:r>
          </w:p>
        </w:tc>
        <w:tc>
          <w:tcPr>
            <w:tcW w:w="198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项目完成指标</w:t>
            </w:r>
          </w:p>
        </w:tc>
        <w:tc>
          <w:tcPr>
            <w:tcW w:w="13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庆阳湖乡西庆村亮化建设项目</w:t>
            </w:r>
          </w:p>
        </w:tc>
        <w:tc>
          <w:tcPr>
            <w:tcW w:w="20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太阳能路灯100盏</w:t>
            </w:r>
          </w:p>
        </w:tc>
        <w:tc>
          <w:tcPr>
            <w:tcW w:w="198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ind w:left="200" w:hanging="200" w:hangingChars="100"/>
              <w:jc w:val="left"/>
              <w:textAlignment w:val="auto"/>
              <w:outlineLvl w:val="9"/>
              <w:rPr>
                <w:rFonts w:ascii="宋体" w:hAnsi="宋体" w:cs="宋体"/>
                <w:kern w:val="0"/>
                <w:sz w:val="20"/>
                <w:szCs w:val="20"/>
              </w:rPr>
            </w:pPr>
            <w:r>
              <w:rPr>
                <w:rFonts w:hint="eastAsia" w:ascii="宋体" w:hAnsi="宋体" w:cs="宋体"/>
                <w:kern w:val="0"/>
                <w:sz w:val="20"/>
                <w:szCs w:val="20"/>
              </w:rPr>
              <w:t>太阳能路灯100盏</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3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庆阳湖乡西庆村亮化建设项目</w:t>
            </w:r>
          </w:p>
        </w:tc>
        <w:tc>
          <w:tcPr>
            <w:tcW w:w="20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工程验收合格100%</w:t>
            </w:r>
          </w:p>
        </w:tc>
        <w:tc>
          <w:tcPr>
            <w:tcW w:w="198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工程验收合格100%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3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庆阳湖乡西庆村亮化建设项目</w:t>
            </w:r>
          </w:p>
        </w:tc>
        <w:tc>
          <w:tcPr>
            <w:tcW w:w="20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工程量完成率100%</w:t>
            </w:r>
          </w:p>
        </w:tc>
        <w:tc>
          <w:tcPr>
            <w:tcW w:w="19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工程量完成率100%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3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庆阳湖乡西庆村亮化建设项目</w:t>
            </w:r>
          </w:p>
        </w:tc>
        <w:tc>
          <w:tcPr>
            <w:tcW w:w="20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工程成本44.73万</w:t>
            </w:r>
          </w:p>
        </w:tc>
        <w:tc>
          <w:tcPr>
            <w:tcW w:w="19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工程成本44.73万</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360" w:type="dxa"/>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经济效益指标</w:t>
            </w:r>
          </w:p>
        </w:tc>
        <w:tc>
          <w:tcPr>
            <w:tcW w:w="196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庆阳湖乡西庆村亮化建设项目</w:t>
            </w:r>
          </w:p>
        </w:tc>
        <w:tc>
          <w:tcPr>
            <w:tcW w:w="206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设备完好市场价值总额占设备总数量市场价值总额100%</w:t>
            </w:r>
          </w:p>
        </w:tc>
        <w:tc>
          <w:tcPr>
            <w:tcW w:w="1989"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设备完好市场价值总额占设备总数量市场价值总额100%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360" w:type="dxa"/>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庆阳湖乡西庆村亮化建设项目</w:t>
            </w:r>
          </w:p>
        </w:tc>
        <w:tc>
          <w:tcPr>
            <w:tcW w:w="206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改善乡村亮化环境，满足群众生活需求。</w:t>
            </w:r>
          </w:p>
        </w:tc>
        <w:tc>
          <w:tcPr>
            <w:tcW w:w="1989"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改善乡村亮化环境，满足群众生活需求。</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p>
        </w:tc>
        <w:tc>
          <w:tcPr>
            <w:tcW w:w="1140" w:type="dxa"/>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left"/>
              <w:textAlignment w:val="auto"/>
              <w:outlineLvl w:val="9"/>
              <w:rPr>
                <w:rFonts w:ascii="宋体" w:hAnsi="宋体" w:cs="宋体"/>
                <w:kern w:val="0"/>
                <w:sz w:val="20"/>
                <w:szCs w:val="20"/>
              </w:rPr>
            </w:pPr>
            <w:r>
              <w:rPr>
                <w:rFonts w:hint="eastAsia" w:ascii="宋体" w:hAnsi="宋体" w:cs="宋体"/>
                <w:kern w:val="0"/>
                <w:sz w:val="20"/>
                <w:szCs w:val="20"/>
              </w:rPr>
              <w:t>庆阳湖乡西庆村亮化建设项目</w:t>
            </w:r>
          </w:p>
        </w:tc>
        <w:tc>
          <w:tcPr>
            <w:tcW w:w="20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收益群众满意度100%　　</w:t>
            </w:r>
          </w:p>
        </w:tc>
        <w:tc>
          <w:tcPr>
            <w:tcW w:w="198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9"/>
              <w:rPr>
                <w:rFonts w:ascii="宋体" w:hAnsi="宋体" w:cs="宋体"/>
                <w:kern w:val="0"/>
                <w:sz w:val="20"/>
                <w:szCs w:val="20"/>
              </w:rPr>
            </w:pPr>
            <w:r>
              <w:rPr>
                <w:rFonts w:hint="eastAsia" w:ascii="宋体" w:hAnsi="宋体" w:cs="宋体"/>
                <w:kern w:val="0"/>
                <w:sz w:val="20"/>
                <w:szCs w:val="20"/>
              </w:rPr>
              <w:t>收益群众满意度100%　</w:t>
            </w:r>
          </w:p>
        </w:tc>
      </w:tr>
    </w:tbl>
    <w:p>
      <w:pPr>
        <w:keepNext w:val="0"/>
        <w:keepLines w:val="0"/>
        <w:pageBreakBefore w:val="0"/>
        <w:kinsoku/>
        <w:wordWrap/>
        <w:overflowPunct/>
        <w:topLinePunct w:val="0"/>
        <w:autoSpaceDE/>
        <w:autoSpaceDN/>
        <w:bidi w:val="0"/>
        <w:adjustRightInd/>
        <w:snapToGrid/>
        <w:spacing w:line="540" w:lineRule="exact"/>
        <w:textAlignment w:val="auto"/>
        <w:outlineLvl w:val="9"/>
        <w:rPr>
          <w:rFonts w:ascii="宋体" w:hAnsi="宋体"/>
          <w:sz w:val="28"/>
          <w:szCs w:val="28"/>
        </w:rPr>
      </w:pPr>
    </w:p>
    <w:p>
      <w:pPr>
        <w:keepNext w:val="0"/>
        <w:keepLines w:val="0"/>
        <w:pageBreakBefore w:val="0"/>
        <w:kinsoku/>
        <w:wordWrap/>
        <w:overflowPunct/>
        <w:topLinePunct w:val="0"/>
        <w:autoSpaceDE/>
        <w:autoSpaceDN/>
        <w:bidi w:val="0"/>
        <w:adjustRightInd/>
        <w:snapToGrid/>
        <w:spacing w:line="540" w:lineRule="exact"/>
        <w:ind w:firstLine="640" w:firstLineChars="200"/>
        <w:jc w:val="center"/>
        <w:textAlignment w:val="auto"/>
        <w:outlineLvl w:val="9"/>
        <w:rPr>
          <w:rFonts w:hint="eastAsia" w:ascii="黑体" w:hAnsi="黑体" w:eastAsia="黑体" w:cs="黑体"/>
          <w:sz w:val="32"/>
          <w:szCs w:val="24"/>
        </w:rPr>
      </w:pPr>
      <w:r>
        <w:rPr>
          <w:rFonts w:hint="eastAsia" w:ascii="黑体" w:hAnsi="黑体" w:eastAsia="黑体" w:cs="黑体"/>
          <w:sz w:val="32"/>
          <w:szCs w:val="24"/>
        </w:rPr>
        <w:t>第三部分 专业名词解释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 xml:space="preserve">财政拨款收入：指同级财政当年拨付的资金。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 xml:space="preserve">上级补助收入：指事业单位从主管部门和上级单位取得的非财政补助收入。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 xml:space="preserve">事业收入：指事业单位开展专业业务活动及其辅助活动所取得的收入。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 xml:space="preserve">经营收入：指事业单位在专业业务活动及其辅助活动之外开展非独立核算经营活动取得的收入。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 xml:space="preserve">附属单位缴款：指事业单位附属的独立核算单位按有关规定上缴的收入。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 xml:space="preserve">其他收入：指除上述“财政拨款收入”、“事业收入”、“经营收入”、“附属单位缴款”等之外取得的收入。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用事业基金弥补收支差额：指事业单位在当年的“财政拨款收入”、“财政拨款结转和结余资金”、“事业收入”、“事业单位经营收入”、“其他收入”不足以安排当年支出的情况下，使用以前</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 xml:space="preserve">年度积累的事业基金（即事业单位当年收支相抵后按国家规定提取、用于弥补以后年度收支差额的基金）弥补本年度收支缺口的资金。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 xml:space="preserve">上年结转和结余：指以前年度支出预算因客观条件变化未执行完毕、结转到本年度按有关规定继续使用的资金，既包括财政拨款结转和结余，也包括事业收入、经营收入、其他收入的结转和结余。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 xml:space="preserve">结余分配：反映单位当年结余的分配情况。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 xml:space="preserve">年末结转和结余：指本年度或以前年度预算安排、因客观条件发生变化无法按原计划实施，需要延迟到以后年度按有关规定继续使用的资金，既包括财政拨款结转和结余，也包括事业收入、经营收入、其他收入的结转和结余。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 xml:space="preserve">基本支出：指为保障机构正常运转、完成日常工作任务而发生的人员支出和公用支出。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 xml:space="preserve">项目支出：指在基本支出之外为完成特定行政任务和事业发展目标所发生的支出。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 xml:space="preserve">经营支出：指事业单位在专业业务活动及其辅助活动之外开展非独立核算经营活动发生的支出。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 xml:space="preserve">对附属单位补助支出：指事业单位发生的用非财政预算资金对附属单位的补助支出。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 xml:space="preserve">“三公”经费：指用一般公共预算财政拨款安排的因公出国（境）费、公务用车购置及运行费和公务接待费。其中，因公出国（境）费反映单位公务出国（境）的住宿费、旅费、伙食补助  费、杂费、培训费等支出；公务用车购置及运行费反映单位公务用车购置费及租用费、燃料费、维修费、过路过桥费、保险费、安全奖励费用等支出；公务接待费反映单位按规定开支的各类公务接待（含外宾接待）支出。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 xml:space="preserve">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本单位支出功能分类说明。201（类）01（款）01（项）：指行政运行；201（类）03（款）01（项）：指行政运行； 201（类）03（款）99（项）：指其他政府办公厅（室）及相关机构事务； 201（类）06（款）01（项）：指行政运行； 201（类）13（款）99（项）：指其他商贸事务支出；201（类）32（款）99（项）：指其他组织事务支出；207（类）01（款）09（项）：指群众文化；207（类）01（款）99（项）：指其他文化支出； 208（类）05（款）01（项）：指行政单位离退休； 208（类）05（款）02（项）：指事业单位离退休；208（类）05（款）05（项）：指机关事业单位基本养老保险；208（类）05（款）06（项）：指机关事业单位职业年金；208（类）08（款）99（项）：指其他优抚支出；208（类）21（款）02（项）：指农村特困人员救助供养支出；208（类）99（款）01（项）：指其他社会保障和就业支出；210（类）07（款）16（项）：指服务机构；210（类）07（款）17（项）：指服务支出；210（类）11（款）01（项）：指行政单位医疗。210（类）11（款）03（项）：指公务员医疗补助。210（类）11（款）02（项）：指事业单位医疗。211（类）04（款）02（项）：指农村环境支出；212（类）01（款）99（项）：指其他城乡社区管理事务支出；212（类）99（款）99（项）：指其他城乡社区支出；213（类）01（款）04（项）：指事业运行；213（类）01（款）52（项）：指对高校毕业生到基层任职补助；213（类）02（款）04（项）：指林业事业机构；213（类）07（款）05（项）：指对村民委员会和村党支部的补助；229（类）99（款）01（项）：指其他支出。</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黑体" w:hAnsi="黑体" w:eastAsia="黑体" w:cs="黑体"/>
          <w:sz w:val="32"/>
          <w:szCs w:val="24"/>
        </w:rPr>
      </w:pPr>
      <w:r>
        <w:rPr>
          <w:rFonts w:hint="eastAsia" w:ascii="黑体" w:hAnsi="黑体" w:eastAsia="黑体" w:cs="黑体"/>
          <w:sz w:val="32"/>
          <w:szCs w:val="24"/>
        </w:rPr>
        <w:t xml:space="preserve">第四部分 部门决算公开的8张报表（见附表）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 xml:space="preserve">一、《收入支出决算总表》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 xml:space="preserve">二、《收入决算表》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 xml:space="preserve">三、《支出决算表》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 xml:space="preserve">四、《财政拨款收入支出决算总表》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 xml:space="preserve">五、《一般公共预算财政拨款支出决算表》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 xml:space="preserve">六、《一般公共预算财政拨款基本支出决算表》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rPr>
      </w:pPr>
      <w:r>
        <w:rPr>
          <w:rFonts w:hint="eastAsia" w:ascii="仿宋_GB2312" w:hAnsi="Times New Roman" w:eastAsia="仿宋_GB2312"/>
          <w:sz w:val="32"/>
          <w:szCs w:val="24"/>
        </w:rPr>
        <w:t xml:space="preserve">七、《一般公共预算财政拨款“三公”经费支出决算表》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Times New Roman" w:eastAsia="仿宋_GB2312"/>
          <w:sz w:val="32"/>
          <w:szCs w:val="24"/>
          <w:lang w:eastAsia="zh-CN"/>
        </w:rPr>
      </w:pPr>
      <w:r>
        <w:rPr>
          <w:rFonts w:hint="eastAsia" w:ascii="仿宋_GB2312" w:hAnsi="Times New Roman" w:eastAsia="仿宋_GB2312"/>
          <w:sz w:val="32"/>
          <w:szCs w:val="24"/>
        </w:rPr>
        <w:t>八、《政府性基金预算财政拨款收入支出决算表》</w:t>
      </w:r>
      <w:r>
        <w:rPr>
          <w:rFonts w:hint="eastAsia" w:ascii="仿宋_GB2312" w:hAnsi="Times New Roman" w:eastAsia="仿宋_GB2312"/>
          <w:sz w:val="32"/>
          <w:szCs w:val="24"/>
          <w:lang w:eastAsia="zh-CN"/>
        </w:rPr>
        <w:t>（空表）</w:t>
      </w:r>
    </w:p>
    <w:p>
      <w:pPr>
        <w:rPr>
          <w:rFonts w:ascii="宋体" w:hAnsi="宋体"/>
          <w:color w:val="000000" w:themeColor="text1"/>
          <w:sz w:val="28"/>
          <w:szCs w:val="28"/>
        </w:rPr>
      </w:pPr>
      <w:r>
        <w:rPr>
          <w:rFonts w:hint="eastAsia"/>
          <w:color w:val="000000" w:themeColor="text1"/>
        </w:rPr>
        <w:t xml:space="preserve">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60153"/>
    <w:rsid w:val="00060153"/>
    <w:rsid w:val="00105B74"/>
    <w:rsid w:val="00193669"/>
    <w:rsid w:val="00224528"/>
    <w:rsid w:val="00265C5D"/>
    <w:rsid w:val="0027466E"/>
    <w:rsid w:val="002749BE"/>
    <w:rsid w:val="002774C8"/>
    <w:rsid w:val="002B2E08"/>
    <w:rsid w:val="003255E1"/>
    <w:rsid w:val="003A5765"/>
    <w:rsid w:val="003E25AB"/>
    <w:rsid w:val="004C7EC1"/>
    <w:rsid w:val="0054137F"/>
    <w:rsid w:val="00627F10"/>
    <w:rsid w:val="00665F29"/>
    <w:rsid w:val="00870D6F"/>
    <w:rsid w:val="008C4C99"/>
    <w:rsid w:val="008F1DED"/>
    <w:rsid w:val="0099054F"/>
    <w:rsid w:val="00C274CB"/>
    <w:rsid w:val="00CE248F"/>
    <w:rsid w:val="00EE42FE"/>
    <w:rsid w:val="00F00C53"/>
    <w:rsid w:val="00F21FD5"/>
    <w:rsid w:val="00F83343"/>
    <w:rsid w:val="00FC39F9"/>
    <w:rsid w:val="01CA5272"/>
    <w:rsid w:val="01DC4B5F"/>
    <w:rsid w:val="020D65A3"/>
    <w:rsid w:val="0281537A"/>
    <w:rsid w:val="02CC700C"/>
    <w:rsid w:val="02E259EE"/>
    <w:rsid w:val="03712464"/>
    <w:rsid w:val="03C90C89"/>
    <w:rsid w:val="03D04D73"/>
    <w:rsid w:val="03DF7D41"/>
    <w:rsid w:val="05016E2A"/>
    <w:rsid w:val="05073BBA"/>
    <w:rsid w:val="05300026"/>
    <w:rsid w:val="053306B9"/>
    <w:rsid w:val="053B1836"/>
    <w:rsid w:val="061660F5"/>
    <w:rsid w:val="062C79C9"/>
    <w:rsid w:val="065018CE"/>
    <w:rsid w:val="06D34A8C"/>
    <w:rsid w:val="071D6042"/>
    <w:rsid w:val="076B38BD"/>
    <w:rsid w:val="079B4854"/>
    <w:rsid w:val="07C33290"/>
    <w:rsid w:val="07EC325B"/>
    <w:rsid w:val="086E124F"/>
    <w:rsid w:val="08FF6F3A"/>
    <w:rsid w:val="099842C7"/>
    <w:rsid w:val="0A070030"/>
    <w:rsid w:val="0A1658BB"/>
    <w:rsid w:val="0A3A0B93"/>
    <w:rsid w:val="0ACF2C5A"/>
    <w:rsid w:val="0BE6050B"/>
    <w:rsid w:val="0BFE5EA8"/>
    <w:rsid w:val="0C3E6EE6"/>
    <w:rsid w:val="0C7C7BF0"/>
    <w:rsid w:val="0CD60859"/>
    <w:rsid w:val="0D1239BF"/>
    <w:rsid w:val="0D854FC4"/>
    <w:rsid w:val="0ED97536"/>
    <w:rsid w:val="0EF11106"/>
    <w:rsid w:val="0F112BA9"/>
    <w:rsid w:val="0F3F7A07"/>
    <w:rsid w:val="0F822E96"/>
    <w:rsid w:val="0FDC71C0"/>
    <w:rsid w:val="101541D6"/>
    <w:rsid w:val="10334E5A"/>
    <w:rsid w:val="10804379"/>
    <w:rsid w:val="10C8564B"/>
    <w:rsid w:val="10F14781"/>
    <w:rsid w:val="112810C0"/>
    <w:rsid w:val="12232D41"/>
    <w:rsid w:val="12511A24"/>
    <w:rsid w:val="13EF4F33"/>
    <w:rsid w:val="154908AC"/>
    <w:rsid w:val="1597562E"/>
    <w:rsid w:val="16CB6F36"/>
    <w:rsid w:val="171D0A4D"/>
    <w:rsid w:val="17DA31EF"/>
    <w:rsid w:val="17F12420"/>
    <w:rsid w:val="181330CA"/>
    <w:rsid w:val="182B6DF9"/>
    <w:rsid w:val="189F4F73"/>
    <w:rsid w:val="18A16BBC"/>
    <w:rsid w:val="19513A76"/>
    <w:rsid w:val="197F4903"/>
    <w:rsid w:val="1A23333B"/>
    <w:rsid w:val="1A3F4F3A"/>
    <w:rsid w:val="1AB81C99"/>
    <w:rsid w:val="1AE14992"/>
    <w:rsid w:val="1B1A7C7A"/>
    <w:rsid w:val="1C7D1F45"/>
    <w:rsid w:val="1C8F25E5"/>
    <w:rsid w:val="1C9A707C"/>
    <w:rsid w:val="1CEE377F"/>
    <w:rsid w:val="1D3B5D0D"/>
    <w:rsid w:val="1D543738"/>
    <w:rsid w:val="1E611BB8"/>
    <w:rsid w:val="1E68425B"/>
    <w:rsid w:val="1E912420"/>
    <w:rsid w:val="1EA3797C"/>
    <w:rsid w:val="1EDF1B2A"/>
    <w:rsid w:val="1F2A297A"/>
    <w:rsid w:val="1F7A335C"/>
    <w:rsid w:val="20817C3C"/>
    <w:rsid w:val="20C16D06"/>
    <w:rsid w:val="217D3FF0"/>
    <w:rsid w:val="21884E6B"/>
    <w:rsid w:val="21912071"/>
    <w:rsid w:val="223A6B21"/>
    <w:rsid w:val="22E348E5"/>
    <w:rsid w:val="23097EB7"/>
    <w:rsid w:val="23A9228D"/>
    <w:rsid w:val="24741BB3"/>
    <w:rsid w:val="248A419A"/>
    <w:rsid w:val="24A34711"/>
    <w:rsid w:val="24B645D9"/>
    <w:rsid w:val="257B36B3"/>
    <w:rsid w:val="25A155D3"/>
    <w:rsid w:val="25B05B04"/>
    <w:rsid w:val="268A034D"/>
    <w:rsid w:val="268B24AB"/>
    <w:rsid w:val="26B62DF0"/>
    <w:rsid w:val="26E96114"/>
    <w:rsid w:val="271D3D21"/>
    <w:rsid w:val="2768760C"/>
    <w:rsid w:val="27A45A40"/>
    <w:rsid w:val="27BB356A"/>
    <w:rsid w:val="27D62A68"/>
    <w:rsid w:val="28017423"/>
    <w:rsid w:val="28164591"/>
    <w:rsid w:val="29886E8D"/>
    <w:rsid w:val="29A73A19"/>
    <w:rsid w:val="29A73C30"/>
    <w:rsid w:val="2AA466EA"/>
    <w:rsid w:val="2AB13717"/>
    <w:rsid w:val="2AC571B6"/>
    <w:rsid w:val="2B9C7855"/>
    <w:rsid w:val="2BA44718"/>
    <w:rsid w:val="2BEE6027"/>
    <w:rsid w:val="2C021A3E"/>
    <w:rsid w:val="2C04073B"/>
    <w:rsid w:val="2D595A5A"/>
    <w:rsid w:val="2DCE6EDE"/>
    <w:rsid w:val="2E8C7CEF"/>
    <w:rsid w:val="2EC16320"/>
    <w:rsid w:val="2FB72AF1"/>
    <w:rsid w:val="2FF45CFF"/>
    <w:rsid w:val="30201D71"/>
    <w:rsid w:val="30710C25"/>
    <w:rsid w:val="30A235B2"/>
    <w:rsid w:val="30B702AD"/>
    <w:rsid w:val="30CA2D97"/>
    <w:rsid w:val="312A40BC"/>
    <w:rsid w:val="31372F79"/>
    <w:rsid w:val="321D26EC"/>
    <w:rsid w:val="3249096C"/>
    <w:rsid w:val="32C04987"/>
    <w:rsid w:val="341240BB"/>
    <w:rsid w:val="35146B19"/>
    <w:rsid w:val="351C4D19"/>
    <w:rsid w:val="352D5BD1"/>
    <w:rsid w:val="35A90850"/>
    <w:rsid w:val="35CA4E2C"/>
    <w:rsid w:val="35D064AD"/>
    <w:rsid w:val="36255AE0"/>
    <w:rsid w:val="36325F07"/>
    <w:rsid w:val="367150A0"/>
    <w:rsid w:val="36C1693C"/>
    <w:rsid w:val="37166BF5"/>
    <w:rsid w:val="384A07F2"/>
    <w:rsid w:val="386C529C"/>
    <w:rsid w:val="395259A4"/>
    <w:rsid w:val="3993411C"/>
    <w:rsid w:val="39EE0025"/>
    <w:rsid w:val="3A956EEC"/>
    <w:rsid w:val="3B051BFB"/>
    <w:rsid w:val="3B987258"/>
    <w:rsid w:val="3BB94F27"/>
    <w:rsid w:val="3C5F0CBD"/>
    <w:rsid w:val="3CAB27F6"/>
    <w:rsid w:val="3CF47DC9"/>
    <w:rsid w:val="3DEC7E1E"/>
    <w:rsid w:val="3DF37EEF"/>
    <w:rsid w:val="3E215AE1"/>
    <w:rsid w:val="3EE63FDF"/>
    <w:rsid w:val="3EEE1474"/>
    <w:rsid w:val="3EFE4FA8"/>
    <w:rsid w:val="3F2E2CB9"/>
    <w:rsid w:val="3F403A77"/>
    <w:rsid w:val="3F606170"/>
    <w:rsid w:val="3FF72A39"/>
    <w:rsid w:val="4012031E"/>
    <w:rsid w:val="40EC2F11"/>
    <w:rsid w:val="40F06D6B"/>
    <w:rsid w:val="42347259"/>
    <w:rsid w:val="42721192"/>
    <w:rsid w:val="42924F50"/>
    <w:rsid w:val="430D024A"/>
    <w:rsid w:val="432C3FCC"/>
    <w:rsid w:val="43525DAF"/>
    <w:rsid w:val="43606991"/>
    <w:rsid w:val="43721FAF"/>
    <w:rsid w:val="4460383F"/>
    <w:rsid w:val="44862E6E"/>
    <w:rsid w:val="44B02ABC"/>
    <w:rsid w:val="455E4A89"/>
    <w:rsid w:val="459C3166"/>
    <w:rsid w:val="45B2792D"/>
    <w:rsid w:val="465F0022"/>
    <w:rsid w:val="46A24677"/>
    <w:rsid w:val="46C06AE4"/>
    <w:rsid w:val="47D61EB3"/>
    <w:rsid w:val="47E11196"/>
    <w:rsid w:val="4849079D"/>
    <w:rsid w:val="484B67B5"/>
    <w:rsid w:val="485B0BD8"/>
    <w:rsid w:val="48A01316"/>
    <w:rsid w:val="49060A0A"/>
    <w:rsid w:val="49322BC6"/>
    <w:rsid w:val="49701E0D"/>
    <w:rsid w:val="49B4315A"/>
    <w:rsid w:val="49DE0BEF"/>
    <w:rsid w:val="4AA77CFB"/>
    <w:rsid w:val="4AAC6A2F"/>
    <w:rsid w:val="4ADD5BC1"/>
    <w:rsid w:val="4AE12AC7"/>
    <w:rsid w:val="4B2C0A22"/>
    <w:rsid w:val="4B9556EB"/>
    <w:rsid w:val="4BF916EF"/>
    <w:rsid w:val="4C6256FF"/>
    <w:rsid w:val="4CE26D33"/>
    <w:rsid w:val="4D3E1B08"/>
    <w:rsid w:val="4D905B85"/>
    <w:rsid w:val="4E066554"/>
    <w:rsid w:val="4E3A3452"/>
    <w:rsid w:val="4E907D55"/>
    <w:rsid w:val="4EC64407"/>
    <w:rsid w:val="4ED92BD1"/>
    <w:rsid w:val="4F120A4B"/>
    <w:rsid w:val="4FAC1181"/>
    <w:rsid w:val="4FB010BD"/>
    <w:rsid w:val="4FCA0065"/>
    <w:rsid w:val="5067319C"/>
    <w:rsid w:val="50A014FC"/>
    <w:rsid w:val="50B27B44"/>
    <w:rsid w:val="5147075F"/>
    <w:rsid w:val="51664422"/>
    <w:rsid w:val="518D7951"/>
    <w:rsid w:val="51966F77"/>
    <w:rsid w:val="51AB2CD2"/>
    <w:rsid w:val="51F202DF"/>
    <w:rsid w:val="520861DE"/>
    <w:rsid w:val="531F241F"/>
    <w:rsid w:val="532306B6"/>
    <w:rsid w:val="5348042A"/>
    <w:rsid w:val="53745BB3"/>
    <w:rsid w:val="53772219"/>
    <w:rsid w:val="537B6234"/>
    <w:rsid w:val="53A80EF7"/>
    <w:rsid w:val="53CE2168"/>
    <w:rsid w:val="542D1D1E"/>
    <w:rsid w:val="543862DF"/>
    <w:rsid w:val="546241A7"/>
    <w:rsid w:val="551060FD"/>
    <w:rsid w:val="5550270B"/>
    <w:rsid w:val="55BF6595"/>
    <w:rsid w:val="55C437F6"/>
    <w:rsid w:val="55C77686"/>
    <w:rsid w:val="55DC6693"/>
    <w:rsid w:val="573F4BDC"/>
    <w:rsid w:val="58262243"/>
    <w:rsid w:val="58301390"/>
    <w:rsid w:val="5A542835"/>
    <w:rsid w:val="5A6D785E"/>
    <w:rsid w:val="5B0D7627"/>
    <w:rsid w:val="5B5E7C25"/>
    <w:rsid w:val="5B9E6063"/>
    <w:rsid w:val="5C015D24"/>
    <w:rsid w:val="5C101AC7"/>
    <w:rsid w:val="5CC326FF"/>
    <w:rsid w:val="5D7C4ED7"/>
    <w:rsid w:val="5DFB66CE"/>
    <w:rsid w:val="5E1E09BF"/>
    <w:rsid w:val="5E8C6343"/>
    <w:rsid w:val="5EBF468A"/>
    <w:rsid w:val="5F1370A1"/>
    <w:rsid w:val="5F1F3547"/>
    <w:rsid w:val="5FD01215"/>
    <w:rsid w:val="601860B6"/>
    <w:rsid w:val="603323DF"/>
    <w:rsid w:val="605B4805"/>
    <w:rsid w:val="60EF6EAB"/>
    <w:rsid w:val="61A335A8"/>
    <w:rsid w:val="61E24249"/>
    <w:rsid w:val="61E40260"/>
    <w:rsid w:val="6202014C"/>
    <w:rsid w:val="623407B7"/>
    <w:rsid w:val="63391F47"/>
    <w:rsid w:val="635C7F2A"/>
    <w:rsid w:val="6385590D"/>
    <w:rsid w:val="646F405C"/>
    <w:rsid w:val="64780A5A"/>
    <w:rsid w:val="64A346EB"/>
    <w:rsid w:val="64C63F2E"/>
    <w:rsid w:val="659F7DC9"/>
    <w:rsid w:val="66233011"/>
    <w:rsid w:val="663A4424"/>
    <w:rsid w:val="66710257"/>
    <w:rsid w:val="66C5042C"/>
    <w:rsid w:val="66FE24BE"/>
    <w:rsid w:val="67040192"/>
    <w:rsid w:val="6853416A"/>
    <w:rsid w:val="686E53C6"/>
    <w:rsid w:val="68852648"/>
    <w:rsid w:val="68DF2B07"/>
    <w:rsid w:val="68ED372E"/>
    <w:rsid w:val="69405D4B"/>
    <w:rsid w:val="694E21D4"/>
    <w:rsid w:val="69A66319"/>
    <w:rsid w:val="69DA3AB8"/>
    <w:rsid w:val="69E8465A"/>
    <w:rsid w:val="6A462626"/>
    <w:rsid w:val="6A477B0E"/>
    <w:rsid w:val="6ACB15C8"/>
    <w:rsid w:val="6B0E16F8"/>
    <w:rsid w:val="6B793B9E"/>
    <w:rsid w:val="6B982264"/>
    <w:rsid w:val="6D1F16D6"/>
    <w:rsid w:val="6D7269BE"/>
    <w:rsid w:val="6E0A04F3"/>
    <w:rsid w:val="6E357D1E"/>
    <w:rsid w:val="6E46137E"/>
    <w:rsid w:val="6E61424D"/>
    <w:rsid w:val="6E9E3D06"/>
    <w:rsid w:val="6F02702B"/>
    <w:rsid w:val="6F1721C3"/>
    <w:rsid w:val="6F2710E8"/>
    <w:rsid w:val="6F6E4415"/>
    <w:rsid w:val="6F766D7E"/>
    <w:rsid w:val="6F89012A"/>
    <w:rsid w:val="70343B56"/>
    <w:rsid w:val="707709F2"/>
    <w:rsid w:val="724321B8"/>
    <w:rsid w:val="72CD0613"/>
    <w:rsid w:val="7301073A"/>
    <w:rsid w:val="7307346C"/>
    <w:rsid w:val="73CA5DB5"/>
    <w:rsid w:val="73F74496"/>
    <w:rsid w:val="73FA5B03"/>
    <w:rsid w:val="74960E60"/>
    <w:rsid w:val="74D8166E"/>
    <w:rsid w:val="74F91BE5"/>
    <w:rsid w:val="750D0B11"/>
    <w:rsid w:val="75372AF0"/>
    <w:rsid w:val="75467F90"/>
    <w:rsid w:val="756521AC"/>
    <w:rsid w:val="76400591"/>
    <w:rsid w:val="76997FE5"/>
    <w:rsid w:val="77020B55"/>
    <w:rsid w:val="7724074A"/>
    <w:rsid w:val="77940E49"/>
    <w:rsid w:val="789055FC"/>
    <w:rsid w:val="78BE6786"/>
    <w:rsid w:val="78D77F7F"/>
    <w:rsid w:val="78DD5B59"/>
    <w:rsid w:val="78E5531D"/>
    <w:rsid w:val="79331CA3"/>
    <w:rsid w:val="79662F6D"/>
    <w:rsid w:val="796D372F"/>
    <w:rsid w:val="7AD36C0A"/>
    <w:rsid w:val="7B185A26"/>
    <w:rsid w:val="7B9A4F4F"/>
    <w:rsid w:val="7C2C099D"/>
    <w:rsid w:val="7C2F0F81"/>
    <w:rsid w:val="7C445A31"/>
    <w:rsid w:val="7C625B76"/>
    <w:rsid w:val="7CAD20B8"/>
    <w:rsid w:val="7D4702B8"/>
    <w:rsid w:val="7DA65CB9"/>
    <w:rsid w:val="7F522256"/>
    <w:rsid w:val="7F636264"/>
    <w:rsid w:val="7FA95B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6">
    <w:name w:val="Strong"/>
    <w:basedOn w:val="5"/>
    <w:qFormat/>
    <w:uiPriority w:val="0"/>
    <w:rPr>
      <w:b/>
      <w:bCs/>
    </w:rPr>
  </w:style>
  <w:style w:type="character" w:customStyle="1" w:styleId="8">
    <w:name w:val="页眉 Char"/>
    <w:basedOn w:val="5"/>
    <w:link w:val="3"/>
    <w:qFormat/>
    <w:uiPriority w:val="0"/>
    <w:rPr>
      <w:kern w:val="2"/>
      <w:sz w:val="18"/>
      <w:szCs w:val="18"/>
    </w:rPr>
  </w:style>
  <w:style w:type="character" w:customStyle="1" w:styleId="9">
    <w:name w:val="页脚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74D40A-EA86-4292-A3F9-B70DC71524D9}">
  <ds:schemaRefs/>
</ds:datastoreItem>
</file>

<file path=docProps/app.xml><?xml version="1.0" encoding="utf-8"?>
<Properties xmlns="http://schemas.openxmlformats.org/officeDocument/2006/extended-properties" xmlns:vt="http://schemas.openxmlformats.org/officeDocument/2006/docPropsVTypes">
  <Template>Normal.dotm</Template>
  <Company>Microsoft China</Company>
  <Pages>19</Pages>
  <Words>1689</Words>
  <Characters>9628</Characters>
  <Lines>80</Lines>
  <Paragraphs>22</Paragraphs>
  <TotalTime>0</TotalTime>
  <ScaleCrop>false</ScaleCrop>
  <LinksUpToDate>false</LinksUpToDate>
  <CharactersWithSpaces>11295</CharactersWithSpaces>
  <Application>WPS Office_10.8.2.6870_F1E327BC-269C-435d-A152-05C5408002CA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2019-06-12T05:11:00Z</dcterms:created>
  <dc:creator>Lenovo</dc:creator>
  <cp:lastModifiedBy>Administrator</cp:lastModifiedBy>
  <dcterms:modified xsi:type="dcterms:W3CDTF">2021-07-01T11:40:39Z</dcterms:modified>
  <dc:title>××年度××（单位）部门决算公开说明</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2052-10.8.2.6870</vt:lpwstr>
  </property>
  <property fmtid="{D5CDD505-2E9C-101B-9397-08002B2CF9AE}" pid="3" name="ICV">
    <vt:lpwstr>1F54DDB68C0A489583649F23AE03A09F</vt:lpwstr>
  </property>
</Properties>
</file>