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_GBK" w:hAnsi="宋体" w:eastAsia="方正小标宋_GBK"/>
          <w:b w:val="0"/>
          <w:bCs w:val="0"/>
          <w:sz w:val="44"/>
          <w:szCs w:val="24"/>
        </w:rPr>
      </w:pPr>
      <w:r>
        <w:rPr>
          <w:rFonts w:hint="eastAsia" w:ascii="方正小标宋_GBK" w:hAnsi="宋体" w:eastAsia="方正小标宋_GBK"/>
          <w:b w:val="0"/>
          <w:bCs w:val="0"/>
          <w:sz w:val="44"/>
          <w:szCs w:val="24"/>
          <w:lang w:val="en-US" w:eastAsia="zh-CN"/>
        </w:rPr>
        <w:t>2018</w:t>
      </w:r>
      <w:r>
        <w:rPr>
          <w:rFonts w:hint="eastAsia" w:ascii="方正小标宋_GBK" w:hAnsi="宋体" w:eastAsia="方正小标宋_GBK"/>
          <w:b w:val="0"/>
          <w:bCs w:val="0"/>
          <w:sz w:val="44"/>
          <w:szCs w:val="24"/>
        </w:rPr>
        <w:t>年度</w:t>
      </w:r>
      <w:r>
        <w:rPr>
          <w:rFonts w:hint="eastAsia" w:ascii="方正小标宋_GBK" w:hAnsi="宋体" w:eastAsia="方正小标宋_GBK"/>
          <w:b w:val="0"/>
          <w:bCs w:val="0"/>
          <w:sz w:val="44"/>
          <w:szCs w:val="24"/>
          <w:lang w:eastAsia="zh-CN"/>
        </w:rPr>
        <w:t>吉木萨尔县北庭镇人民政府</w:t>
      </w:r>
      <w:r>
        <w:rPr>
          <w:rFonts w:hint="eastAsia" w:ascii="方正小标宋_GBK" w:hAnsi="宋体" w:eastAsia="方正小标宋_GBK"/>
          <w:b w:val="0"/>
          <w:bCs w:val="0"/>
          <w:sz w:val="44"/>
          <w:szCs w:val="24"/>
        </w:rPr>
        <w:t xml:space="preserve">部门决算公开说明 </w:t>
      </w:r>
    </w:p>
    <w:p>
      <w:pPr>
        <w:rPr>
          <w:rFonts w:hint="eastAsia"/>
          <w:sz w:val="28"/>
          <w:szCs w:val="28"/>
        </w:rPr>
      </w:pPr>
      <w:r>
        <w:rPr>
          <w:sz w:val="28"/>
          <w:szCs w:val="28"/>
        </w:rPr>
        <w:t xml:space="preserve"> </w:t>
      </w:r>
    </w:p>
    <w:p>
      <w:pPr>
        <w:spacing w:line="540" w:lineRule="exact"/>
        <w:jc w:val="center"/>
        <w:rPr>
          <w:rFonts w:hint="eastAsia" w:ascii="黑体" w:hAnsi="黑体" w:eastAsia="黑体"/>
          <w:b w:val="0"/>
          <w:bCs/>
          <w:kern w:val="0"/>
          <w:sz w:val="32"/>
          <w:szCs w:val="32"/>
        </w:rPr>
      </w:pPr>
      <w:r>
        <w:rPr>
          <w:rFonts w:hint="eastAsia" w:ascii="黑体" w:hAnsi="黑体" w:eastAsia="黑体"/>
          <w:b w:val="0"/>
          <w:bCs/>
          <w:kern w:val="0"/>
          <w:sz w:val="32"/>
          <w:szCs w:val="32"/>
        </w:rPr>
        <w:t>目  录</w:t>
      </w:r>
    </w:p>
    <w:p>
      <w:pPr>
        <w:spacing w:line="540" w:lineRule="exact"/>
        <w:ind w:firstLine="0" w:firstLineChars="0"/>
        <w:rPr>
          <w:rFonts w:hint="eastAsia" w:ascii="仿宋_GB2312" w:hAnsi="宋体" w:eastAsia="仿宋_GB2312"/>
          <w:b/>
          <w:kern w:val="0"/>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第一部分 部门单位概况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bookmarkStart w:id="0" w:name="_GoBack"/>
      <w:bookmarkEnd w:id="0"/>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第二部分 部门决算情况说明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（二）一般公共预算收支决算情况说明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（二）预算绩效情况的说明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第三部分 专业名词解释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《一般公共预算财政拨款“三公”经费支出决算表》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540" w:lineRule="exact"/>
        <w:textAlignment w:val="auto"/>
        <w:outlineLvl w:val="9"/>
        <w:rPr>
          <w:rFonts w:hint="eastAsia" w:ascii="宋体" w:hAnsi="宋体"/>
          <w:sz w:val="28"/>
          <w:szCs w:val="28"/>
        </w:rPr>
      </w:pP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第一部分 部门单位概况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 xml:space="preserve">一、主要职能 </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9"/>
        <w:rPr>
          <w:rFonts w:hint="eastAsia" w:ascii="仿宋_GB2312" w:eastAsia="仿宋_GB2312"/>
          <w:sz w:val="32"/>
          <w:szCs w:val="24"/>
          <w:lang w:val="en-US" w:eastAsia="zh-CN"/>
        </w:rPr>
      </w:pPr>
      <w:r>
        <w:rPr>
          <w:rFonts w:hint="eastAsia" w:ascii="宋体" w:hAnsi="宋体"/>
          <w:sz w:val="28"/>
          <w:szCs w:val="28"/>
          <w:lang w:val="en-US" w:eastAsia="zh-CN"/>
        </w:rPr>
        <w:t xml:space="preserve"> </w:t>
      </w:r>
      <w:r>
        <w:rPr>
          <w:rFonts w:hint="eastAsia" w:ascii="仿宋_GB2312" w:eastAsia="仿宋_GB2312"/>
          <w:sz w:val="32"/>
          <w:szCs w:val="24"/>
          <w:lang w:val="en-US" w:eastAsia="zh-CN"/>
        </w:rPr>
        <w:t>1、落实政策：宣传、落实好党的路线、方针、政策，完善农村基本经济制度，坚持依法行政，推进政务公开，加强对村民委员会的指导，提高、培育村民委员会自治能力。</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２、促进发展： 科学制定发展规划，营造农村经济发展环境，加强农村市场监督，培育、提升市场功能，搞活市场流通，推广农业技术，完善农业社会化服务体系，引导农民发展现代农业，调整产业结构，加强农村劳动力技能培训，引导农村劳动力转移和就业，不断提高社会主义新农村建设水平。</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3、加强管理： 加强民政、教育、科技、文化、卫生、服务费、安全生产、劳动保障和乡村规划等社会管理，加强社会主义精神文明建设，做好防灾减灾工作，加强环境保护，努力改善农村人居环境，不断提高农村人口素质和农民生活质量。</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4、提供服务： 进一步发展和完善农业社会化服务体系，引导各类协会和农村专业合作经济组织发展农村社会公益事业和集体公益事业。加强农村基础设施建设，增加公共产品，提供政策、科技、市场信息，及时向上级党委、政府反映社情民意，进一步密切党群关系。</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b/>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二、机构设置情况</w:t>
      </w:r>
      <w:r>
        <w:rPr>
          <w:rFonts w:hint="eastAsia" w:ascii="黑体" w:hAnsi="黑体" w:eastAsia="黑体" w:cs="黑体"/>
          <w:b/>
          <w:color w:val="000000" w:themeColor="text1"/>
          <w:sz w:val="32"/>
          <w:szCs w:val="32"/>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从决算单位构成看，吉木萨尔县北庭镇人民政府部门决算包括：吉木萨尔县北庭镇人民政府部门本级决算、本单位无下属单位。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纳入吉木萨尔县北庭镇人民政府2018年部门决算编制范围的单位名单见下表：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5180"/>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exact"/>
        </w:trPr>
        <w:tc>
          <w:tcPr>
            <w:tcW w:w="2239"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序号</w:t>
            </w:r>
          </w:p>
        </w:tc>
        <w:tc>
          <w:tcPr>
            <w:tcW w:w="5180"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单位名称</w:t>
            </w:r>
          </w:p>
        </w:tc>
        <w:tc>
          <w:tcPr>
            <w:tcW w:w="2045"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239"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1</w:t>
            </w:r>
          </w:p>
        </w:tc>
        <w:tc>
          <w:tcPr>
            <w:tcW w:w="5180" w:type="dxa"/>
            <w:vAlign w:val="center"/>
          </w:tcPr>
          <w:p>
            <w:pPr>
              <w:keepNext w:val="0"/>
              <w:keepLines w:val="0"/>
              <w:pageBreakBefore w:val="0"/>
              <w:kinsoku/>
              <w:wordWrap/>
              <w:overflowPunct/>
              <w:topLinePunct w:val="0"/>
              <w:autoSpaceDE/>
              <w:autoSpaceDN/>
              <w:bidi w:val="0"/>
              <w:adjustRightInd/>
              <w:snapToGrid/>
              <w:spacing w:line="540" w:lineRule="exact"/>
              <w:textAlignment w:val="auto"/>
              <w:outlineLvl w:val="9"/>
              <w:rPr>
                <w:rFonts w:hint="default" w:ascii="仿宋_GB2312" w:eastAsia="仿宋_GB2312"/>
                <w:sz w:val="32"/>
                <w:szCs w:val="24"/>
                <w:lang w:val="en-US" w:eastAsia="zh-CN"/>
              </w:rPr>
            </w:pPr>
            <w:r>
              <w:rPr>
                <w:rFonts w:hint="eastAsia" w:ascii="仿宋_GB2312" w:eastAsia="仿宋_GB2312"/>
                <w:sz w:val="32"/>
                <w:szCs w:val="24"/>
                <w:lang w:val="en-US" w:eastAsia="zh-CN"/>
              </w:rPr>
              <w:t>吉木萨尔县北庭镇人民政府本级</w:t>
            </w:r>
          </w:p>
        </w:tc>
        <w:tc>
          <w:tcPr>
            <w:tcW w:w="2045"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p>
        </w:tc>
      </w:tr>
    </w:tbl>
    <w:p>
      <w:pPr>
        <w:keepNext w:val="0"/>
        <w:keepLines w:val="0"/>
        <w:pageBreakBefore w:val="0"/>
        <w:kinsoku/>
        <w:wordWrap/>
        <w:overflowPunct/>
        <w:topLinePunct w:val="0"/>
        <w:autoSpaceDE/>
        <w:autoSpaceDN/>
        <w:bidi w:val="0"/>
        <w:adjustRightInd/>
        <w:snapToGrid/>
        <w:spacing w:line="540" w:lineRule="exact"/>
        <w:textAlignment w:val="auto"/>
        <w:outlineLvl w:val="9"/>
        <w:rPr>
          <w:sz w:val="28"/>
          <w:szCs w:val="28"/>
        </w:rPr>
      </w:pPr>
      <w:r>
        <w:rPr>
          <w:sz w:val="28"/>
          <w:szCs w:val="28"/>
        </w:rPr>
        <w:t xml:space="preserve">   </w:t>
      </w: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第二部分 部门决算情况说明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 xml:space="preserve">一、部门收支总体情况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eastAsia="楷体_GB2312"/>
          <w:b/>
          <w:sz w:val="32"/>
          <w:szCs w:val="24"/>
        </w:rPr>
      </w:pPr>
      <w:r>
        <w:rPr>
          <w:rFonts w:hint="eastAsia" w:ascii="楷体_GB2312" w:eastAsia="楷体_GB2312"/>
          <w:b/>
          <w:sz w:val="32"/>
          <w:szCs w:val="24"/>
        </w:rPr>
        <w:t xml:space="preserve">（一）部门收入支出决算总体情况说明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2018</w:t>
      </w:r>
      <w:r>
        <w:rPr>
          <w:rFonts w:hint="eastAsia" w:ascii="仿宋_GB2312" w:eastAsia="仿宋_GB2312"/>
          <w:sz w:val="32"/>
          <w:szCs w:val="24"/>
        </w:rPr>
        <w:t>年度收入2166</w:t>
      </w:r>
      <w:r>
        <w:rPr>
          <w:rFonts w:hint="eastAsia" w:ascii="仿宋_GB2312" w:eastAsia="仿宋_GB2312"/>
          <w:sz w:val="32"/>
          <w:szCs w:val="24"/>
          <w:lang w:val="en-US" w:eastAsia="zh-CN"/>
        </w:rPr>
        <w:t>.</w:t>
      </w:r>
      <w:r>
        <w:rPr>
          <w:rFonts w:hint="eastAsia" w:ascii="仿宋_GB2312" w:eastAsia="仿宋_GB2312"/>
          <w:sz w:val="32"/>
          <w:szCs w:val="24"/>
        </w:rPr>
        <w:t>5</w:t>
      </w:r>
      <w:r>
        <w:rPr>
          <w:rFonts w:hint="eastAsia" w:ascii="仿宋_GB2312" w:eastAsia="仿宋_GB2312"/>
          <w:sz w:val="32"/>
          <w:szCs w:val="24"/>
          <w:lang w:val="en-US" w:eastAsia="zh-CN"/>
        </w:rPr>
        <w:t>3万</w:t>
      </w:r>
      <w:r>
        <w:rPr>
          <w:rFonts w:hint="eastAsia" w:ascii="仿宋_GB2312" w:eastAsia="仿宋_GB2312"/>
          <w:sz w:val="32"/>
          <w:szCs w:val="24"/>
          <w:lang w:eastAsia="zh-CN"/>
        </w:rPr>
        <w:t>元</w:t>
      </w:r>
      <w:r>
        <w:rPr>
          <w:rFonts w:hint="eastAsia" w:ascii="仿宋_GB2312" w:eastAsia="仿宋_GB2312"/>
          <w:sz w:val="32"/>
          <w:szCs w:val="24"/>
        </w:rPr>
        <w:t>,与上年相比，</w:t>
      </w:r>
      <w:r>
        <w:rPr>
          <w:rFonts w:hint="eastAsia" w:ascii="仿宋_GB2312" w:eastAsia="仿宋_GB2312"/>
          <w:sz w:val="32"/>
          <w:szCs w:val="24"/>
          <w:lang w:eastAsia="zh-CN"/>
        </w:rPr>
        <w:t>减少</w:t>
      </w:r>
      <w:r>
        <w:rPr>
          <w:rFonts w:hint="eastAsia" w:ascii="仿宋_GB2312" w:eastAsia="仿宋_GB2312"/>
          <w:sz w:val="32"/>
          <w:szCs w:val="24"/>
          <w:lang w:val="en-US" w:eastAsia="zh-CN"/>
        </w:rPr>
        <w:t>390.46万</w:t>
      </w:r>
      <w:r>
        <w:rPr>
          <w:rFonts w:hint="eastAsia" w:ascii="仿宋_GB2312" w:eastAsia="仿宋_GB2312"/>
          <w:sz w:val="32"/>
          <w:szCs w:val="24"/>
        </w:rPr>
        <w:t>元，</w:t>
      </w:r>
      <w:r>
        <w:rPr>
          <w:rFonts w:hint="eastAsia" w:ascii="仿宋_GB2312" w:eastAsia="仿宋_GB2312"/>
          <w:sz w:val="32"/>
          <w:szCs w:val="24"/>
          <w:lang w:eastAsia="zh-CN"/>
        </w:rPr>
        <w:t>降低</w:t>
      </w:r>
      <w:r>
        <w:rPr>
          <w:rFonts w:hint="eastAsia" w:ascii="仿宋_GB2312" w:eastAsia="仿宋_GB2312"/>
          <w:sz w:val="32"/>
          <w:szCs w:val="24"/>
          <w:lang w:val="en-US" w:eastAsia="zh-CN"/>
        </w:rPr>
        <w:t>15.27</w:t>
      </w:r>
      <w:r>
        <w:rPr>
          <w:rFonts w:hint="eastAsia" w:ascii="仿宋_GB2312" w:eastAsia="仿宋_GB2312"/>
          <w:sz w:val="32"/>
          <w:szCs w:val="24"/>
        </w:rPr>
        <w:t>%，增减变化主要原因是：本年度</w:t>
      </w:r>
      <w:r>
        <w:rPr>
          <w:rFonts w:hint="eastAsia" w:ascii="仿宋_GB2312" w:eastAsia="仿宋_GB2312"/>
          <w:sz w:val="32"/>
          <w:szCs w:val="24"/>
          <w:lang w:val="en-US" w:eastAsia="zh-CN"/>
        </w:rPr>
        <w:t>其他</w:t>
      </w:r>
      <w:r>
        <w:rPr>
          <w:rFonts w:hint="eastAsia" w:ascii="仿宋_GB2312" w:eastAsia="仿宋_GB2312"/>
          <w:sz w:val="32"/>
          <w:szCs w:val="24"/>
        </w:rPr>
        <w:t>收入</w:t>
      </w:r>
      <w:r>
        <w:rPr>
          <w:rFonts w:hint="eastAsia" w:ascii="仿宋_GB2312" w:eastAsia="仿宋_GB2312"/>
          <w:sz w:val="32"/>
          <w:szCs w:val="24"/>
          <w:lang w:eastAsia="zh-CN"/>
        </w:rPr>
        <w:t>减少单位节约资源，严格控制经费支出。</w:t>
      </w:r>
      <w:r>
        <w:rPr>
          <w:rFonts w:hint="eastAsia" w:ascii="仿宋_GB2312" w:eastAsia="仿宋_GB2312"/>
          <w:sz w:val="32"/>
          <w:szCs w:val="24"/>
        </w:rPr>
        <w:t>支出</w:t>
      </w:r>
      <w:r>
        <w:rPr>
          <w:rFonts w:hint="eastAsia" w:ascii="仿宋_GB2312" w:eastAsia="仿宋_GB2312"/>
          <w:sz w:val="32"/>
          <w:szCs w:val="24"/>
          <w:lang w:val="en-US" w:eastAsia="zh-CN"/>
        </w:rPr>
        <w:t>2331.90万</w:t>
      </w:r>
      <w:r>
        <w:rPr>
          <w:rFonts w:hint="eastAsia" w:ascii="仿宋_GB2312" w:eastAsia="仿宋_GB2312"/>
          <w:sz w:val="32"/>
          <w:szCs w:val="24"/>
          <w:lang w:eastAsia="zh-CN"/>
        </w:rPr>
        <w:t>元</w:t>
      </w:r>
      <w:r>
        <w:rPr>
          <w:rFonts w:hint="eastAsia" w:ascii="仿宋_GB2312" w:eastAsia="仿宋_GB2312"/>
          <w:sz w:val="32"/>
          <w:szCs w:val="24"/>
        </w:rPr>
        <w:t>,与上年相比，</w:t>
      </w:r>
      <w:r>
        <w:rPr>
          <w:rFonts w:hint="eastAsia" w:ascii="仿宋_GB2312" w:eastAsia="仿宋_GB2312"/>
          <w:sz w:val="32"/>
          <w:szCs w:val="24"/>
          <w:lang w:eastAsia="zh-CN"/>
        </w:rPr>
        <w:t>减少</w:t>
      </w:r>
      <w:r>
        <w:rPr>
          <w:rFonts w:hint="eastAsia" w:ascii="仿宋_GB2312" w:eastAsia="仿宋_GB2312"/>
          <w:sz w:val="32"/>
          <w:szCs w:val="24"/>
          <w:lang w:val="en-US" w:eastAsia="zh-CN"/>
        </w:rPr>
        <w:t>63.46万</w:t>
      </w:r>
      <w:r>
        <w:rPr>
          <w:rFonts w:hint="eastAsia" w:ascii="仿宋_GB2312" w:eastAsia="仿宋_GB2312"/>
          <w:sz w:val="32"/>
          <w:szCs w:val="24"/>
          <w:lang w:eastAsia="zh-CN"/>
        </w:rPr>
        <w:t>元</w:t>
      </w:r>
      <w:r>
        <w:rPr>
          <w:rFonts w:hint="eastAsia" w:ascii="仿宋_GB2312" w:eastAsia="仿宋_GB2312"/>
          <w:sz w:val="32"/>
          <w:szCs w:val="24"/>
        </w:rPr>
        <w:t>，</w:t>
      </w:r>
      <w:r>
        <w:rPr>
          <w:rFonts w:hint="eastAsia" w:ascii="仿宋_GB2312" w:eastAsia="仿宋_GB2312"/>
          <w:sz w:val="32"/>
          <w:szCs w:val="24"/>
          <w:lang w:eastAsia="zh-CN"/>
        </w:rPr>
        <w:t>降低</w:t>
      </w:r>
      <w:r>
        <w:rPr>
          <w:rFonts w:hint="eastAsia" w:ascii="仿宋_GB2312" w:eastAsia="仿宋_GB2312"/>
          <w:sz w:val="32"/>
          <w:szCs w:val="24"/>
          <w:lang w:val="en-US" w:eastAsia="zh-CN"/>
        </w:rPr>
        <w:t>26.49</w:t>
      </w:r>
      <w:r>
        <w:rPr>
          <w:rFonts w:hint="eastAsia" w:ascii="仿宋_GB2312" w:eastAsia="仿宋_GB2312"/>
          <w:sz w:val="32"/>
          <w:szCs w:val="24"/>
        </w:rPr>
        <w:t>%，增减变化主要原因是：本年度</w:t>
      </w:r>
      <w:r>
        <w:rPr>
          <w:rFonts w:hint="eastAsia" w:ascii="仿宋_GB2312" w:eastAsia="仿宋_GB2312"/>
          <w:sz w:val="32"/>
          <w:szCs w:val="24"/>
          <w:lang w:val="en-US" w:eastAsia="zh-CN"/>
        </w:rPr>
        <w:t>其他</w:t>
      </w:r>
      <w:r>
        <w:rPr>
          <w:rFonts w:hint="eastAsia" w:ascii="仿宋_GB2312" w:eastAsia="仿宋_GB2312"/>
          <w:sz w:val="32"/>
          <w:szCs w:val="24"/>
        </w:rPr>
        <w:t>收入</w:t>
      </w:r>
      <w:r>
        <w:rPr>
          <w:rFonts w:hint="eastAsia" w:ascii="仿宋_GB2312" w:eastAsia="仿宋_GB2312"/>
          <w:sz w:val="32"/>
          <w:szCs w:val="24"/>
          <w:lang w:eastAsia="zh-CN"/>
        </w:rPr>
        <w:t>减少单位节约资源。</w:t>
      </w:r>
      <w:r>
        <w:rPr>
          <w:rFonts w:hint="eastAsia" w:ascii="仿宋_GB2312" w:eastAsia="仿宋_GB2312"/>
          <w:sz w:val="32"/>
          <w:szCs w:val="24"/>
        </w:rPr>
        <w:t>结余27</w:t>
      </w:r>
      <w:r>
        <w:rPr>
          <w:rFonts w:hint="eastAsia" w:ascii="仿宋_GB2312" w:eastAsia="仿宋_GB2312"/>
          <w:sz w:val="32"/>
          <w:szCs w:val="24"/>
          <w:lang w:val="en-US" w:eastAsia="zh-CN"/>
        </w:rPr>
        <w:t>.</w:t>
      </w:r>
      <w:r>
        <w:rPr>
          <w:rFonts w:hint="eastAsia" w:ascii="仿宋_GB2312" w:eastAsia="仿宋_GB2312"/>
          <w:sz w:val="32"/>
          <w:szCs w:val="24"/>
        </w:rPr>
        <w:t>99</w:t>
      </w:r>
      <w:r>
        <w:rPr>
          <w:rFonts w:hint="eastAsia" w:ascii="仿宋_GB2312" w:eastAsia="仿宋_GB2312"/>
          <w:sz w:val="32"/>
          <w:szCs w:val="24"/>
          <w:lang w:eastAsia="zh-CN"/>
        </w:rPr>
        <w:t>万元</w:t>
      </w:r>
      <w:r>
        <w:rPr>
          <w:rFonts w:hint="eastAsia" w:ascii="仿宋_GB2312" w:eastAsia="仿宋_GB2312"/>
          <w:sz w:val="32"/>
          <w:szCs w:val="24"/>
        </w:rPr>
        <w:t>，与上年相比，</w:t>
      </w:r>
      <w:r>
        <w:rPr>
          <w:rFonts w:hint="eastAsia" w:ascii="仿宋_GB2312" w:eastAsia="仿宋_GB2312"/>
          <w:sz w:val="32"/>
          <w:szCs w:val="24"/>
          <w:lang w:eastAsia="zh-CN"/>
        </w:rPr>
        <w:t>减少</w:t>
      </w:r>
      <w:r>
        <w:rPr>
          <w:rFonts w:hint="eastAsia" w:ascii="仿宋_GB2312" w:eastAsia="仿宋_GB2312"/>
          <w:sz w:val="32"/>
          <w:szCs w:val="24"/>
          <w:lang w:val="en-US" w:eastAsia="zh-CN"/>
        </w:rPr>
        <w:t>165.37万</w:t>
      </w:r>
      <w:r>
        <w:rPr>
          <w:rFonts w:hint="eastAsia" w:ascii="仿宋_GB2312" w:eastAsia="仿宋_GB2312"/>
          <w:sz w:val="32"/>
          <w:szCs w:val="24"/>
          <w:lang w:eastAsia="zh-CN"/>
        </w:rPr>
        <w:t>元</w:t>
      </w:r>
      <w:r>
        <w:rPr>
          <w:rFonts w:hint="eastAsia" w:ascii="仿宋_GB2312" w:eastAsia="仿宋_GB2312"/>
          <w:sz w:val="32"/>
          <w:szCs w:val="24"/>
        </w:rPr>
        <w:t>，</w:t>
      </w:r>
      <w:r>
        <w:rPr>
          <w:rFonts w:hint="eastAsia" w:ascii="仿宋_GB2312" w:eastAsia="仿宋_GB2312"/>
          <w:sz w:val="32"/>
          <w:szCs w:val="24"/>
          <w:lang w:eastAsia="zh-CN"/>
        </w:rPr>
        <w:t>降低</w:t>
      </w:r>
      <w:r>
        <w:rPr>
          <w:rFonts w:hint="eastAsia" w:ascii="仿宋_GB2312" w:eastAsia="仿宋_GB2312"/>
          <w:sz w:val="32"/>
          <w:szCs w:val="24"/>
          <w:lang w:val="en-US" w:eastAsia="zh-CN"/>
        </w:rPr>
        <w:t>85.52</w:t>
      </w:r>
      <w:r>
        <w:rPr>
          <w:rFonts w:hint="eastAsia" w:ascii="仿宋_GB2312" w:eastAsia="仿宋_GB2312"/>
          <w:sz w:val="32"/>
          <w:szCs w:val="24"/>
        </w:rPr>
        <w:t>%。增减变化主要原因是：本年度</w:t>
      </w:r>
      <w:r>
        <w:rPr>
          <w:rFonts w:hint="eastAsia" w:ascii="仿宋_GB2312" w:eastAsia="仿宋_GB2312"/>
          <w:sz w:val="32"/>
          <w:szCs w:val="24"/>
          <w:lang w:val="en-US" w:eastAsia="zh-CN"/>
        </w:rPr>
        <w:t>其他</w:t>
      </w:r>
      <w:r>
        <w:rPr>
          <w:rFonts w:hint="eastAsia" w:ascii="仿宋_GB2312" w:eastAsia="仿宋_GB2312"/>
          <w:sz w:val="32"/>
          <w:szCs w:val="24"/>
        </w:rPr>
        <w:t>收入</w:t>
      </w:r>
      <w:r>
        <w:rPr>
          <w:rFonts w:hint="eastAsia" w:ascii="仿宋_GB2312" w:eastAsia="仿宋_GB2312"/>
          <w:sz w:val="32"/>
          <w:szCs w:val="24"/>
          <w:lang w:eastAsia="zh-CN"/>
        </w:rPr>
        <w:t>减少单位节约资源，</w:t>
      </w:r>
      <w:r>
        <w:rPr>
          <w:rFonts w:hint="eastAsia" w:ascii="仿宋_GB2312" w:eastAsia="仿宋_GB2312"/>
          <w:sz w:val="32"/>
          <w:szCs w:val="24"/>
          <w:lang w:val="en-US" w:eastAsia="zh-CN"/>
        </w:rPr>
        <w:t>严格控制经费支出。</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eastAsia="楷体_GB2312"/>
          <w:b/>
          <w:sz w:val="32"/>
          <w:szCs w:val="24"/>
        </w:rPr>
      </w:pPr>
      <w:r>
        <w:rPr>
          <w:rFonts w:hint="eastAsia" w:ascii="楷体_GB2312" w:eastAsia="楷体_GB2312"/>
          <w:b/>
          <w:sz w:val="32"/>
          <w:szCs w:val="24"/>
        </w:rPr>
        <w:t xml:space="preserve">（二）部门收入总体情况说明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 本年收入合计2166.53万元，其中：财政拨款收入1998.40万元，占92.24%；上级补助收入0万元，占0%；事业收入0万元，占0%；经营收入0万元，占0%；附属单位缴款0万元，占0%，其他收入168.13万元，占7.76%。</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与年初预算数相比情况：本年收入年初预算数964.79万元，决算数2166.53万元，预决算差异率124%，差异主要原因为本年预算追加。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eastAsia="楷体_GB2312"/>
          <w:b/>
          <w:sz w:val="32"/>
          <w:szCs w:val="24"/>
        </w:rPr>
      </w:pPr>
      <w:r>
        <w:rPr>
          <w:rFonts w:hint="eastAsia" w:ascii="楷体_GB2312" w:eastAsia="楷体_GB2312"/>
          <w:b/>
          <w:sz w:val="32"/>
          <w:szCs w:val="24"/>
        </w:rPr>
        <w:t xml:space="preserve">（三）部门支出总体情况说明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本年支出合计2331.90万元，其中：基本支出2257.90万元，占96.83%；项目支出74万元，占3.17%；上缴上级支出0万元，占0%；经营支出0万元，占0%；对附属单位补助支出0万元，占0%。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与年初预算数相比情况：本年支出年初预算数964.79万元，决算数2331.90万元，预决算差异率141.7%，差异主要原因年度预算追加并已实际支出。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b w:val="0"/>
          <w:bCs/>
          <w:sz w:val="32"/>
          <w:szCs w:val="24"/>
        </w:rPr>
      </w:pPr>
      <w:r>
        <w:rPr>
          <w:rFonts w:hint="eastAsia" w:ascii="黑体" w:hAnsi="黑体" w:eastAsia="黑体" w:cs="黑体"/>
          <w:b w:val="0"/>
          <w:bCs/>
          <w:sz w:val="32"/>
          <w:szCs w:val="24"/>
        </w:rPr>
        <w:t xml:space="preserve">二、部门财政拨款收支情况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eastAsia="楷体_GB2312"/>
          <w:b/>
          <w:sz w:val="32"/>
          <w:szCs w:val="24"/>
        </w:rPr>
      </w:pPr>
      <w:r>
        <w:rPr>
          <w:rFonts w:hint="eastAsia" w:ascii="楷体_GB2312" w:eastAsia="楷体_GB2312"/>
          <w:b/>
          <w:sz w:val="32"/>
          <w:szCs w:val="24"/>
        </w:rPr>
        <w:t xml:space="preserve">（一）财政拨款收支总体情况说明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2018年度财政拨款收入1998.40万元，与上年相比，增加113.34万元，增长6.01%。增减变化的主要原因是：单位职工工资增加、新增人员工资等。财政拨款支出1998.40万元，与上年相比，增加113.34万元，增长6.01%，增减变化的主要原因是：单位职工工资增加、村级运转经费增加、新增人员工资等。其中：基本支出1924.40万元，项目支出74万元。财政拨款结转结余0万元，与上年相比，增加0万元，增长0%，增减变化的主要原因是：财政拨款无结余。</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与年初预算数相比情况：财政拨款收入年初预算数964.79万元，决算数1998.40万元，预决算差异率107.13%，差异主要原因年度项目预算金额增加。财政拨款支出年初预算数964.79万元，决算数1998.40万元，预决算差异率107.13%，差异主要原因年度项目预算金额增加。 </w:t>
      </w:r>
    </w:p>
    <w:p>
      <w:pPr>
        <w:keepNext w:val="0"/>
        <w:keepLines w:val="0"/>
        <w:pageBreakBefore w:val="0"/>
        <w:kinsoku/>
        <w:wordWrap/>
        <w:overflowPunct/>
        <w:topLinePunct w:val="0"/>
        <w:autoSpaceDE/>
        <w:autoSpaceDN/>
        <w:bidi w:val="0"/>
        <w:adjustRightInd/>
        <w:snapToGrid/>
        <w:spacing w:line="540" w:lineRule="exact"/>
        <w:ind w:firstLine="321" w:firstLineChars="100"/>
        <w:textAlignment w:val="auto"/>
        <w:outlineLvl w:val="9"/>
        <w:rPr>
          <w:rFonts w:hint="eastAsia" w:ascii="楷体_GB2312" w:eastAsia="楷体_GB2312"/>
          <w:b/>
          <w:sz w:val="32"/>
          <w:szCs w:val="24"/>
        </w:rPr>
      </w:pPr>
      <w:r>
        <w:rPr>
          <w:rFonts w:hint="eastAsia" w:ascii="楷体_GB2312" w:eastAsia="楷体_GB2312"/>
          <w:b/>
          <w:sz w:val="32"/>
          <w:szCs w:val="24"/>
          <w:lang w:val="en-US" w:eastAsia="zh-CN"/>
        </w:rPr>
        <w:t xml:space="preserve">  </w:t>
      </w:r>
      <w:r>
        <w:rPr>
          <w:rFonts w:hint="eastAsia" w:ascii="楷体_GB2312" w:eastAsia="楷体_GB2312"/>
          <w:b/>
          <w:sz w:val="32"/>
          <w:szCs w:val="24"/>
        </w:rPr>
        <w:t>（二）一般公共预算</w:t>
      </w:r>
      <w:r>
        <w:rPr>
          <w:rFonts w:hint="eastAsia" w:ascii="楷体_GB2312" w:eastAsia="楷体_GB2312"/>
          <w:b/>
          <w:sz w:val="32"/>
          <w:szCs w:val="24"/>
          <w:lang w:eastAsia="zh-CN"/>
        </w:rPr>
        <w:t>收</w:t>
      </w:r>
      <w:r>
        <w:rPr>
          <w:rFonts w:hint="eastAsia" w:ascii="楷体_GB2312" w:eastAsia="楷体_GB2312"/>
          <w:b/>
          <w:sz w:val="32"/>
          <w:szCs w:val="24"/>
        </w:rPr>
        <w:t xml:space="preserve">支决算情况说明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default" w:ascii="仿宋_GB2312" w:eastAsia="仿宋_GB2312"/>
          <w:sz w:val="32"/>
          <w:szCs w:val="24"/>
          <w:lang w:val="en-US" w:eastAsia="zh-CN"/>
        </w:rPr>
      </w:pPr>
      <w:r>
        <w:rPr>
          <w:rFonts w:hint="eastAsia" w:ascii="仿宋_GB2312" w:eastAsia="仿宋_GB2312"/>
          <w:sz w:val="32"/>
          <w:szCs w:val="24"/>
          <w:lang w:val="en-US" w:eastAsia="zh-CN"/>
        </w:rPr>
        <w:t>2018年度一般公共预算财政拨款收入1998.40万元。与上年相比，增加136.82万元，增长7.34%。增减变化的主要原因是：单位职工工资增加、村级运转经费增加、新增人员工资等。一般公共预算财政拨款支出1998.40万元。与上年相比，增加136.62万元，增长7.34%。增减变化的主要原因是：单位职工工资增加、村级运转经费增加、新增人员工资等。其中：按功能分类科目，201一般公共服务支出1022.91万元，207文化体育与传媒支出20.71万元，208社会保障和就业支出83.94万元，210医疗卫生与计划生育支出83.15万元，212城乡社区支出58.09万元，213农林水支出713.49万元，229其他支出16.11万元。按经济分类科目，工资福利支出662.37万元；个人和家庭补助支出728.33万元；商品和服务支出533.71万元。</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与年初预算数相比情况：一般公共预算财政拨款收入年初预算数964.79万元，决算数1998.40万元，预决算差异率107.13%，差异主要原因年度项目支出增加，人员调资。一般公共预算财政拨款支出年初预算数964.79万元，决算数1998.40万元，预决算差异率107.13%，差异主要原因年度项目支出增加，人员调资。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eastAsia="楷体_GB2312"/>
          <w:b/>
          <w:sz w:val="32"/>
          <w:szCs w:val="24"/>
        </w:rPr>
      </w:pPr>
      <w:r>
        <w:rPr>
          <w:rFonts w:hint="eastAsia" w:ascii="楷体_GB2312" w:eastAsia="楷体_GB2312"/>
          <w:b/>
          <w:sz w:val="32"/>
          <w:szCs w:val="24"/>
        </w:rPr>
        <w:t xml:space="preserve">（三）政府性基金预算收支决算情况说明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2018年度政府性基金预算财政拨款收入0万元，与上年相比,减少23.28万元，降低100%。增减变化的主要原因是：本年无政府性基金预算财政拨款。政府性基金预算财政拨款支出0万元，与上年相比，减少23.28万元，降低100%。增减变化的主要原因是：本年无政府性基金预算财政拨款。其中：按功能分类科目，支出0万元。按经济分类科目，支出0万元。</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与年初预算数相比情况：政府性基金预算财政拨款收入年初预算数0万元，决算数0万元，预决算差异率0%，差异主要原因无差异。政府性基金预算财政拨款支出年初预算数0万元，决算数0万元，预决算差异率0%，差异主要原因无差异。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楷体_GB2312" w:eastAsia="楷体_GB2312"/>
          <w:b/>
          <w:sz w:val="32"/>
          <w:szCs w:val="24"/>
        </w:rPr>
      </w:pPr>
      <w:r>
        <w:rPr>
          <w:rFonts w:hint="eastAsia" w:ascii="黑体" w:hAnsi="黑体" w:eastAsia="黑体" w:cs="黑体"/>
          <w:b w:val="0"/>
          <w:bCs/>
          <w:sz w:val="32"/>
          <w:szCs w:val="24"/>
        </w:rPr>
        <w:t xml:space="preserve">三、部门结转结余情况 </w:t>
      </w:r>
      <w:r>
        <w:rPr>
          <w:rFonts w:hint="eastAsia" w:ascii="楷体_GB2312" w:eastAsia="楷体_GB2312"/>
          <w:b/>
          <w:sz w:val="32"/>
          <w:szCs w:val="24"/>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 年末结转结余27.99万元。与上年相比，减少165.37万元，降低85.52%。</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 其中财政拨款结转结余0万元，与上年相比，增加0万元，增长0%。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楷体_GB2312" w:eastAsia="楷体_GB2312"/>
          <w:b/>
          <w:sz w:val="32"/>
          <w:szCs w:val="24"/>
        </w:rPr>
      </w:pPr>
      <w:r>
        <w:rPr>
          <w:rFonts w:hint="eastAsia" w:ascii="黑体" w:hAnsi="黑体" w:eastAsia="黑体" w:cs="黑体"/>
          <w:b w:val="0"/>
          <w:bCs/>
          <w:sz w:val="32"/>
          <w:szCs w:val="24"/>
        </w:rPr>
        <w:t>四、一般公共预算“三公”经费支出情况</w:t>
      </w:r>
      <w:r>
        <w:rPr>
          <w:rFonts w:hint="eastAsia" w:ascii="楷体_GB2312" w:eastAsia="楷体_GB2312"/>
          <w:b/>
          <w:sz w:val="32"/>
          <w:szCs w:val="24"/>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2018年度一般公共预算“三公”经费支出决算10.54万元，比上年减少0.05万元，降低0.50%，减少原因是压缩“三公”经费支出。其中，因公出国（境）费支出0万元，占0%，比上年减少0万元，降低0%，减少原因是压缩三公经费；公务用车购置及运行维护费支出10.54万元，占100%，比上年增加1万元，增长10.93%，增加原因是本年业务量加大；公务接待费支出0万元，占0%，比上年减少1.05万元，降低100%，减少原因是压缩“三公”经费支出。具体情况如下：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因公出国（境）费支出0万元，吉木萨尔县北庭镇人民政府全年使用一般公共预算财政拨款安排的出国（境）团组0个，累计0人次。开支内容包括：无因公出国（境）费。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公务用车购置及运行维护费10.54万元,其中，公务用车购置0万元，公务用车运行维护费10.54万元。主要用于油费、过路费及维修费等。单位一般公共财政拨款安排的公务用车购置量0辆，保有量为11辆。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公务接待费0万元。具体是：国内公务接待支出0万元，主要是无国内公务接待。国内公务接待0批次，0人次。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与年初预算数相比情况：一般公共预算“三公”经费支出年初预算数11万元，决算数10.54万元，预决算差异率-4.18%，差异主要原因厉行节约，三公经费逐年递减。其中：因公出国（境）费预算数0万元，决算数0万元，预决算差异率0%，差异主要原因无因公出国（境）费；公务用车购置预算数0万元，决算数0万元，预决算差异率0%，差异主要原因无公务用车购置；公务用车运行费预算数11万元，决算数10.54万元，预决算差异率-4.18%，差异主要原因厉行节约，三公经费逐年递减；公务接待费预算数0万元，决算数0万元，预决算差异率0%，差异主要原因本年公务接待都在单位食堂。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b w:val="0"/>
          <w:bCs/>
          <w:sz w:val="32"/>
          <w:szCs w:val="24"/>
        </w:rPr>
      </w:pPr>
      <w:r>
        <w:rPr>
          <w:rFonts w:hint="eastAsia" w:ascii="黑体" w:hAnsi="黑体" w:eastAsia="黑体" w:cs="黑体"/>
          <w:b w:val="0"/>
          <w:bCs/>
          <w:sz w:val="32"/>
          <w:szCs w:val="24"/>
          <w:lang w:eastAsia="zh-CN"/>
        </w:rPr>
        <w:t>五、</w:t>
      </w:r>
      <w:r>
        <w:rPr>
          <w:rFonts w:hint="eastAsia" w:ascii="黑体" w:hAnsi="黑体" w:eastAsia="黑体" w:cs="黑体"/>
          <w:b w:val="0"/>
          <w:bCs/>
          <w:sz w:val="32"/>
          <w:szCs w:val="24"/>
        </w:rPr>
        <w:t xml:space="preserve">机关运行经费支出情况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2018年度吉木萨尔县北庭镇人民政府机关运行经费支出533.71万元，比上年增加411.39万元，增长336.3%，主要原因是本年机关运行支出增大，村级运转经费增加。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b w:val="0"/>
          <w:bCs/>
          <w:sz w:val="32"/>
          <w:szCs w:val="24"/>
          <w:lang w:eastAsia="zh-CN"/>
        </w:rPr>
      </w:pPr>
      <w:r>
        <w:rPr>
          <w:rFonts w:hint="eastAsia" w:ascii="黑体" w:hAnsi="黑体" w:eastAsia="黑体" w:cs="黑体"/>
          <w:b w:val="0"/>
          <w:bCs/>
          <w:sz w:val="32"/>
          <w:szCs w:val="24"/>
          <w:lang w:eastAsia="zh-CN"/>
        </w:rPr>
        <w:t xml:space="preserve">六、政府采购情况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2018年度政府采购支出总额771.51万元，其中：政府采购货物支出62.61万元、政府采购工程支出654.99万元、政府采购服务支出53.9万元。</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b w:val="0"/>
          <w:bCs/>
          <w:sz w:val="32"/>
          <w:szCs w:val="24"/>
          <w:lang w:eastAsia="zh-CN"/>
        </w:rPr>
      </w:pPr>
      <w:r>
        <w:rPr>
          <w:rFonts w:hint="eastAsia" w:ascii="黑体" w:hAnsi="黑体" w:eastAsia="黑体" w:cs="黑体"/>
          <w:b w:val="0"/>
          <w:bCs/>
          <w:sz w:val="32"/>
          <w:szCs w:val="24"/>
          <w:lang w:eastAsia="zh-CN"/>
        </w:rPr>
        <w:t xml:space="preserve">七、其他重要事项的情况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eastAsia="楷体_GB2312"/>
          <w:b/>
          <w:sz w:val="32"/>
          <w:szCs w:val="24"/>
          <w:lang w:eastAsia="zh-CN"/>
        </w:rPr>
      </w:pPr>
      <w:r>
        <w:rPr>
          <w:rFonts w:hint="eastAsia" w:ascii="楷体_GB2312" w:eastAsia="楷体_GB2312"/>
          <w:b/>
          <w:sz w:val="32"/>
          <w:szCs w:val="24"/>
          <w:lang w:eastAsia="zh-CN"/>
        </w:rPr>
        <w:t xml:space="preserve">（一）国有资产占用情况说明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截至2018年12月31日，单位共有车辆11辆，价值131.48万元，其中：部级领导干部用车0辆、主要领导干部用车8辆、机要通信用车0辆、应急保障用车0辆、执法执勤用车3辆、特种专业技术用车0辆、离退休干部用车0辆、其他用车0辆，其他用车主要是：垃圾车、消防车、洒水车；单位价值50万元以上通用设备0台（套）、单位价值100万元以上专用设备0台（套）。</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eastAsia="楷体_GB2312"/>
          <w:b/>
          <w:sz w:val="32"/>
          <w:szCs w:val="24"/>
          <w:lang w:eastAsia="zh-CN"/>
        </w:rPr>
      </w:pPr>
      <w:r>
        <w:rPr>
          <w:rFonts w:hint="eastAsia" w:ascii="楷体_GB2312" w:eastAsia="楷体_GB2312"/>
          <w:b/>
          <w:sz w:val="32"/>
          <w:szCs w:val="24"/>
          <w:lang w:eastAsia="zh-CN"/>
        </w:rPr>
        <w:t xml:space="preserve">（二）预算绩效情况的说明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2018年度，本部门单位预算绩效自评情况：自述有关预算绩效管理和绩效自评开展情况。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  东二畦路灯项目绩效自评综述：根据年初设定的绩效目标，东二畦路灯项目绩效自评得分为88分。项目全年预算数为45万元，执行数为45万元，完成预算的100%。主要产出和效果：一是新修东二畦大庄子村、夹心村、上东二畦村、冉家湖村、下东二畦村五个村民小组的文化室周边安装太阳能路灯100盏路灯（灯杆高6米，灯源40瓦）；二是提高人居环境及村民夜间出行安全。发现的问题及原因：一是由于资金缺乏，无法更多的解决村民的人居生活环境问题。下一步改进措施：一是后续我镇将继续争取项目资金，解决村民的生活问题，提高村民的安全保障。</w:t>
      </w:r>
    </w:p>
    <w:tbl>
      <w:tblPr>
        <w:tblStyle w:val="3"/>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ind w:firstLine="2249" w:firstLineChars="700"/>
              <w:jc w:val="both"/>
              <w:textAlignment w:val="auto"/>
              <w:outlineLvl w:val="9"/>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r>
              <w:rPr>
                <w:rFonts w:hint="eastAsia" w:ascii="宋体" w:hAnsi="宋体" w:cs="宋体"/>
                <w:kern w:val="0"/>
                <w:sz w:val="24"/>
              </w:rPr>
              <w:t>（</w:t>
            </w:r>
            <w:r>
              <w:rPr>
                <w:rFonts w:hint="eastAsia"/>
                <w:kern w:val="0"/>
                <w:sz w:val="24"/>
                <w:lang w:val="en-US" w:eastAsia="zh-CN"/>
              </w:rPr>
              <w:t>2018</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1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3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0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20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default" w:ascii="宋体" w:hAnsi="宋体" w:eastAsia="宋体" w:cs="宋体"/>
                <w:kern w:val="0"/>
                <w:sz w:val="24"/>
                <w:lang w:val="en-US" w:eastAsia="zh-CN"/>
              </w:rPr>
            </w:pPr>
            <w:r>
              <w:rPr>
                <w:rFonts w:hint="eastAsia" w:ascii="宋体" w:hAnsi="宋体" w:cs="宋体"/>
                <w:kern w:val="0"/>
                <w:sz w:val="24"/>
                <w:lang w:val="en-US" w:eastAsia="zh-CN"/>
              </w:rPr>
              <w:t>单位:万元</w:t>
            </w:r>
          </w:p>
        </w:tc>
        <w:tc>
          <w:tcPr>
            <w:tcW w:w="17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eastAsia="宋体" w:cs="宋体"/>
                <w:kern w:val="0"/>
                <w:sz w:val="20"/>
                <w:szCs w:val="20"/>
                <w:lang w:eastAsia="zh-CN"/>
              </w:rPr>
              <w:t>东二畦路灯建设项目</w:t>
            </w:r>
            <w:r>
              <w:rPr>
                <w:rFonts w:hint="eastAsia" w:ascii="宋体" w:hAnsi="宋体" w:cs="宋体"/>
                <w:kern w:val="0"/>
                <w:sz w:val="20"/>
                <w:szCs w:val="20"/>
                <w:lang w:eastAsia="zh-CN"/>
              </w:rPr>
              <w:t>村级一事一议补助（</w:t>
            </w:r>
            <w:r>
              <w:rPr>
                <w:rFonts w:hint="eastAsia" w:ascii="宋体" w:hAnsi="宋体" w:cs="宋体"/>
                <w:kern w:val="0"/>
                <w:sz w:val="20"/>
                <w:szCs w:val="20"/>
                <w:lang w:val="en-US" w:eastAsia="zh-CN"/>
              </w:rPr>
              <w:t>2130701款</w:t>
            </w:r>
            <w:r>
              <w:rPr>
                <w:rFonts w:hint="eastAsia" w:ascii="宋体" w:hAnsi="宋体" w:cs="宋体"/>
                <w:kern w:val="0"/>
                <w:sz w:val="20"/>
                <w:szCs w:val="20"/>
                <w:lang w:eastAsia="zh-CN"/>
              </w:rPr>
              <w:t>）</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eastAsia="zh-CN"/>
              </w:rPr>
              <w:t>吉木萨尔镇人民政府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val="en-US" w:eastAsia="zh-CN"/>
              </w:rPr>
              <w:t>45</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val="en-US" w:eastAsia="zh-CN"/>
              </w:rPr>
              <w:t>45</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val="en-US" w:eastAsia="zh-CN"/>
              </w:rPr>
              <w:t>45</w:t>
            </w:r>
          </w:p>
        </w:tc>
        <w:tc>
          <w:tcPr>
            <w:tcW w:w="206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val="en-US" w:eastAsia="zh-CN"/>
              </w:rPr>
              <w:t>45</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140"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vAlign w:val="top"/>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　</w:t>
            </w:r>
          </w:p>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新修东二畦大庄子村、夹心村、上东二畦村、冉家湖村、下东二畦村五个村民小组的文化室周边安装太阳能路灯</w:t>
            </w:r>
            <w:r>
              <w:rPr>
                <w:rFonts w:hint="eastAsia" w:ascii="宋体" w:hAnsi="宋体" w:eastAsia="宋体" w:cs="宋体"/>
                <w:kern w:val="0"/>
                <w:sz w:val="20"/>
                <w:szCs w:val="20"/>
                <w:lang w:val="en-US" w:eastAsia="zh-CN"/>
              </w:rPr>
              <w:t>100盏路灯（灯杆高6米，灯源40瓦），提高村民人居环境及夜间出行方便。</w:t>
            </w:r>
          </w:p>
        </w:tc>
        <w:tc>
          <w:tcPr>
            <w:tcW w:w="3840" w:type="dxa"/>
            <w:gridSpan w:val="2"/>
            <w:tcBorders>
              <w:top w:val="single" w:color="auto" w:sz="4" w:space="0"/>
              <w:left w:val="nil"/>
              <w:bottom w:val="single" w:color="auto" w:sz="4" w:space="0"/>
              <w:right w:val="single" w:color="000000" w:sz="4" w:space="0"/>
            </w:tcBorders>
            <w:vAlign w:val="top"/>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p>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val="en-US" w:eastAsia="zh-CN"/>
              </w:rPr>
              <w:t>安装完成</w:t>
            </w:r>
            <w:r>
              <w:rPr>
                <w:rFonts w:hint="eastAsia" w:ascii="宋体" w:hAnsi="宋体" w:cs="宋体"/>
                <w:kern w:val="0"/>
                <w:sz w:val="20"/>
                <w:szCs w:val="20"/>
                <w:lang w:eastAsia="zh-CN"/>
              </w:rPr>
              <w:t>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100盏路灯（灯杆高6米，灯源40瓦），提高村民人居环境及夜间出行方便。</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安装完成</w:t>
            </w:r>
            <w:r>
              <w:rPr>
                <w:rFonts w:hint="eastAsia" w:ascii="宋体" w:hAnsi="宋体" w:cs="宋体"/>
                <w:kern w:val="0"/>
                <w:sz w:val="20"/>
                <w:szCs w:val="20"/>
                <w:lang w:eastAsia="zh-CN"/>
              </w:rPr>
              <w:t>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100盏路灯（灯杆高6米，灯源40瓦），项目总投资47.13万元。提高村民人居环境及夜间出行方便。</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both"/>
              <w:textAlignment w:val="auto"/>
              <w:outlineLvl w:val="9"/>
              <w:rPr>
                <w:rFonts w:hint="eastAsia" w:ascii="宋体" w:hAnsi="宋体" w:cs="宋体"/>
                <w:kern w:val="0"/>
                <w:sz w:val="20"/>
                <w:szCs w:val="20"/>
              </w:rPr>
            </w:pPr>
            <w:r>
              <w:rPr>
                <w:rFonts w:hint="eastAsia" w:ascii="宋体" w:hAnsi="宋体" w:cs="宋体"/>
                <w:kern w:val="0"/>
                <w:sz w:val="20"/>
                <w:szCs w:val="20"/>
                <w:lang w:val="en-US" w:eastAsia="zh-CN"/>
              </w:rPr>
              <w:t>安装完成</w:t>
            </w:r>
            <w:r>
              <w:rPr>
                <w:rFonts w:hint="eastAsia" w:ascii="宋体" w:hAnsi="宋体" w:cs="宋体"/>
                <w:kern w:val="0"/>
                <w:sz w:val="20"/>
                <w:szCs w:val="20"/>
                <w:lang w:eastAsia="zh-CN"/>
              </w:rPr>
              <w:t>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100盏路灯（灯杆高6米，灯源40瓦），项目总投资47.13万元。提高村民人居环境及夜间出行方便。</w:t>
            </w:r>
          </w:p>
        </w:tc>
      </w:tr>
      <w:tr>
        <w:tblPrEx>
          <w:tblLayout w:type="fixed"/>
          <w:tblCellMar>
            <w:top w:w="0" w:type="dxa"/>
            <w:left w:w="108" w:type="dxa"/>
            <w:bottom w:w="0" w:type="dxa"/>
            <w:right w:w="108" w:type="dxa"/>
          </w:tblCellMar>
        </w:tblPrEx>
        <w:trPr>
          <w:trHeight w:val="435"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通过验收的工程总量</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通过验收的工程总量</w:t>
            </w: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预期完成量占计划完成量的</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实际完成量占计划完成量的</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lang w:eastAsia="zh-CN"/>
              </w:rPr>
            </w:pPr>
            <w:r>
              <w:rPr>
                <w:rFonts w:hint="eastAsia" w:ascii="宋体" w:hAnsi="宋体" w:cs="宋体"/>
                <w:kern w:val="0"/>
                <w:sz w:val="20"/>
                <w:szCs w:val="20"/>
                <w:lang w:eastAsia="zh-CN"/>
              </w:rPr>
              <w:t>解决了东二畦大庄子村、夹心村、上东二畦村、冉家湖村、下东二畦村五个村民小组的文化室周边安装太阳能路灯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100盏路灯（灯杆高6米，灯源40瓦）。提高村民人居环境及夜间出行方便。</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100盏路灯（灯杆高6米，灯源40瓦）。提高村民人居环境及夜间出行方便。</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100盏路灯（灯杆高6米，灯源40瓦）。提高村民人居环境及夜间出行方便。</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100盏路灯（灯杆高6米，灯源40瓦）。提高村民人居环境及夜间出行方便。</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100盏路灯（灯杆高6米，灯源40瓦）。提高村民人居环境及夜间出行方便。</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解决了东二畦大庄子村、夹心村、上东二畦村、冉家湖村、下东二畦村五个村民小组的文化室周边安装太阳能路灯</w:t>
            </w:r>
            <w:r>
              <w:rPr>
                <w:rFonts w:hint="eastAsia" w:ascii="宋体" w:hAnsi="宋体" w:cs="宋体"/>
                <w:kern w:val="0"/>
                <w:sz w:val="20"/>
                <w:szCs w:val="20"/>
                <w:lang w:val="en-US" w:eastAsia="zh-CN"/>
              </w:rPr>
              <w:t>100盏路灯（灯杆高6米，灯源40瓦）。提高村民人居环境及夜间出行方便。</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综合使用率</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综合使用率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both"/>
              <w:textAlignment w:val="auto"/>
              <w:outlineLvl w:val="9"/>
              <w:rPr>
                <w:rFonts w:ascii="宋体" w:hAnsi="宋体" w:cs="宋体"/>
                <w:kern w:val="0"/>
                <w:sz w:val="20"/>
                <w:szCs w:val="20"/>
              </w:rPr>
            </w:pPr>
            <w:r>
              <w:rPr>
                <w:rFonts w:hint="eastAsia" w:ascii="宋体" w:hAnsi="宋体" w:cs="宋体"/>
                <w:kern w:val="0"/>
                <w:sz w:val="20"/>
                <w:szCs w:val="20"/>
                <w:lang w:eastAsia="zh-CN"/>
              </w:rPr>
              <w:t>预期满意度</w:t>
            </w:r>
            <w:r>
              <w:rPr>
                <w:rFonts w:hint="eastAsia" w:ascii="宋体" w:hAnsi="宋体" w:cs="宋体"/>
                <w:kern w:val="0"/>
                <w:sz w:val="20"/>
                <w:szCs w:val="20"/>
                <w:lang w:val="en-US" w:eastAsia="zh-CN"/>
              </w:rPr>
              <w:t>100%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实际满意度</w:t>
            </w:r>
            <w:r>
              <w:rPr>
                <w:rFonts w:hint="eastAsia" w:ascii="宋体" w:hAnsi="宋体" w:cs="宋体"/>
                <w:kern w:val="0"/>
                <w:sz w:val="20"/>
                <w:szCs w:val="20"/>
                <w:lang w:val="en-US" w:eastAsia="zh-CN"/>
              </w:rPr>
              <w:t>100%</w:t>
            </w:r>
            <w:r>
              <w:rPr>
                <w:rFonts w:hint="eastAsia" w:ascii="宋体" w:hAnsi="宋体" w:cs="宋体"/>
                <w:kern w:val="0"/>
                <w:sz w:val="20"/>
                <w:szCs w:val="20"/>
              </w:rPr>
              <w:t>　</w:t>
            </w:r>
          </w:p>
        </w:tc>
      </w:tr>
    </w:tbl>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三场槽子幼儿园食堂及便民服务站项目绩效自评综述：根据年初设定的绩效目标，三场槽子幼儿园食堂及便民服务站项目绩效自评得分为86分。项目全年预算数为29万元，执行数为29万元，完成预算的100%。主要产出和效果：一是新修三场槽子村120平方米彩钢房幼儿园食堂，项目造价14万元；二是新修三场槽子村务站一座，项目造价15万元，面积120平方米，砖混结构。发现的问题及原因：一是由于资金缺乏，无法更多的解决农牧民生活实际的问题。下一步改进措施：一是后续我镇将继续争取项目资金，解决三场槽子牧民的生活问题。</w:t>
      </w:r>
    </w:p>
    <w:tbl>
      <w:tblPr>
        <w:tblStyle w:val="3"/>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ind w:firstLine="1606" w:firstLineChars="500"/>
              <w:jc w:val="both"/>
              <w:textAlignment w:val="auto"/>
              <w:outlineLvl w:val="9"/>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r>
              <w:rPr>
                <w:rFonts w:hint="eastAsia" w:ascii="宋体" w:hAnsi="宋体" w:cs="宋体"/>
                <w:kern w:val="0"/>
                <w:sz w:val="24"/>
              </w:rPr>
              <w:t>（</w:t>
            </w:r>
            <w:r>
              <w:rPr>
                <w:rFonts w:hint="eastAsia"/>
                <w:kern w:val="0"/>
                <w:sz w:val="24"/>
                <w:lang w:val="en-US" w:eastAsia="zh-CN"/>
              </w:rPr>
              <w:t>2018</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1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3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0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20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default" w:ascii="宋体" w:hAnsi="宋体" w:eastAsia="宋体" w:cs="宋体"/>
                <w:kern w:val="0"/>
                <w:sz w:val="24"/>
                <w:lang w:val="en-US" w:eastAsia="zh-CN"/>
              </w:rPr>
            </w:pPr>
            <w:r>
              <w:rPr>
                <w:rFonts w:hint="eastAsia" w:ascii="宋体" w:hAnsi="宋体" w:cs="宋体"/>
                <w:kern w:val="0"/>
                <w:sz w:val="24"/>
                <w:lang w:val="en-US" w:eastAsia="zh-CN"/>
              </w:rPr>
              <w:t>单位：万元</w:t>
            </w:r>
          </w:p>
        </w:tc>
        <w:tc>
          <w:tcPr>
            <w:tcW w:w="17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eastAsia="宋体" w:cs="宋体"/>
                <w:kern w:val="0"/>
                <w:sz w:val="20"/>
                <w:szCs w:val="20"/>
                <w:lang w:eastAsia="zh-CN"/>
              </w:rPr>
              <w:t>三场槽子牧业新村幼儿园食堂及</w:t>
            </w:r>
            <w:r>
              <w:rPr>
                <w:rFonts w:hint="eastAsia" w:ascii="宋体" w:hAnsi="宋体" w:eastAsia="宋体" w:cs="宋体"/>
                <w:kern w:val="0"/>
                <w:sz w:val="20"/>
                <w:szCs w:val="20"/>
                <w:lang w:val="en-US" w:eastAsia="zh-CN"/>
              </w:rPr>
              <w:t>村</w:t>
            </w:r>
            <w:r>
              <w:rPr>
                <w:rFonts w:hint="eastAsia" w:ascii="宋体" w:hAnsi="宋体" w:eastAsia="宋体" w:cs="宋体"/>
                <w:kern w:val="0"/>
                <w:sz w:val="20"/>
                <w:szCs w:val="20"/>
                <w:lang w:eastAsia="zh-CN"/>
              </w:rPr>
              <w:t>务室工程（</w:t>
            </w:r>
            <w:r>
              <w:rPr>
                <w:rFonts w:hint="eastAsia" w:ascii="宋体" w:hAnsi="宋体" w:cs="宋体"/>
                <w:kern w:val="0"/>
                <w:sz w:val="20"/>
                <w:szCs w:val="20"/>
                <w:lang w:eastAsia="zh-CN"/>
              </w:rPr>
              <w:t>社会发展</w:t>
            </w:r>
            <w:r>
              <w:rPr>
                <w:rFonts w:hint="eastAsia" w:ascii="宋体" w:hAnsi="宋体" w:cs="宋体"/>
                <w:kern w:val="0"/>
                <w:sz w:val="20"/>
                <w:szCs w:val="20"/>
                <w:lang w:val="en-US" w:eastAsia="zh-CN"/>
              </w:rPr>
              <w:t>2130506款</w:t>
            </w:r>
            <w:r>
              <w:rPr>
                <w:rFonts w:hint="eastAsia" w:ascii="宋体" w:hAnsi="宋体" w:cs="宋体"/>
                <w:kern w:val="0"/>
                <w:sz w:val="20"/>
                <w:szCs w:val="20"/>
                <w:lang w:eastAsia="zh-CN"/>
              </w:rPr>
              <w:t>）</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eastAsia="zh-CN"/>
              </w:rPr>
              <w:t>吉木萨尔镇人民政府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val="en-US" w:eastAsia="zh-CN"/>
              </w:rPr>
              <w:t>29</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val="en-US" w:eastAsia="zh-CN"/>
              </w:rPr>
              <w:t>29</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val="en-US" w:eastAsia="zh-CN"/>
              </w:rPr>
              <w:t>29</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lang w:val="en-US" w:eastAsia="zh-CN"/>
              </w:rPr>
              <w:t>29</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14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4460" w:type="dxa"/>
            <w:gridSpan w:val="4"/>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　</w:t>
            </w:r>
          </w:p>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lang w:eastAsia="zh-CN"/>
              </w:rPr>
            </w:pPr>
            <w:r>
              <w:rPr>
                <w:rFonts w:hint="eastAsia" w:ascii="宋体" w:hAnsi="宋体" w:cs="宋体"/>
                <w:kern w:val="0"/>
                <w:sz w:val="20"/>
                <w:szCs w:val="20"/>
                <w:lang w:eastAsia="zh-CN"/>
              </w:rPr>
              <w:t>修建三场槽子幼儿园食堂及</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务站，改善幼儿园食堂环境卫生差及便民服务站面积不够问题。</w:t>
            </w:r>
          </w:p>
        </w:tc>
        <w:tc>
          <w:tcPr>
            <w:tcW w:w="3840"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p>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修建三场槽子幼儿园食堂及</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务站，改善了幼儿园食堂环境卫生差及</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务站面积不够问题。</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预期新建三场槽子幼儿园食堂</w:t>
            </w:r>
            <w:r>
              <w:rPr>
                <w:rFonts w:hint="eastAsia" w:ascii="宋体" w:hAnsi="宋体" w:cs="宋体"/>
                <w:kern w:val="0"/>
                <w:sz w:val="20"/>
                <w:szCs w:val="20"/>
                <w:lang w:val="en-US" w:eastAsia="zh-CN"/>
              </w:rPr>
              <w:t>120平方米</w:t>
            </w:r>
            <w:r>
              <w:rPr>
                <w:rFonts w:hint="eastAsia" w:ascii="宋体" w:hAnsi="宋体" w:cs="宋体"/>
                <w:kern w:val="0"/>
                <w:sz w:val="20"/>
                <w:szCs w:val="20"/>
                <w:lang w:eastAsia="zh-CN"/>
              </w:rPr>
              <w:t>工程，预计投资</w:t>
            </w:r>
            <w:r>
              <w:rPr>
                <w:rFonts w:hint="eastAsia" w:ascii="宋体" w:hAnsi="宋体" w:cs="宋体"/>
                <w:kern w:val="0"/>
                <w:sz w:val="20"/>
                <w:szCs w:val="20"/>
                <w:lang w:val="en-US" w:eastAsia="zh-CN"/>
              </w:rPr>
              <w:t>14万元。</w:t>
            </w:r>
          </w:p>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lang w:val="en-US"/>
              </w:rPr>
            </w:pPr>
            <w:r>
              <w:rPr>
                <w:rFonts w:hint="eastAsia" w:ascii="宋体" w:hAnsi="宋体" w:cs="宋体"/>
                <w:kern w:val="0"/>
                <w:sz w:val="20"/>
                <w:szCs w:val="20"/>
                <w:lang w:eastAsia="zh-CN"/>
              </w:rPr>
              <w:t>实际新建三场槽子幼儿园食堂</w:t>
            </w:r>
            <w:r>
              <w:rPr>
                <w:rFonts w:hint="eastAsia" w:ascii="宋体" w:hAnsi="宋体" w:cs="宋体"/>
                <w:kern w:val="0"/>
                <w:sz w:val="20"/>
                <w:szCs w:val="20"/>
                <w:lang w:val="en-US" w:eastAsia="zh-CN"/>
              </w:rPr>
              <w:t>120平方米</w:t>
            </w:r>
            <w:r>
              <w:rPr>
                <w:rFonts w:hint="eastAsia" w:ascii="宋体" w:hAnsi="宋体" w:cs="宋体"/>
                <w:kern w:val="0"/>
                <w:sz w:val="20"/>
                <w:szCs w:val="20"/>
                <w:lang w:eastAsia="zh-CN"/>
              </w:rPr>
              <w:t>工程，预计投资</w:t>
            </w:r>
            <w:r>
              <w:rPr>
                <w:rFonts w:hint="eastAsia" w:ascii="宋体" w:hAnsi="宋体" w:cs="宋体"/>
                <w:kern w:val="0"/>
                <w:sz w:val="20"/>
                <w:szCs w:val="20"/>
                <w:lang w:val="en-US" w:eastAsia="zh-CN"/>
              </w:rPr>
              <w:t>14万元。</w:t>
            </w:r>
          </w:p>
          <w:p>
            <w:pPr>
              <w:keepNext w:val="0"/>
              <w:keepLines w:val="0"/>
              <w:pageBreakBefore w:val="0"/>
              <w:widowControl/>
              <w:kinsoku/>
              <w:wordWrap/>
              <w:overflowPunct/>
              <w:topLinePunct w:val="0"/>
              <w:autoSpaceDE/>
              <w:autoSpaceDN/>
              <w:bidi w:val="0"/>
              <w:adjustRightInd/>
              <w:snapToGrid/>
              <w:spacing w:line="540" w:lineRule="exact"/>
              <w:jc w:val="both"/>
              <w:textAlignment w:val="auto"/>
              <w:outlineLvl w:val="9"/>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lang w:val="en-US"/>
              </w:rPr>
            </w:pPr>
            <w:r>
              <w:rPr>
                <w:rFonts w:hint="eastAsia" w:ascii="宋体" w:hAnsi="宋体" w:cs="宋体"/>
                <w:kern w:val="0"/>
                <w:sz w:val="20"/>
                <w:szCs w:val="20"/>
                <w:lang w:eastAsia="zh-CN"/>
              </w:rPr>
              <w:t>预期新建三场槽子</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w:t>
            </w:r>
            <w:r>
              <w:rPr>
                <w:rFonts w:hint="eastAsia" w:ascii="宋体" w:hAnsi="宋体" w:cs="宋体"/>
                <w:kern w:val="0"/>
                <w:sz w:val="20"/>
                <w:szCs w:val="20"/>
                <w:lang w:val="en-US" w:eastAsia="zh-CN"/>
              </w:rPr>
              <w:t>120平方米</w:t>
            </w:r>
            <w:r>
              <w:rPr>
                <w:rFonts w:hint="eastAsia" w:ascii="宋体" w:hAnsi="宋体" w:cs="宋体"/>
                <w:kern w:val="0"/>
                <w:sz w:val="20"/>
                <w:szCs w:val="20"/>
                <w:lang w:eastAsia="zh-CN"/>
              </w:rPr>
              <w:t>工程，预计投资</w:t>
            </w:r>
            <w:r>
              <w:rPr>
                <w:rFonts w:hint="eastAsia" w:ascii="宋体" w:hAnsi="宋体" w:cs="宋体"/>
                <w:kern w:val="0"/>
                <w:sz w:val="20"/>
                <w:szCs w:val="20"/>
                <w:lang w:val="en-US" w:eastAsia="zh-CN"/>
              </w:rPr>
              <w:t>15万元。</w:t>
            </w:r>
          </w:p>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lang w:val="en-US"/>
              </w:rPr>
            </w:pPr>
            <w:r>
              <w:rPr>
                <w:rFonts w:hint="eastAsia" w:ascii="宋体" w:hAnsi="宋体" w:cs="宋体"/>
                <w:kern w:val="0"/>
                <w:sz w:val="20"/>
                <w:szCs w:val="20"/>
                <w:lang w:eastAsia="zh-CN"/>
              </w:rPr>
              <w:t>实际新建三场槽子</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w:t>
            </w:r>
            <w:r>
              <w:rPr>
                <w:rFonts w:hint="eastAsia" w:ascii="宋体" w:hAnsi="宋体" w:cs="宋体"/>
                <w:kern w:val="0"/>
                <w:sz w:val="20"/>
                <w:szCs w:val="20"/>
                <w:lang w:val="en-US" w:eastAsia="zh-CN"/>
              </w:rPr>
              <w:t>120平方米</w:t>
            </w:r>
            <w:r>
              <w:rPr>
                <w:rFonts w:hint="eastAsia" w:ascii="宋体" w:hAnsi="宋体" w:cs="宋体"/>
                <w:kern w:val="0"/>
                <w:sz w:val="20"/>
                <w:szCs w:val="20"/>
                <w:lang w:eastAsia="zh-CN"/>
              </w:rPr>
              <w:t>工程，预计投资</w:t>
            </w:r>
            <w:r>
              <w:rPr>
                <w:rFonts w:hint="eastAsia" w:ascii="宋体" w:hAnsi="宋体" w:cs="宋体"/>
                <w:kern w:val="0"/>
                <w:sz w:val="20"/>
                <w:szCs w:val="20"/>
                <w:lang w:val="en-US" w:eastAsia="zh-CN"/>
              </w:rPr>
              <w:t>15万元。</w:t>
            </w:r>
          </w:p>
          <w:p>
            <w:pPr>
              <w:keepNext w:val="0"/>
              <w:keepLines w:val="0"/>
              <w:pageBreakBefore w:val="0"/>
              <w:widowControl/>
              <w:kinsoku/>
              <w:wordWrap/>
              <w:overflowPunct/>
              <w:topLinePunct w:val="0"/>
              <w:autoSpaceDE/>
              <w:autoSpaceDN/>
              <w:bidi w:val="0"/>
              <w:adjustRightInd/>
              <w:snapToGrid/>
              <w:spacing w:line="540" w:lineRule="exact"/>
              <w:jc w:val="both"/>
              <w:textAlignment w:val="auto"/>
              <w:outlineLvl w:val="9"/>
              <w:rPr>
                <w:rFonts w:hint="eastAsia" w:ascii="宋体" w:hAnsi="宋体" w:cs="宋体"/>
                <w:kern w:val="0"/>
                <w:sz w:val="20"/>
                <w:szCs w:val="20"/>
                <w:lang w:eastAsia="zh-CN"/>
              </w:rPr>
            </w:pPr>
          </w:p>
        </w:tc>
      </w:tr>
      <w:tr>
        <w:tblPrEx>
          <w:tblLayout w:type="fixed"/>
          <w:tblCellMar>
            <w:top w:w="0" w:type="dxa"/>
            <w:left w:w="108" w:type="dxa"/>
            <w:bottom w:w="0" w:type="dxa"/>
            <w:right w:w="108" w:type="dxa"/>
          </w:tblCellMar>
        </w:tblPrEx>
        <w:trPr>
          <w:trHeight w:val="43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通过验收的工程总量</w:t>
            </w:r>
            <w:r>
              <w:rPr>
                <w:rFonts w:hint="eastAsia" w:ascii="宋体" w:hAnsi="宋体" w:cs="宋体"/>
                <w:kern w:val="0"/>
                <w:sz w:val="20"/>
                <w:szCs w:val="20"/>
                <w:lang w:val="en-US" w:eastAsia="zh-CN"/>
              </w:rPr>
              <w:t>100%。</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通过验收的工程总量</w:t>
            </w: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通过验收的工程总量</w:t>
            </w:r>
            <w:r>
              <w:rPr>
                <w:rFonts w:hint="eastAsia" w:ascii="宋体" w:hAnsi="宋体" w:cs="宋体"/>
                <w:kern w:val="0"/>
                <w:sz w:val="20"/>
                <w:szCs w:val="20"/>
                <w:lang w:val="en-US" w:eastAsia="zh-CN"/>
              </w:rPr>
              <w:t>100%。</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通过验收的工程总量</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预期完成量占计划完成量的</w:t>
            </w:r>
            <w:r>
              <w:rPr>
                <w:rFonts w:hint="eastAsia" w:ascii="宋体" w:hAnsi="宋体" w:cs="宋体"/>
                <w:kern w:val="0"/>
                <w:sz w:val="20"/>
                <w:szCs w:val="20"/>
                <w:lang w:val="en-US" w:eastAsia="zh-CN"/>
              </w:rPr>
              <w:t>100%。</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实际完成量占计划完成量的</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预期完成量占计划完成量的</w:t>
            </w:r>
            <w:r>
              <w:rPr>
                <w:rFonts w:hint="eastAsia" w:ascii="宋体" w:hAnsi="宋体" w:cs="宋体"/>
                <w:kern w:val="0"/>
                <w:sz w:val="20"/>
                <w:szCs w:val="20"/>
                <w:lang w:val="en-US" w:eastAsia="zh-CN"/>
              </w:rPr>
              <w:t>100%。</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实际完成量占计划完成量的</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lang w:eastAsia="zh-CN"/>
              </w:rPr>
            </w:pPr>
            <w:r>
              <w:rPr>
                <w:rFonts w:hint="eastAsia" w:ascii="宋体" w:hAnsi="宋体" w:cs="宋体"/>
                <w:kern w:val="0"/>
                <w:sz w:val="20"/>
                <w:szCs w:val="20"/>
                <w:lang w:eastAsia="zh-CN"/>
              </w:rPr>
              <w:t>解决了三场槽子幼儿园食堂环境卫生差</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解决了三场槽子幼儿园食堂环境卫生差</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解决了三场槽子</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务站面积不够问题</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解决了三场槽子</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务站面积不够问题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解决了三场槽子幼儿园孩子吃饭问题</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解决了三场槽子幼儿园孩子吃饭问题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解决了三场槽子</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务站面积不够问题</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解决了三场槽子</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务站面积不够问题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解决了三场槽子幼儿园孩子吃饭问题</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解决了三场槽子幼儿园孩子吃饭问题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解决了三场槽子</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务站面积不够问题</w:t>
            </w:r>
          </w:p>
        </w:tc>
        <w:tc>
          <w:tcPr>
            <w:tcW w:w="17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解决了三场槽子</w:t>
            </w:r>
            <w:r>
              <w:rPr>
                <w:rFonts w:hint="eastAsia" w:ascii="宋体" w:hAnsi="宋体" w:cs="宋体"/>
                <w:kern w:val="0"/>
                <w:sz w:val="20"/>
                <w:szCs w:val="20"/>
                <w:lang w:val="en-US" w:eastAsia="zh-CN"/>
              </w:rPr>
              <w:t>村</w:t>
            </w:r>
            <w:r>
              <w:rPr>
                <w:rFonts w:hint="eastAsia" w:ascii="宋体" w:hAnsi="宋体" w:cs="宋体"/>
                <w:kern w:val="0"/>
                <w:sz w:val="20"/>
                <w:szCs w:val="20"/>
                <w:lang w:eastAsia="zh-CN"/>
              </w:rPr>
              <w:t>务站面积不够问题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综合使用率</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综合使用率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综合使用率</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综合使用率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both"/>
              <w:textAlignment w:val="auto"/>
              <w:outlineLvl w:val="9"/>
              <w:rPr>
                <w:rFonts w:ascii="宋体" w:hAnsi="宋体" w:cs="宋体"/>
                <w:kern w:val="0"/>
                <w:sz w:val="20"/>
                <w:szCs w:val="20"/>
              </w:rPr>
            </w:pPr>
            <w:r>
              <w:rPr>
                <w:rFonts w:hint="eastAsia" w:ascii="宋体" w:hAnsi="宋体" w:cs="宋体"/>
                <w:kern w:val="0"/>
                <w:sz w:val="20"/>
                <w:szCs w:val="20"/>
                <w:lang w:eastAsia="zh-CN"/>
              </w:rPr>
              <w:t>预期满意度</w:t>
            </w:r>
            <w:r>
              <w:rPr>
                <w:rFonts w:hint="eastAsia" w:ascii="宋体" w:hAnsi="宋体" w:cs="宋体"/>
                <w:kern w:val="0"/>
                <w:sz w:val="20"/>
                <w:szCs w:val="20"/>
                <w:lang w:val="en-US" w:eastAsia="zh-CN"/>
              </w:rPr>
              <w:t>100%</w:t>
            </w:r>
            <w:r>
              <w:rPr>
                <w:rFonts w:hint="eastAsia" w:ascii="宋体" w:hAnsi="宋体" w:cs="宋体"/>
                <w:kern w:val="0"/>
                <w:sz w:val="20"/>
                <w:szCs w:val="20"/>
              </w:rPr>
              <w:t>　</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lang w:eastAsia="zh-CN"/>
              </w:rPr>
              <w:t>实际满意度</w:t>
            </w: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both"/>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预期满意度</w:t>
            </w:r>
            <w:r>
              <w:rPr>
                <w:rFonts w:hint="eastAsia" w:ascii="宋体" w:hAnsi="宋体" w:cs="宋体"/>
                <w:kern w:val="0"/>
                <w:sz w:val="20"/>
                <w:szCs w:val="20"/>
                <w:lang w:val="en-US" w:eastAsia="zh-CN"/>
              </w:rPr>
              <w:t>100%</w:t>
            </w:r>
            <w:r>
              <w:rPr>
                <w:rFonts w:hint="eastAsia" w:ascii="宋体" w:hAnsi="宋体" w:cs="宋体"/>
                <w:kern w:val="0"/>
                <w:sz w:val="20"/>
                <w:szCs w:val="20"/>
              </w:rPr>
              <w:t>　</w:t>
            </w:r>
          </w:p>
        </w:tc>
        <w:tc>
          <w:tcPr>
            <w:tcW w:w="1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cs="宋体"/>
                <w:kern w:val="0"/>
                <w:sz w:val="20"/>
                <w:szCs w:val="20"/>
                <w:lang w:eastAsia="zh-CN"/>
              </w:rPr>
            </w:pPr>
            <w:r>
              <w:rPr>
                <w:rFonts w:hint="eastAsia" w:ascii="宋体" w:hAnsi="宋体" w:cs="宋体"/>
                <w:kern w:val="0"/>
                <w:sz w:val="20"/>
                <w:szCs w:val="20"/>
                <w:lang w:eastAsia="zh-CN"/>
              </w:rPr>
              <w:t>实际满意度</w:t>
            </w:r>
            <w:r>
              <w:rPr>
                <w:rFonts w:hint="eastAsia" w:ascii="宋体" w:hAnsi="宋体" w:cs="宋体"/>
                <w:kern w:val="0"/>
                <w:sz w:val="20"/>
                <w:szCs w:val="20"/>
                <w:lang w:val="en-US" w:eastAsia="zh-CN"/>
              </w:rPr>
              <w:t>100%</w:t>
            </w:r>
            <w:r>
              <w:rPr>
                <w:rFonts w:hint="eastAsia" w:ascii="宋体" w:hAnsi="宋体" w:cs="宋体"/>
                <w:kern w:val="0"/>
                <w:sz w:val="20"/>
                <w:szCs w:val="20"/>
              </w:rPr>
              <w:t>　</w:t>
            </w:r>
          </w:p>
        </w:tc>
      </w:tr>
    </w:tbl>
    <w:p>
      <w:pPr>
        <w:keepNext w:val="0"/>
        <w:keepLines w:val="0"/>
        <w:pageBreakBefore w:val="0"/>
        <w:numPr>
          <w:ilvl w:val="0"/>
          <w:numId w:val="0"/>
        </w:numPr>
        <w:kinsoku/>
        <w:wordWrap/>
        <w:overflowPunct/>
        <w:topLinePunct w:val="0"/>
        <w:autoSpaceDE/>
        <w:autoSpaceDN/>
        <w:bidi w:val="0"/>
        <w:adjustRightInd/>
        <w:snapToGrid/>
        <w:spacing w:line="540" w:lineRule="exact"/>
        <w:textAlignment w:val="auto"/>
        <w:outlineLvl w:val="9"/>
        <w:rPr>
          <w:rFonts w:hint="eastAsia"/>
          <w:sz w:val="28"/>
          <w:szCs w:val="28"/>
        </w:rPr>
      </w:pPr>
      <w:r>
        <w:rPr>
          <w:rFonts w:hint="eastAsia" w:ascii="宋体" w:hAnsi="宋体"/>
          <w:sz w:val="28"/>
          <w:szCs w:val="28"/>
        </w:rPr>
        <w:t xml:space="preserve"> </w:t>
      </w:r>
      <w:r>
        <w:rPr>
          <w:sz w:val="28"/>
          <w:szCs w:val="28"/>
        </w:rPr>
        <w:t xml:space="preserve"> </w:t>
      </w:r>
    </w:p>
    <w:p>
      <w:pPr>
        <w:keepNext w:val="0"/>
        <w:keepLines w:val="0"/>
        <w:pageBreakBefore w:val="0"/>
        <w:kinsoku/>
        <w:wordWrap/>
        <w:overflowPunct/>
        <w:topLinePunct w:val="0"/>
        <w:autoSpaceDE/>
        <w:autoSpaceDN/>
        <w:bidi w:val="0"/>
        <w:adjustRightInd/>
        <w:snapToGrid/>
        <w:spacing w:line="540" w:lineRule="exact"/>
        <w:textAlignment w:val="auto"/>
        <w:outlineLvl w:val="9"/>
        <w:rPr>
          <w:rFonts w:hint="eastAsia" w:ascii="宋体" w:hAnsi="宋体"/>
          <w:sz w:val="28"/>
          <w:szCs w:val="28"/>
        </w:rPr>
      </w:pPr>
    </w:p>
    <w:p>
      <w:pPr>
        <w:keepNext w:val="0"/>
        <w:keepLines w:val="0"/>
        <w:pageBreakBefore w:val="0"/>
        <w:kinsoku/>
        <w:wordWrap/>
        <w:overflowPunct/>
        <w:topLinePunct w:val="0"/>
        <w:autoSpaceDE/>
        <w:autoSpaceDN/>
        <w:bidi w:val="0"/>
        <w:adjustRightInd/>
        <w:snapToGrid/>
        <w:spacing w:line="540" w:lineRule="exact"/>
        <w:ind w:firstLine="643" w:firstLineChars="200"/>
        <w:jc w:val="center"/>
        <w:textAlignment w:val="auto"/>
        <w:outlineLvl w:val="9"/>
        <w:rPr>
          <w:rFonts w:hint="eastAsia" w:ascii="楷体_GB2312" w:eastAsia="楷体_GB2312"/>
          <w:b/>
          <w:sz w:val="32"/>
          <w:szCs w:val="24"/>
          <w:lang w:eastAsia="zh-CN"/>
        </w:rPr>
      </w:pPr>
      <w:r>
        <w:rPr>
          <w:rFonts w:hint="eastAsia" w:ascii="楷体_GB2312" w:eastAsia="楷体_GB2312"/>
          <w:b/>
          <w:sz w:val="32"/>
          <w:szCs w:val="24"/>
          <w:lang w:eastAsia="zh-CN"/>
        </w:rPr>
        <w:t>第三部分 专业名词解释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财政拨款收入：指同级财政当年拨付的资金。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上级补助收入：指事业单位从主管部门和上级单位取得的非财政补助收入。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事业收入：指事业单位开展专业业务活动及其辅助活动所取得的收入。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经营收入：指事业单位在专业业务活动及其辅助活动之外开展非独立核算经营活动取得的收入。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附属单位缴款：指事业单位附属的独立核算单位按有关规定上缴的收入。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其他收入：指除上述“财政拨款收入”、“事业收入”、“经营收入”、“附属单位缴款”等之外取得的收入。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口的资金。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结余分配：反映单位当年结余的分配情况。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基本支出：指为保障机构正常运转、完成日常工作任务而发生的人员支出和公用支出。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项目支出：指在基本支出之外为完成特定行政任务和事业发展目标所发生的支出。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经营支出：指事业单位在专业业务活动及其辅助活动之外开展非独立核算经营活动发生的支出。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对附属单位补助支出：指事业单位发生的用非财政预算资金对附属单位的补助支出。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sz w:val="28"/>
          <w:szCs w:val="28"/>
        </w:rPr>
      </w:pPr>
      <w:r>
        <w:rPr>
          <w:rFonts w:hint="eastAsia" w:ascii="仿宋_GB2312" w:eastAsia="仿宋_GB2312"/>
          <w:sz w:val="32"/>
          <w:szCs w:val="24"/>
          <w:lang w:val="en-US" w:eastAsia="zh-CN"/>
        </w:rPr>
        <w:t>本单位支出功能分类说明。201（类）01（款）01（项）：指行政运行。201（类）03（款）01（项）：指行政运行。201（类）03（款）99（项）：指其他政府办公厅（室）及相关机构事务支出。201（类）06（款）01（项）：指行政运行。201（类）31（款）01（项）：指行政运行。201（类）32（款）99（项）：指其他组织事务支出。207（类）01（款）09（项）：指群众文化。208（类）05（款）01（项）：指行政单位离退休。208（类）05（款）02（项）：指事业单位离退休。208（类）05（款）05（项）：指机关事业单位基本养老保险。208（类）05（款）06（项）：指机关事业单位职业年金。208（类）08（款）99（项）：指其他优抚支出。208（类）21（款）02（项）：指农村特困人员救助供养支出。210（类）07（款）16（项）：指计划生育机构。210（类）07（款）17（项）：指计划生育服务。210（类）11（款）01（项）：指机关行政医疗。210（类）11（款）02（项）：指事业单位医疗。210（类）11（款）03（项）：指公务员医疗补助。212（类）01（款）99（项）：指其他城乡社区管理事务支出。213（类）01（款）04（项）：指事业运行。 213（类）01（款）52（项）：指对高校毕业生到基层任职补助：指事业运行。213（类）02（款）04（项）：指林业事业机构。213（类）03（款）99（项）：指其他水利支出。 213（类）07（款）05（项）：指对村民委员会和村党支部的补助。229（类）99（款）01（项）：指其他支出。</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outlineLvl w:val="9"/>
        <w:rPr>
          <w:rFonts w:hint="eastAsia" w:ascii="仿宋_GB2312" w:eastAsia="仿宋_GB2312"/>
          <w:sz w:val="32"/>
          <w:szCs w:val="24"/>
          <w:lang w:val="en-US" w:eastAsia="zh-CN"/>
        </w:rPr>
      </w:pP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第四部分 部门决算公开的8张报表（见附表）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一、《收入支出决算总表》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二、《收入决算表》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三、《支出决算表》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四、《财政拨款收入支出决算总表》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五、《一般公共预算财政拨款支出决算表》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六、《一般公共预算财政拨款基本支出决算表》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 xml:space="preserve">七、《一般公共预算财政拨款“三公”经费支出决算表》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24"/>
          <w:lang w:val="en-US" w:eastAsia="zh-CN"/>
        </w:rPr>
      </w:pPr>
      <w:r>
        <w:rPr>
          <w:rFonts w:hint="eastAsia" w:ascii="仿宋_GB2312" w:eastAsia="仿宋_GB2312"/>
          <w:sz w:val="32"/>
          <w:szCs w:val="24"/>
          <w:lang w:val="en-US" w:eastAsia="zh-CN"/>
        </w:rPr>
        <w:t>八、《政府性基金预算财政拨款收入支出决算表》 （空表）</w:t>
      </w:r>
    </w:p>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153"/>
    <w:rsid w:val="00060153"/>
    <w:rsid w:val="001346DF"/>
    <w:rsid w:val="0054137F"/>
    <w:rsid w:val="00E72B8C"/>
    <w:rsid w:val="00F83343"/>
    <w:rsid w:val="032E334A"/>
    <w:rsid w:val="05761077"/>
    <w:rsid w:val="05F640A7"/>
    <w:rsid w:val="069E3181"/>
    <w:rsid w:val="0734343B"/>
    <w:rsid w:val="07AA2636"/>
    <w:rsid w:val="088C04C2"/>
    <w:rsid w:val="08956A5E"/>
    <w:rsid w:val="08E21014"/>
    <w:rsid w:val="092917BA"/>
    <w:rsid w:val="0AB8058F"/>
    <w:rsid w:val="0B5E5088"/>
    <w:rsid w:val="0B746BE4"/>
    <w:rsid w:val="0BC77502"/>
    <w:rsid w:val="0D9B4228"/>
    <w:rsid w:val="0FDA625B"/>
    <w:rsid w:val="10241A51"/>
    <w:rsid w:val="136B0D2C"/>
    <w:rsid w:val="139F7E3A"/>
    <w:rsid w:val="13F75C2D"/>
    <w:rsid w:val="146C30D2"/>
    <w:rsid w:val="15084C7B"/>
    <w:rsid w:val="1637601A"/>
    <w:rsid w:val="16CD3729"/>
    <w:rsid w:val="1C93590A"/>
    <w:rsid w:val="1CED065D"/>
    <w:rsid w:val="1E7C1DAE"/>
    <w:rsid w:val="1F0D4E98"/>
    <w:rsid w:val="1FD118B6"/>
    <w:rsid w:val="2022768A"/>
    <w:rsid w:val="20EE5F3C"/>
    <w:rsid w:val="24991E4B"/>
    <w:rsid w:val="267136E2"/>
    <w:rsid w:val="267F3AD7"/>
    <w:rsid w:val="28257B26"/>
    <w:rsid w:val="28535BFF"/>
    <w:rsid w:val="295276E3"/>
    <w:rsid w:val="295770E6"/>
    <w:rsid w:val="2A354D9E"/>
    <w:rsid w:val="2AB7468C"/>
    <w:rsid w:val="2AF546C7"/>
    <w:rsid w:val="2B676C17"/>
    <w:rsid w:val="2BFA020C"/>
    <w:rsid w:val="2C1B4353"/>
    <w:rsid w:val="2C3A749F"/>
    <w:rsid w:val="2CD13902"/>
    <w:rsid w:val="2CDA0BD9"/>
    <w:rsid w:val="2D0573AB"/>
    <w:rsid w:val="2D754E2E"/>
    <w:rsid w:val="2F2A6228"/>
    <w:rsid w:val="316966AC"/>
    <w:rsid w:val="31806BCC"/>
    <w:rsid w:val="31FF6DA2"/>
    <w:rsid w:val="331141A5"/>
    <w:rsid w:val="33582A4B"/>
    <w:rsid w:val="33AF2CA8"/>
    <w:rsid w:val="34C5422E"/>
    <w:rsid w:val="372A60F8"/>
    <w:rsid w:val="39DF033D"/>
    <w:rsid w:val="3C26187A"/>
    <w:rsid w:val="3D5B0C95"/>
    <w:rsid w:val="3DFE43F4"/>
    <w:rsid w:val="3E324F7F"/>
    <w:rsid w:val="3E3C6AD2"/>
    <w:rsid w:val="3E7C1926"/>
    <w:rsid w:val="3EBE7F5C"/>
    <w:rsid w:val="3F1B12B1"/>
    <w:rsid w:val="3F6462FF"/>
    <w:rsid w:val="41B53F0A"/>
    <w:rsid w:val="41ED6408"/>
    <w:rsid w:val="42AA0AEE"/>
    <w:rsid w:val="42FE3DEC"/>
    <w:rsid w:val="43A17985"/>
    <w:rsid w:val="45033CCD"/>
    <w:rsid w:val="45794510"/>
    <w:rsid w:val="4617506E"/>
    <w:rsid w:val="46860961"/>
    <w:rsid w:val="4694010C"/>
    <w:rsid w:val="484E7E17"/>
    <w:rsid w:val="495037F9"/>
    <w:rsid w:val="497021EE"/>
    <w:rsid w:val="4B257AAB"/>
    <w:rsid w:val="4B420013"/>
    <w:rsid w:val="4E185AF7"/>
    <w:rsid w:val="50755389"/>
    <w:rsid w:val="519146E4"/>
    <w:rsid w:val="51FF2279"/>
    <w:rsid w:val="526566DB"/>
    <w:rsid w:val="52E67009"/>
    <w:rsid w:val="53C17999"/>
    <w:rsid w:val="570E796A"/>
    <w:rsid w:val="5716066D"/>
    <w:rsid w:val="574C3021"/>
    <w:rsid w:val="59A20DB6"/>
    <w:rsid w:val="59A6176C"/>
    <w:rsid w:val="5ADF4603"/>
    <w:rsid w:val="5B450A9A"/>
    <w:rsid w:val="5E845CE9"/>
    <w:rsid w:val="615104D7"/>
    <w:rsid w:val="61F424D1"/>
    <w:rsid w:val="62073FE2"/>
    <w:rsid w:val="624567F4"/>
    <w:rsid w:val="632F6E2F"/>
    <w:rsid w:val="63403DDD"/>
    <w:rsid w:val="6568050D"/>
    <w:rsid w:val="65B537A8"/>
    <w:rsid w:val="663A4424"/>
    <w:rsid w:val="66752FAE"/>
    <w:rsid w:val="686B1C12"/>
    <w:rsid w:val="68F4096C"/>
    <w:rsid w:val="6B4310B8"/>
    <w:rsid w:val="6B5767D3"/>
    <w:rsid w:val="6E90119B"/>
    <w:rsid w:val="6ED66E63"/>
    <w:rsid w:val="6F74118C"/>
    <w:rsid w:val="715A0B5B"/>
    <w:rsid w:val="72546040"/>
    <w:rsid w:val="732B479A"/>
    <w:rsid w:val="73B4536C"/>
    <w:rsid w:val="74B57847"/>
    <w:rsid w:val="762B4246"/>
    <w:rsid w:val="762F6033"/>
    <w:rsid w:val="77695ACC"/>
    <w:rsid w:val="77E50DB5"/>
    <w:rsid w:val="796C6CC2"/>
    <w:rsid w:val="7A104B71"/>
    <w:rsid w:val="7A557310"/>
    <w:rsid w:val="7B3B1C65"/>
    <w:rsid w:val="7C445A31"/>
    <w:rsid w:val="7EF05A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Pages>
  <Words>812</Words>
  <Characters>4634</Characters>
  <Lines>38</Lines>
  <Paragraphs>10</Paragraphs>
  <TotalTime>1</TotalTime>
  <ScaleCrop>false</ScaleCrop>
  <LinksUpToDate>false</LinksUpToDate>
  <CharactersWithSpaces>5436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2018-05-19T04:36:00Z</dcterms:created>
  <dc:creator>Lenovo</dc:creator>
  <cp:lastModifiedBy>user</cp:lastModifiedBy>
  <dcterms:modified xsi:type="dcterms:W3CDTF">2023-11-27T05:28:44Z</dcterms:modified>
  <dc:title>××年度××（单位）部门决算公开说明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767923FC53A04B9A927CEBC1B94FC4DA</vt:lpwstr>
  </property>
</Properties>
</file>