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年吉木萨尔县举借债务情况说明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627" w:firstLineChars="200"/>
        <w:jc w:val="left"/>
        <w:textAlignment w:val="auto"/>
        <w:outlineLvl w:val="0"/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627" w:firstLineChars="200"/>
        <w:jc w:val="left"/>
        <w:textAlignment w:val="auto"/>
        <w:outlineLvl w:val="0"/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</w:pPr>
      <w:r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  <w:t>一、202</w:t>
      </w:r>
      <w:r>
        <w:rPr>
          <w:rFonts w:hint="eastAsia" w:ascii="楷体_GB2312" w:hAnsi="黑体" w:eastAsia="楷体_GB2312"/>
          <w:b/>
          <w:spacing w:val="-4"/>
          <w:sz w:val="32"/>
          <w:szCs w:val="32"/>
          <w:lang w:val="en-US" w:eastAsia="zh-CN"/>
        </w:rPr>
        <w:t>1</w:t>
      </w:r>
      <w:r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left"/>
        <w:textAlignment w:val="auto"/>
        <w:outlineLvl w:val="0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年度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吉木萨尔县</w:t>
      </w:r>
      <w:r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政府债务限额总额为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32.36</w:t>
      </w:r>
      <w:r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17.23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9.63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627" w:firstLineChars="200"/>
        <w:jc w:val="left"/>
        <w:textAlignment w:val="auto"/>
        <w:outlineLvl w:val="0"/>
        <w:rPr>
          <w:rFonts w:hint="eastAsia" w:ascii="楷体_GB2312" w:hAnsi="黑体" w:eastAsia="楷体_GB2312"/>
          <w:b/>
          <w:spacing w:val="-4"/>
          <w:sz w:val="32"/>
          <w:szCs w:val="32"/>
          <w:lang w:val="en-US" w:eastAsia="zh-CN"/>
        </w:rPr>
      </w:pPr>
      <w:r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  <w:t>二、202</w:t>
      </w:r>
      <w:r>
        <w:rPr>
          <w:rFonts w:hint="eastAsia" w:ascii="楷体_GB2312" w:hAnsi="黑体" w:eastAsia="楷体_GB2312"/>
          <w:b/>
          <w:spacing w:val="-4"/>
          <w:sz w:val="32"/>
          <w:szCs w:val="32"/>
          <w:lang w:val="en-US" w:eastAsia="zh-CN"/>
        </w:rPr>
        <w:t>1</w:t>
      </w:r>
      <w:r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  <w:t>年度政府债务余额</w:t>
      </w:r>
      <w:r>
        <w:rPr>
          <w:rFonts w:hint="eastAsia" w:ascii="楷体_GB2312" w:hAnsi="黑体" w:eastAsia="楷体_GB2312"/>
          <w:b/>
          <w:spacing w:val="-4"/>
          <w:sz w:val="32"/>
          <w:szCs w:val="32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28.47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32.36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627" w:firstLineChars="200"/>
        <w:jc w:val="left"/>
        <w:textAlignment w:val="auto"/>
        <w:outlineLvl w:val="0"/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</w:pPr>
      <w:r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  <w:t>三、202</w:t>
      </w:r>
      <w:r>
        <w:rPr>
          <w:rFonts w:hint="eastAsia" w:ascii="楷体_GB2312" w:hAnsi="黑体" w:eastAsia="楷体_GB2312"/>
          <w:b/>
          <w:spacing w:val="-4"/>
          <w:sz w:val="32"/>
          <w:szCs w:val="32"/>
          <w:lang w:val="en-US" w:eastAsia="zh-CN"/>
        </w:rPr>
        <w:t>1</w:t>
      </w:r>
      <w:r>
        <w:rPr>
          <w:rFonts w:hint="default" w:ascii="楷体_GB2312" w:hAnsi="黑体" w:eastAsia="楷体_GB2312"/>
          <w:b/>
          <w:spacing w:val="-4"/>
          <w:sz w:val="32"/>
          <w:szCs w:val="32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10.77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上述债券资金主要用于义务教育、脱贫攻坚、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节能环保、交通（详见表31），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为3.29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亿元。上述债券资金主要用于农林水利、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城镇污水垃圾处理、卫生健康、文化旅游、市政基础设施和产业园区基础设施等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（详见表31），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为3.45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均为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为3.16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627" w:firstLineChars="200"/>
        <w:jc w:val="left"/>
        <w:textAlignment w:val="auto"/>
        <w:outlineLvl w:val="0"/>
        <w:rPr>
          <w:rFonts w:hint="default" w:ascii="楷体_GB2312" w:hAnsi="黑体" w:eastAsia="楷体_GB2312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Fonts w:hint="default" w:ascii="楷体_GB2312" w:hAnsi="黑体" w:eastAsia="楷体_GB2312"/>
          <w:b/>
          <w:spacing w:val="-4"/>
          <w:sz w:val="32"/>
          <w:szCs w:val="32"/>
          <w:highlight w:val="none"/>
          <w:lang w:val="en-US" w:eastAsia="zh-CN"/>
        </w:rPr>
        <w:t>四、202</w:t>
      </w:r>
      <w:r>
        <w:rPr>
          <w:rFonts w:hint="eastAsia" w:ascii="楷体_GB2312" w:hAnsi="黑体" w:eastAsia="楷体_GB2312"/>
          <w:b/>
          <w:spacing w:val="-4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楷体_GB2312" w:hAnsi="黑体" w:eastAsia="楷体_GB2312"/>
          <w:b/>
          <w:spacing w:val="-4"/>
          <w:sz w:val="32"/>
          <w:szCs w:val="32"/>
          <w:highlight w:val="none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本金2.29亿元，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，自身收益偿还0.31亿元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本金1.98亿元，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黑体" w:hAnsi="黑体" w:eastAsia="黑体"/>
          <w:sz w:val="32"/>
          <w:szCs w:val="32"/>
          <w:lang w:val="en-US"/>
        </w:rPr>
        <w:sectPr>
          <w:footerReference r:id="rId3" w:type="default"/>
          <w:pgSz w:w="11906" w:h="16838"/>
          <w:pgMar w:top="2098" w:right="1418" w:bottom="1928" w:left="1588" w:header="851" w:footer="992" w:gutter="0"/>
          <w:pgNumType w:fmt="numberInDash" w:start="1"/>
          <w:cols w:space="720" w:num="1"/>
          <w:docGrid w:linePitch="312" w:charSpace="0"/>
        </w:sect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本金0.3亿元，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NJWO7QAAAABQEAAA8AAAAA&#10;AAAAAQAgAAAAIgAAAGRycy9kb3ducmV2LnhtbFBLAQIUABQAAAAIAIdO4kD8mQMMHAIAACMEAAAO&#10;AAAAAAAAAAEAIAAAAB8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A0EBA"/>
    <w:rsid w:val="276A0EBA"/>
    <w:rsid w:val="385176D5"/>
    <w:rsid w:val="5ACA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ind w:left="1277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2022-10-12T04:24:00Z</dcterms:created>
  <dc:creator>Administrator</dc:creator>
  <cp:lastModifiedBy>Administrator</cp:lastModifiedBy>
  <dcterms:modified xsi:type="dcterms:W3CDTF">2022-10-15T11:20:13Z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