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pStyle w:val="2"/>
      </w:pPr>
    </w:p>
    <w:p>
      <w:pPr>
        <w:pStyle w:val="2"/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</w:t>
      </w: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绩效评价报告</w:t>
      </w: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（</w:t>
      </w:r>
      <w:r>
        <w:rPr>
          <w:rFonts w:ascii="黑体" w:hAnsi="黑体" w:eastAsia="黑体" w:cs="黑体"/>
          <w:b/>
          <w:bCs/>
          <w:kern w:val="0"/>
          <w:sz w:val="48"/>
          <w:szCs w:val="48"/>
        </w:rPr>
        <w:t>20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年度）</w:t>
      </w:r>
    </w:p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jc w:val="center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/>
          <w:kern w:val="0"/>
          <w:sz w:val="30"/>
          <w:szCs w:val="30"/>
        </w:rPr>
      </w:pPr>
    </w:p>
    <w:p>
      <w:pPr>
        <w:spacing w:line="560" w:lineRule="exact"/>
        <w:ind w:firstLine="60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</w:rPr>
        <w:t>项目名称：社会保险基金支出</w:t>
      </w: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kern w:val="0"/>
          <w:sz w:val="32"/>
          <w:szCs w:val="32"/>
        </w:rPr>
        <w:t>实施单位（公章）：</w:t>
      </w:r>
    </w:p>
    <w:p>
      <w:pPr>
        <w:spacing w:line="560" w:lineRule="exact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负责人（签章）：</w:t>
      </w: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755" w:firstLineChars="236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填报时间：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20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 w:cs="黑体"/>
          <w:kern w:val="0"/>
          <w:sz w:val="32"/>
          <w:szCs w:val="32"/>
        </w:rPr>
        <w:t>年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kern w:val="0"/>
          <w:sz w:val="32"/>
          <w:szCs w:val="32"/>
        </w:rPr>
        <w:t>月</w:t>
      </w:r>
      <w:r>
        <w:rPr>
          <w:rFonts w:ascii="黑体" w:hAnsi="黑体" w:eastAsia="黑体" w:cs="黑体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黑体"/>
          <w:kern w:val="0"/>
          <w:sz w:val="32"/>
          <w:szCs w:val="32"/>
        </w:rPr>
        <w:t>日</w:t>
      </w:r>
    </w:p>
    <w:p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ind w:firstLine="640"/>
        <w:rPr>
          <w:rStyle w:val="19"/>
          <w:rFonts w:ascii="仿宋_GB2312" w:hAnsi="仿宋_GB2312" w:eastAsia="仿宋_GB2312"/>
          <w:spacing w:val="-4"/>
          <w:sz w:val="30"/>
          <w:szCs w:val="30"/>
        </w:rPr>
      </w:pPr>
    </w:p>
    <w:p>
      <w:pPr>
        <w:spacing w:line="560" w:lineRule="exact"/>
        <w:jc w:val="center"/>
        <w:rPr>
          <w:rFonts w:ascii="黑体" w:hAnsi="黑体" w:eastAsia="黑体"/>
          <w:b/>
          <w:bCs/>
          <w:kern w:val="0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kern w:val="0"/>
          <w:sz w:val="48"/>
          <w:szCs w:val="48"/>
          <w:lang w:eastAsia="zh-CN"/>
        </w:rPr>
        <w:t>吉木萨尔县</w:t>
      </w:r>
      <w:r>
        <w:rPr>
          <w:rFonts w:hint="eastAsia" w:ascii="黑体" w:hAnsi="黑体" w:eastAsia="黑体" w:cs="黑体"/>
          <w:b/>
          <w:bCs/>
          <w:kern w:val="0"/>
          <w:sz w:val="48"/>
          <w:szCs w:val="48"/>
        </w:rPr>
        <w:t>社会保险支出绩效评价报告</w:t>
      </w:r>
    </w:p>
    <w:p>
      <w:pPr>
        <w:pStyle w:val="2"/>
      </w:pP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年度，在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0"/>
          <w:szCs w:val="30"/>
        </w:rPr>
        <w:t>党委、政府的正确领导下，在人社局、财政局的大力支持下，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工作取得了显著成绩。各项社会保险基金收入稳步增长，支出相对增加，总体运行平稳。确保了广大参保人员各项社会保险待遇的按时、足额发放，各项保险覆盖面逐步扩大。在进一步加强社会保险基金预算管理的基础上，确保了各项基金的安全运营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一、社会保险基金收支余总体情况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社会保险（包括城乡居民养老保险费和机关事业单位养老保险）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2.27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1.72亿增加0.55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增加31.9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的109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。各项基金总支出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1.93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1.74亿</w:t>
      </w:r>
      <w:r>
        <w:rPr>
          <w:rFonts w:hint="eastAsia" w:ascii="仿宋_GB2312" w:hAnsi="仿宋_GB2312" w:eastAsia="仿宋_GB2312" w:cs="仿宋_GB2312"/>
          <w:sz w:val="30"/>
          <w:szCs w:val="30"/>
        </w:rPr>
        <w:t>增加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0.19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10.9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完成年度预算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101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基金当期结余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0.34亿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1.31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二、社会保险基金支出预算绩效目标设定情况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机关事业单位基本养老保险基金支出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，待遇按时发放州直部门每月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，离休退人员满意度≥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。，充分发挥社会保险的职能作用，基本生活水平逐年提高，分享改革成果。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城乡居民基本养老保险基金支出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0.31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亿元，基本养老保险待遇发放成功率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，基金支出预算执行率≥</w:t>
      </w:r>
      <w:r>
        <w:rPr>
          <w:rFonts w:ascii="仿宋_GB2312" w:hAnsi="仿宋_GB2312" w:eastAsia="仿宋_GB2312" w:cs="仿宋_GB2312"/>
          <w:sz w:val="30"/>
          <w:szCs w:val="30"/>
        </w:rPr>
        <w:t>90%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，基金使用符合政策规定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，财政补助资金到位率</w:t>
      </w:r>
      <w:r>
        <w:rPr>
          <w:rFonts w:ascii="仿宋_GB2312" w:hAnsi="仿宋_GB2312" w:eastAsia="仿宋_GB2312" w:cs="仿宋_GB2312"/>
          <w:sz w:val="30"/>
          <w:szCs w:val="30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，待遇按时发放每月</w:t>
      </w:r>
      <w:r>
        <w:rPr>
          <w:rFonts w:ascii="仿宋_GB2312" w:hAnsi="仿宋_GB2312" w:eastAsia="仿宋_GB2312" w:cs="仿宋_GB2312"/>
          <w:sz w:val="30"/>
          <w:szCs w:val="30"/>
        </w:rPr>
        <w:t>25</w:t>
      </w:r>
      <w:r>
        <w:rPr>
          <w:rFonts w:hint="eastAsia" w:ascii="仿宋_GB2312" w:hAnsi="仿宋_GB2312" w:eastAsia="仿宋_GB2312" w:cs="仿宋_GB2312"/>
          <w:sz w:val="30"/>
          <w:szCs w:val="30"/>
        </w:rPr>
        <w:t>日前，离退休人员上访率</w:t>
      </w:r>
      <w:r>
        <w:rPr>
          <w:rFonts w:ascii="仿宋_GB2312" w:hAnsi="仿宋_GB2312" w:eastAsia="仿宋_GB2312" w:cs="仿宋_GB2312"/>
          <w:sz w:val="30"/>
          <w:szCs w:val="30"/>
        </w:rPr>
        <w:t>&lt;0.1%</w:t>
      </w:r>
      <w:r>
        <w:rPr>
          <w:rFonts w:hint="eastAsia" w:ascii="仿宋_GB2312" w:hAnsi="仿宋_GB2312" w:eastAsia="仿宋_GB2312" w:cs="仿宋_GB2312"/>
          <w:sz w:val="30"/>
          <w:szCs w:val="30"/>
        </w:rPr>
        <w:t>，离休退人员满意度≥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，扩大社保的覆盖面，确保“老有所养”，提高人民群众的幸福感和获得感。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三、各项社会保险基金预算完成及运行情况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机关事业单位养老保险基金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年度机关事业单位养老保险基金总收入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1.81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亿元（保险费收入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亿元、财政补助收入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0.89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57万、</w:t>
      </w:r>
      <w:r>
        <w:rPr>
          <w:rFonts w:hint="eastAsia" w:ascii="仿宋_GB2312" w:hAnsi="仿宋_GB2312" w:eastAsia="仿宋_GB2312" w:cs="仿宋_GB2312"/>
          <w:sz w:val="30"/>
          <w:szCs w:val="30"/>
        </w:rPr>
        <w:t>其他收入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万元），收入较上年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增加0.51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增加39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1.61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亿元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的112%</w:t>
      </w:r>
      <w:r>
        <w:rPr>
          <w:rFonts w:hint="eastAsia" w:ascii="仿宋_GB2312" w:hAnsi="仿宋_GB2312" w:eastAsia="仿宋_GB2312" w:cs="仿宋_GB2312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亿元，较上年支出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1.45亿元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增加</w:t>
      </w:r>
      <w:r>
        <w:rPr>
          <w:rFonts w:ascii="仿宋_GB2312" w:hAnsi="仿宋_GB2312" w:eastAsia="仿宋_GB2312" w:cs="仿宋_GB2312"/>
          <w:sz w:val="30"/>
          <w:szCs w:val="30"/>
        </w:rPr>
        <w:t>0.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11.7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1.6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亿元的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10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0.18亿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元，滚存结余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0.18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亿</w:t>
      </w:r>
      <w:r>
        <w:rPr>
          <w:rFonts w:hint="eastAsia" w:ascii="仿宋_GB2312" w:hAnsi="仿宋_GB2312" w:eastAsia="仿宋_GB2312" w:cs="仿宋_GB2312"/>
          <w:sz w:val="30"/>
          <w:szCs w:val="30"/>
        </w:rPr>
        <w:t>元。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城乡居民基本养老保险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color w:val="auto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年度，城乡居民基本养老保险基金总收入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4577万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个人缴费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1381万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元，占基金总收入的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30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，政补助收入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3151万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元，占基金总收入的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68.8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、利息收入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万元、转移收入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16.7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委托投资收益16.7万元），</w:t>
      </w:r>
      <w:r>
        <w:rPr>
          <w:rFonts w:hint="eastAsia" w:ascii="仿宋_GB2312" w:hAnsi="仿宋_GB2312" w:eastAsia="仿宋_GB2312" w:cs="仿宋_GB2312"/>
          <w:sz w:val="30"/>
          <w:szCs w:val="30"/>
        </w:rPr>
        <w:t>收入较上年增长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316万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7.4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4620万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99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。基金总支出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3140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元（养老金支出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3135万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元、转移支出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万元）较上年支出增长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183万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元，增幅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6.2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，完成全年预算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3066万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102</w:t>
      </w:r>
      <w:r>
        <w:rPr>
          <w:rFonts w:ascii="仿宋_GB2312" w:hAnsi="仿宋_GB2312" w:eastAsia="仿宋_GB2312" w:cs="仿宋_GB2312"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。当年收支结余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1436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万元，累计结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余10609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元。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四、组织实施和绩效管理情况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社会保险管理情况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进一步完善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县级</w:t>
      </w:r>
      <w:r>
        <w:rPr>
          <w:rFonts w:hint="eastAsia" w:ascii="仿宋_GB2312" w:hAnsi="仿宋_GB2312" w:eastAsia="仿宋_GB2312" w:cs="仿宋_GB2312"/>
          <w:sz w:val="30"/>
          <w:szCs w:val="30"/>
        </w:rPr>
        <w:t>统筹制度，规范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城乡居民养老保险和机关事业单位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养老保险缴费政策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tabs>
          <w:tab w:val="left" w:pos="0"/>
        </w:tabs>
        <w:spacing w:line="520" w:lineRule="exact"/>
        <w:ind w:firstLine="602" w:firstLineChars="200"/>
        <w:rPr>
          <w:rFonts w:ascii="仿宋_GB2312" w:hAnsi="仿宋_GB2312" w:eastAsia="仿宋_GB2312"/>
          <w:b/>
          <w:bCs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</w:t>
      </w:r>
      <w:r>
        <w:rPr>
          <w:rFonts w:ascii="仿宋_GB2312" w:hAnsi="仿宋_GB2312" w:eastAsia="仿宋_GB2312" w:cs="仿宋_GB2312"/>
          <w:b/>
          <w:bCs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绩效目标完成情况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年以基金安全运行为根本，以提高管理服务水平为重点，严格执行社会保险各项政策，建立健全内部控制制度，确保待遇发放，基金运行总体平稳。通过连续几年为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农牧民增加缴费补贴，</w:t>
      </w:r>
      <w:r>
        <w:rPr>
          <w:rFonts w:hint="eastAsia" w:ascii="仿宋_GB2312" w:hAnsi="仿宋_GB2312" w:eastAsia="仿宋_GB2312" w:cs="仿宋_GB2312"/>
          <w:sz w:val="30"/>
          <w:szCs w:val="30"/>
        </w:rPr>
        <w:t>逐步提高保险待遇支付标准，使参保人员的获得感、幸福感不断增强。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社保经办机构按照“流程覆盖、环节把控、职责明确”的工作思路，实现了经办和管理工作规范、有效运行，保障了基金安全。一是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规范业务流程，</w:t>
      </w:r>
      <w:r>
        <w:rPr>
          <w:rFonts w:hint="eastAsia" w:ascii="仿宋_GB2312" w:hAnsi="仿宋_GB2312" w:eastAsia="仿宋_GB2312" w:cs="仿宋_GB2312"/>
          <w:sz w:val="30"/>
          <w:szCs w:val="30"/>
        </w:rPr>
        <w:t>健全内控制度。参保人员均按规定办理参保登记、个人账户信息修改、缴费等业务，严格执行统一的会计制度和收支业务审批制度，社保基金按规定对基金分别建账、分账核算，基金收入户、支出户和财政专户按规定开设账户，严格实行收支两条线管理，全面实行全程电子化，杜绝隐匿、转移、侵占、挪用基金的现象，确保基金专款专用。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0"/>
          <w:szCs w:val="30"/>
        </w:rPr>
        <w:t>按规定设置岗位，增强社保经办机构干部队伍力量，加强管理，严格遵守不相容职务相互分离的原则，业务审核岗位和审批岗位分离、审批岗位与计发待遇岗位分离、审批岗位与数据录入岗位分离、会计岗位与出纳岗位分离</w:t>
      </w:r>
      <w:r>
        <w:rPr>
          <w:rFonts w:ascii="仿宋_GB2312" w:hAnsi="仿宋_GB2312" w:eastAsia="仿宋_GB2312" w:cs="仿宋_GB2312"/>
          <w:sz w:val="30"/>
          <w:szCs w:val="30"/>
        </w:rPr>
        <w:t>;</w:t>
      </w:r>
      <w:r>
        <w:rPr>
          <w:rFonts w:hint="eastAsia" w:ascii="仿宋_GB2312" w:hAnsi="仿宋_GB2312" w:eastAsia="仿宋_GB2312" w:cs="仿宋_GB2312"/>
          <w:sz w:val="30"/>
          <w:szCs w:val="30"/>
        </w:rPr>
        <w:t>无违反业务规程、信息系统操作流程规定以及岗位职责、审批权限，办理社会保险业务、修改社会保险信息的现象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。三是</w:t>
      </w:r>
      <w:r>
        <w:rPr>
          <w:rFonts w:hint="eastAsia" w:ascii="仿宋_GB2312" w:hAnsi="仿宋_GB2312" w:eastAsia="仿宋_GB2312" w:cs="仿宋_GB2312"/>
          <w:sz w:val="30"/>
          <w:szCs w:val="30"/>
        </w:rPr>
        <w:t>按规定与银行、财政部门等核对基金的收付情况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严格执行基金支付政策，按月足额发放待遇，做到不拖欠、不挪用、不挤占社保基金。</w:t>
      </w: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年各项社会保险待遇也在规定时限内足额领取，社会满意度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以上，保障了退休人员的晚年生活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坚定维护了新疆社会稳定和长治久安。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年机关事业养老保险（改革）基金总支出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,</w:t>
      </w:r>
      <w:r>
        <w:rPr>
          <w:rFonts w:hint="eastAsia" w:ascii="仿宋_GB2312" w:hAnsi="仿宋_GB2312" w:eastAsia="仿宋_GB2312" w:cs="仿宋_GB2312"/>
          <w:sz w:val="30"/>
          <w:szCs w:val="30"/>
        </w:rPr>
        <w:t>其中：基本养老金待遇支出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0"/>
          <w:szCs w:val="30"/>
        </w:rPr>
        <w:t>亿元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全年保障离退休人员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2375</w:t>
      </w:r>
      <w:r>
        <w:rPr>
          <w:rFonts w:hint="eastAsia" w:ascii="仿宋_GB2312" w:hAnsi="仿宋_GB2312" w:eastAsia="仿宋_GB2312" w:cs="仿宋_GB2312"/>
          <w:sz w:val="30"/>
          <w:szCs w:val="30"/>
        </w:rPr>
        <w:t>人的基本养老金待遇发放。全年预算支出执行目标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105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以上，按时足额发放养老金，首次待遇发放准确率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99%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</w:rPr>
        <w:t>年城乡居民基本养老保险基金总支出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3141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0"/>
          <w:szCs w:val="30"/>
        </w:rPr>
        <w:t>元，全年享受养老保险待遇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14747</w:t>
      </w:r>
      <w:r>
        <w:rPr>
          <w:rFonts w:hint="eastAsia" w:ascii="仿宋_GB2312" w:hAnsi="仿宋_GB2312" w:eastAsia="仿宋_GB2312" w:cs="仿宋_GB2312"/>
          <w:sz w:val="30"/>
          <w:szCs w:val="30"/>
        </w:rPr>
        <w:t>人。全年预算支出执行目标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99.5</w:t>
      </w:r>
      <w:r>
        <w:rPr>
          <w:rFonts w:ascii="仿宋_GB2312" w:hAnsi="仿宋_GB2312" w:eastAsia="仿宋_GB2312" w:cs="仿宋_GB2312"/>
          <w:sz w:val="30"/>
          <w:szCs w:val="30"/>
        </w:rPr>
        <w:t>%</w:t>
      </w:r>
      <w:r>
        <w:rPr>
          <w:rFonts w:hint="eastAsia" w:ascii="仿宋_GB2312" w:hAnsi="仿宋_GB2312" w:eastAsia="仿宋_GB2312" w:cs="仿宋_GB2312"/>
          <w:sz w:val="30"/>
          <w:szCs w:val="30"/>
        </w:rPr>
        <w:t>以，按照承诺时限将及时足额将待遇资金拨付参保个人，首次发放准确率</w:t>
      </w:r>
      <w:r>
        <w:rPr>
          <w:rFonts w:ascii="仿宋_GB2312" w:hAnsi="仿宋_GB2312" w:eastAsia="仿宋_GB2312" w:cs="仿宋_GB2312"/>
          <w:sz w:val="30"/>
          <w:szCs w:val="30"/>
        </w:rPr>
        <w:t>99</w:t>
      </w:r>
      <w:r>
        <w:rPr>
          <w:rFonts w:hint="eastAsia" w:ascii="仿宋_GB2312" w:hAnsi="仿宋_GB2312" w:eastAsia="仿宋_GB2312" w:cs="仿宋_GB2312"/>
          <w:sz w:val="30"/>
          <w:szCs w:val="30"/>
        </w:rPr>
        <w:t>％以上，参保群众满意率</w:t>
      </w:r>
      <w:r>
        <w:rPr>
          <w:rFonts w:ascii="仿宋_GB2312" w:hAnsi="仿宋_GB2312" w:eastAsia="仿宋_GB2312" w:cs="仿宋_GB2312"/>
          <w:sz w:val="30"/>
          <w:szCs w:val="30"/>
        </w:rPr>
        <w:t>95%</w:t>
      </w:r>
      <w:r>
        <w:rPr>
          <w:rFonts w:hint="eastAsia" w:ascii="仿宋_GB2312" w:hAnsi="仿宋_GB2312" w:eastAsia="仿宋_GB2312" w:cs="仿宋_GB2312"/>
          <w:sz w:val="30"/>
          <w:szCs w:val="30"/>
        </w:rPr>
        <w:t>以上。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五、下一年度计划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养老保险按国家统一安排、同步调整企业和机关事业单位退休人员基本养老金。继续推动机关事业单位养老保险改革，全面实现参保缴费、待遇发放和新办法计发。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五、存在问题和建议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一是绩效目标设定还不太合理有待进一步完善。建议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由上级部门制定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社会保险基金支出绩效目标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，而不是由经办机构自行制定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二是工作人员岗位变动频繁，业务经办水平有待提高，对业务经办人员的培训工作有待加强。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黑体" w:hAnsi="仿宋_GB2312" w:eastAsia="黑体"/>
          <w:sz w:val="30"/>
          <w:szCs w:val="30"/>
        </w:rPr>
      </w:pPr>
      <w:r>
        <w:rPr>
          <w:rFonts w:hint="eastAsia" w:ascii="黑体" w:hAnsi="仿宋_GB2312" w:eastAsia="黑体" w:cs="黑体"/>
          <w:sz w:val="30"/>
          <w:szCs w:val="30"/>
        </w:rPr>
        <w:t>六、附表</w:t>
      </w:r>
    </w:p>
    <w:p>
      <w:pPr>
        <w:tabs>
          <w:tab w:val="left" w:pos="0"/>
        </w:tabs>
        <w:spacing w:line="520" w:lineRule="exact"/>
        <w:ind w:firstLine="600" w:firstLineChars="200"/>
        <w:rPr>
          <w:rFonts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吉木萨尔县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社会保险支出绩效自评表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1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4A7091"/>
    <w:rsid w:val="19EA68B2"/>
    <w:rsid w:val="1C4D6DDE"/>
    <w:rsid w:val="6FD02B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8"/>
    <w:uiPriority w:val="0"/>
    <w:pPr>
      <w:keepNext/>
      <w:widowControl/>
      <w:spacing w:before="240" w:after="60"/>
      <w:jc w:val="left"/>
      <w:outlineLvl w:val="0"/>
    </w:pPr>
    <w:rPr>
      <w:rFonts w:ascii="Cambria" w:hAnsi="Cambria" w:eastAsia="宋体" w:cs="Cambr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9"/>
    <w:uiPriority w:val="0"/>
    <w:pPr>
      <w:keepNext/>
      <w:widowControl/>
      <w:spacing w:before="240" w:after="60"/>
      <w:jc w:val="left"/>
      <w:outlineLvl w:val="1"/>
    </w:pPr>
    <w:rPr>
      <w:rFonts w:ascii="Cambria" w:hAnsi="Cambria" w:eastAsia="宋体" w:cs="Cambria"/>
      <w:b/>
      <w:bCs/>
      <w:i/>
      <w:iCs/>
      <w:sz w:val="28"/>
      <w:szCs w:val="28"/>
    </w:rPr>
  </w:style>
  <w:style w:type="paragraph" w:styleId="5">
    <w:name w:val="heading 3"/>
    <w:basedOn w:val="1"/>
    <w:next w:val="1"/>
    <w:link w:val="30"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 w:cs="Cambria"/>
      <w:b/>
      <w:bCs/>
      <w:sz w:val="26"/>
      <w:szCs w:val="26"/>
    </w:rPr>
  </w:style>
  <w:style w:type="paragraph" w:styleId="6">
    <w:name w:val="heading 4"/>
    <w:basedOn w:val="1"/>
    <w:next w:val="1"/>
    <w:link w:val="31"/>
    <w:uiPriority w:val="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7">
    <w:name w:val="heading 5"/>
    <w:basedOn w:val="1"/>
    <w:next w:val="1"/>
    <w:link w:val="32"/>
    <w:uiPriority w:val="0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8">
    <w:name w:val="heading 6"/>
    <w:basedOn w:val="1"/>
    <w:next w:val="1"/>
    <w:link w:val="33"/>
    <w:uiPriority w:val="0"/>
    <w:pPr>
      <w:widowControl/>
      <w:spacing w:before="240" w:after="60"/>
      <w:jc w:val="left"/>
      <w:outlineLvl w:val="5"/>
    </w:pPr>
    <w:rPr>
      <w:b/>
      <w:bCs/>
    </w:rPr>
  </w:style>
  <w:style w:type="paragraph" w:styleId="9">
    <w:name w:val="heading 7"/>
    <w:basedOn w:val="1"/>
    <w:next w:val="1"/>
    <w:link w:val="34"/>
    <w:uiPriority w:val="0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10">
    <w:name w:val="heading 8"/>
    <w:basedOn w:val="1"/>
    <w:next w:val="1"/>
    <w:link w:val="35"/>
    <w:uiPriority w:val="0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link w:val="36"/>
    <w:uiPriority w:val="0"/>
    <w:pPr>
      <w:widowControl/>
      <w:spacing w:before="240" w:after="60"/>
      <w:jc w:val="left"/>
      <w:outlineLvl w:val="8"/>
    </w:pPr>
    <w:rPr>
      <w:rFonts w:ascii="Cambria" w:hAnsi="Cambria" w:eastAsia="宋体" w:cs="Cambria"/>
    </w:rPr>
  </w:style>
  <w:style w:type="character" w:default="1" w:styleId="17">
    <w:name w:val="Default Paragraph Font"/>
    <w:link w:val="18"/>
    <w:semiHidden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7"/>
    <w:uiPriority w:val="0"/>
    <w:pPr>
      <w:jc w:val="center"/>
    </w:pPr>
    <w:rPr>
      <w:sz w:val="24"/>
      <w:szCs w:val="24"/>
    </w:rPr>
  </w:style>
  <w:style w:type="paragraph" w:styleId="12">
    <w:name w:val="footer"/>
    <w:basedOn w:val="1"/>
    <w:link w:val="39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kern w:val="2"/>
      <w:sz w:val="18"/>
      <w:szCs w:val="18"/>
    </w:rPr>
  </w:style>
  <w:style w:type="paragraph" w:styleId="13">
    <w:name w:val="header"/>
    <w:basedOn w:val="1"/>
    <w:link w:val="4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kern w:val="2"/>
      <w:sz w:val="18"/>
      <w:szCs w:val="18"/>
    </w:rPr>
  </w:style>
  <w:style w:type="paragraph" w:styleId="14">
    <w:name w:val="Subtitle"/>
    <w:basedOn w:val="1"/>
    <w:next w:val="1"/>
    <w:link w:val="41"/>
    <w:uiPriority w:val="0"/>
    <w:pPr>
      <w:widowControl/>
      <w:spacing w:after="60"/>
      <w:jc w:val="center"/>
      <w:outlineLvl w:val="1"/>
    </w:pPr>
    <w:rPr>
      <w:rFonts w:ascii="Cambria" w:hAnsi="Cambria" w:eastAsia="宋体" w:cs="Cambria"/>
      <w:sz w:val="24"/>
      <w:szCs w:val="24"/>
    </w:rPr>
  </w:style>
  <w:style w:type="paragraph" w:styleId="15">
    <w:name w:val="Title"/>
    <w:basedOn w:val="1"/>
    <w:next w:val="1"/>
    <w:link w:val="42"/>
    <w:uiPriority w:val="0"/>
    <w:pPr>
      <w:widowControl/>
      <w:spacing w:before="240" w:after="60"/>
      <w:jc w:val="center"/>
      <w:outlineLvl w:val="0"/>
    </w:pPr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18">
    <w:name w:val="Char Char Char Char Char Char1 Char Char Char Char"/>
    <w:basedOn w:val="1"/>
    <w:link w:val="17"/>
    <w:uiPriority w:val="0"/>
  </w:style>
  <w:style w:type="character" w:styleId="19">
    <w:name w:val="Strong"/>
    <w:basedOn w:val="17"/>
    <w:uiPriority w:val="0"/>
    <w:rPr>
      <w:b/>
      <w:bCs/>
    </w:rPr>
  </w:style>
  <w:style w:type="character" w:styleId="20">
    <w:name w:val="Emphasis"/>
    <w:basedOn w:val="17"/>
    <w:uiPriority w:val="0"/>
    <w:rPr>
      <w:rFonts w:ascii="Calibri" w:hAnsi="Calibri" w:cs="Calibri"/>
      <w:b/>
      <w:bCs/>
      <w:i/>
      <w:iCs/>
    </w:rPr>
  </w:style>
  <w:style w:type="paragraph" w:customStyle="1" w:styleId="21">
    <w:name w:val="Block Text"/>
    <w:basedOn w:val="1"/>
    <w:next w:val="1"/>
    <w:link w:val="43"/>
    <w:uiPriority w:val="0"/>
    <w:pPr>
      <w:widowControl/>
      <w:jc w:val="left"/>
    </w:pPr>
    <w:rPr>
      <w:i/>
      <w:iCs/>
      <w:sz w:val="24"/>
      <w:szCs w:val="24"/>
    </w:rPr>
  </w:style>
  <w:style w:type="paragraph" w:customStyle="1" w:styleId="22">
    <w:name w:val="批注框文本 Char Char"/>
    <w:basedOn w:val="1"/>
    <w:link w:val="3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  <w:szCs w:val="24"/>
    </w:rPr>
  </w:style>
  <w:style w:type="paragraph" w:customStyle="1" w:styleId="24">
    <w:name w:val="No Spacing"/>
    <w:basedOn w:val="1"/>
    <w:uiPriority w:val="0"/>
    <w:pPr>
      <w:widowControl/>
      <w:jc w:val="left"/>
    </w:pPr>
    <w:rPr>
      <w:rFonts w:ascii="Calibri" w:hAnsi="Calibri" w:eastAsia="宋体" w:cs="Calibri"/>
      <w:kern w:val="0"/>
      <w:sz w:val="24"/>
      <w:szCs w:val="24"/>
      <w:lang w:val="en-US" w:eastAsia="en-US" w:bidi="ar-SA"/>
    </w:rPr>
  </w:style>
  <w:style w:type="paragraph" w:customStyle="1" w:styleId="25">
    <w:name w:val="List Paragraph"/>
    <w:basedOn w:val="1"/>
    <w:uiPriority w:val="0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26">
    <w:name w:val="Intense Quote"/>
    <w:basedOn w:val="1"/>
    <w:next w:val="1"/>
    <w:link w:val="44"/>
    <w:uiPriority w:val="0"/>
    <w:pPr>
      <w:widowControl/>
      <w:ind w:left="720" w:right="720"/>
      <w:jc w:val="left"/>
    </w:pPr>
    <w:rPr>
      <w:b/>
      <w:bCs/>
      <w:i/>
      <w:iCs/>
      <w:sz w:val="24"/>
      <w:szCs w:val="24"/>
    </w:rPr>
  </w:style>
  <w:style w:type="paragraph" w:customStyle="1" w:styleId="27">
    <w:name w:val="TOC Heading1"/>
    <w:basedOn w:val="3"/>
    <w:next w:val="1"/>
    <w:uiPriority w:val="0"/>
    <w:pPr>
      <w:outlineLvl w:val="9"/>
    </w:pPr>
    <w:rPr>
      <w:lang w:eastAsia="en-US"/>
    </w:rPr>
  </w:style>
  <w:style w:type="character" w:customStyle="1" w:styleId="28">
    <w:name w:val="Heading 1 Char"/>
    <w:basedOn w:val="17"/>
    <w:link w:val="3"/>
    <w:semiHidden/>
    <w:uiPriority w:val="0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9">
    <w:name w:val="Heading 2 Char"/>
    <w:basedOn w:val="17"/>
    <w:link w:val="4"/>
    <w:semiHidden/>
    <w:uiPriority w:val="0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30">
    <w:name w:val="Heading 3 Char"/>
    <w:basedOn w:val="17"/>
    <w:link w:val="5"/>
    <w:semiHidden/>
    <w:uiPriority w:val="0"/>
    <w:rPr>
      <w:rFonts w:ascii="Cambria" w:hAnsi="Cambria" w:eastAsia="宋体" w:cs="Cambria"/>
      <w:b/>
      <w:bCs/>
      <w:sz w:val="26"/>
      <w:szCs w:val="26"/>
    </w:rPr>
  </w:style>
  <w:style w:type="character" w:customStyle="1" w:styleId="31">
    <w:name w:val="Heading 4 Char"/>
    <w:basedOn w:val="17"/>
    <w:link w:val="6"/>
    <w:semiHidden/>
    <w:uiPriority w:val="0"/>
    <w:rPr>
      <w:b/>
      <w:bCs/>
      <w:sz w:val="28"/>
      <w:szCs w:val="28"/>
    </w:rPr>
  </w:style>
  <w:style w:type="character" w:customStyle="1" w:styleId="32">
    <w:name w:val="Heading 5 Char"/>
    <w:basedOn w:val="17"/>
    <w:link w:val="7"/>
    <w:semiHidden/>
    <w:uiPriority w:val="0"/>
    <w:rPr>
      <w:b/>
      <w:bCs/>
      <w:i/>
      <w:iCs/>
      <w:sz w:val="26"/>
      <w:szCs w:val="26"/>
    </w:rPr>
  </w:style>
  <w:style w:type="character" w:customStyle="1" w:styleId="33">
    <w:name w:val="Heading 6 Char"/>
    <w:basedOn w:val="17"/>
    <w:link w:val="8"/>
    <w:semiHidden/>
    <w:uiPriority w:val="0"/>
    <w:rPr>
      <w:b/>
      <w:bCs/>
    </w:rPr>
  </w:style>
  <w:style w:type="character" w:customStyle="1" w:styleId="34">
    <w:name w:val="Heading 7 Char"/>
    <w:basedOn w:val="17"/>
    <w:link w:val="9"/>
    <w:semiHidden/>
    <w:uiPriority w:val="0"/>
    <w:rPr>
      <w:sz w:val="24"/>
      <w:szCs w:val="24"/>
    </w:rPr>
  </w:style>
  <w:style w:type="character" w:customStyle="1" w:styleId="35">
    <w:name w:val="Heading 8 Char"/>
    <w:basedOn w:val="17"/>
    <w:link w:val="10"/>
    <w:semiHidden/>
    <w:uiPriority w:val="0"/>
    <w:rPr>
      <w:i/>
      <w:iCs/>
      <w:sz w:val="24"/>
      <w:szCs w:val="24"/>
    </w:rPr>
  </w:style>
  <w:style w:type="character" w:customStyle="1" w:styleId="36">
    <w:name w:val="Heading 9 Char"/>
    <w:basedOn w:val="17"/>
    <w:link w:val="11"/>
    <w:semiHidden/>
    <w:uiPriority w:val="0"/>
    <w:rPr>
      <w:rFonts w:ascii="Cambria" w:hAnsi="Cambria" w:eastAsia="宋体" w:cs="Cambria"/>
    </w:rPr>
  </w:style>
  <w:style w:type="character" w:customStyle="1" w:styleId="37">
    <w:name w:val="Body Text Char"/>
    <w:basedOn w:val="17"/>
    <w:link w:val="2"/>
    <w:semiHidden/>
    <w:uiPriority w:val="0"/>
    <w:rPr>
      <w:sz w:val="24"/>
      <w:szCs w:val="24"/>
    </w:rPr>
  </w:style>
  <w:style w:type="character" w:customStyle="1" w:styleId="38">
    <w:name w:val="Balloon Text Char"/>
    <w:basedOn w:val="17"/>
    <w:link w:val="22"/>
    <w:semiHidden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9">
    <w:name w:val="Footer Char"/>
    <w:basedOn w:val="17"/>
    <w:link w:val="12"/>
    <w:semiHidden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0">
    <w:name w:val="Header Char"/>
    <w:basedOn w:val="17"/>
    <w:link w:val="13"/>
    <w:semiHidden/>
    <w:uiPriority w:val="0"/>
    <w:rPr>
      <w:rFonts w:ascii="Calibri" w:hAnsi="Calibri" w:eastAsia="宋体" w:cs="Calibri"/>
      <w:kern w:val="2"/>
      <w:sz w:val="18"/>
      <w:szCs w:val="18"/>
    </w:rPr>
  </w:style>
  <w:style w:type="character" w:customStyle="1" w:styleId="41">
    <w:name w:val="Subtitle Char"/>
    <w:basedOn w:val="17"/>
    <w:link w:val="14"/>
    <w:semiHidden/>
    <w:uiPriority w:val="0"/>
    <w:rPr>
      <w:rFonts w:ascii="Cambria" w:hAnsi="Cambria" w:eastAsia="宋体" w:cs="Cambria"/>
      <w:sz w:val="24"/>
      <w:szCs w:val="24"/>
    </w:rPr>
  </w:style>
  <w:style w:type="character" w:customStyle="1" w:styleId="42">
    <w:name w:val="Title Char"/>
    <w:basedOn w:val="17"/>
    <w:link w:val="15"/>
    <w:semiHidden/>
    <w:uiPriority w:val="0"/>
    <w:rPr>
      <w:rFonts w:ascii="Cambria" w:hAnsi="Cambria" w:eastAsia="宋体" w:cs="Cambria"/>
      <w:b/>
      <w:bCs/>
      <w:kern w:val="28"/>
      <w:sz w:val="32"/>
      <w:szCs w:val="32"/>
    </w:rPr>
  </w:style>
  <w:style w:type="character" w:customStyle="1" w:styleId="43">
    <w:name w:val="Quote Char"/>
    <w:basedOn w:val="17"/>
    <w:link w:val="21"/>
    <w:semiHidden/>
    <w:uiPriority w:val="0"/>
    <w:rPr>
      <w:i/>
      <w:iCs/>
      <w:sz w:val="24"/>
      <w:szCs w:val="24"/>
    </w:rPr>
  </w:style>
  <w:style w:type="character" w:customStyle="1" w:styleId="44">
    <w:name w:val="Intense Quote Char Char"/>
    <w:basedOn w:val="17"/>
    <w:link w:val="26"/>
    <w:semiHidden/>
    <w:uiPriority w:val="0"/>
    <w:rPr>
      <w:b/>
      <w:bCs/>
      <w:i/>
      <w:iCs/>
      <w:sz w:val="24"/>
      <w:szCs w:val="24"/>
    </w:rPr>
  </w:style>
  <w:style w:type="character" w:customStyle="1" w:styleId="45">
    <w:name w:val="Subtle Emphasis1"/>
    <w:uiPriority w:val="0"/>
    <w:rPr>
      <w:i/>
      <w:iCs/>
      <w:color w:val="auto"/>
    </w:rPr>
  </w:style>
  <w:style w:type="character" w:customStyle="1" w:styleId="46">
    <w:name w:val="Intense Emphasis1"/>
    <w:basedOn w:val="17"/>
    <w:uiPriority w:val="0"/>
    <w:rPr>
      <w:b/>
      <w:bCs/>
      <w:i/>
      <w:iCs/>
      <w:sz w:val="24"/>
      <w:szCs w:val="24"/>
      <w:u w:val="single"/>
    </w:rPr>
  </w:style>
  <w:style w:type="character" w:customStyle="1" w:styleId="47">
    <w:name w:val="Subtle Reference1"/>
    <w:basedOn w:val="17"/>
    <w:uiPriority w:val="0"/>
    <w:rPr>
      <w:sz w:val="24"/>
      <w:szCs w:val="24"/>
      <w:u w:val="single"/>
    </w:rPr>
  </w:style>
  <w:style w:type="character" w:customStyle="1" w:styleId="48">
    <w:name w:val="Intense Reference1"/>
    <w:basedOn w:val="17"/>
    <w:uiPriority w:val="0"/>
    <w:rPr>
      <w:b/>
      <w:bCs/>
      <w:sz w:val="24"/>
      <w:szCs w:val="24"/>
      <w:u w:val="single"/>
    </w:rPr>
  </w:style>
  <w:style w:type="character" w:customStyle="1" w:styleId="49">
    <w:name w:val="Book Title1"/>
    <w:basedOn w:val="17"/>
    <w:uiPriority w:val="0"/>
    <w:rPr>
      <w:rFonts w:ascii="Cambria" w:hAnsi="Cambria" w:eastAsia="宋体" w:cs="Cambria"/>
      <w:b/>
      <w:bCs/>
      <w:i/>
      <w:i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12</Pages>
  <Words>1091</Words>
  <Characters>6222</Characters>
  <Lines>0</Lines>
  <Paragraphs>0</Paragraphs>
  <TotalTime>25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2019-03-03T10:44:00Z</dcterms:created>
  <dc:creator>赵 恺（预算处）</dc:creator>
  <cp:lastModifiedBy>Administrator</cp:lastModifiedBy>
  <cp:lastPrinted>2021-09-10T04:53:30Z</cp:lastPrinted>
  <dcterms:modified xsi:type="dcterms:W3CDTF">2021-09-10T05:24:55Z</dcterms:modified>
  <dc:title>自治区本级社会保险支出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