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3958" w:type="dxa"/>
        <w:tblInd w:w="0" w:type="dxa"/>
        <w:tblLayout w:type="fixed"/>
        <w:tblCellMar>
          <w:top w:w="0" w:type="dxa"/>
          <w:left w:w="0" w:type="dxa"/>
          <w:bottom w:w="0" w:type="dxa"/>
          <w:right w:w="0" w:type="dxa"/>
        </w:tblCellMar>
      </w:tblPr>
      <w:tblGrid>
        <w:gridCol w:w="13958"/>
      </w:tblGrid>
      <w:tr>
        <w:tblPrEx>
          <w:tblLayout w:type="fixed"/>
          <w:tblCellMar>
            <w:top w:w="0" w:type="dxa"/>
            <w:left w:w="0" w:type="dxa"/>
            <w:bottom w:w="0" w:type="dxa"/>
            <w:right w:w="0" w:type="dxa"/>
          </w:tblCellMar>
        </w:tblPrEx>
        <w:tc>
          <w:tcPr>
            <w:tcW w:w="13958" w:type="dxa"/>
            <w:noWrap w:val="0"/>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ascii="微软雅黑" w:hAnsi="微软雅黑" w:eastAsia="微软雅黑" w:cs="微软雅黑"/>
                <w:b/>
                <w:i w:val="0"/>
                <w:caps w:val="0"/>
                <w:color w:val="2B2B2B"/>
                <w:spacing w:val="0"/>
                <w:sz w:val="36"/>
                <w:szCs w:val="36"/>
              </w:rPr>
            </w:pPr>
            <w:r>
              <w:rPr>
                <w:rFonts w:hint="eastAsia" w:ascii="微软雅黑" w:hAnsi="微软雅黑" w:eastAsia="微软雅黑" w:cs="微软雅黑"/>
                <w:b/>
                <w:i w:val="0"/>
                <w:caps w:val="0"/>
                <w:color w:val="2B2B2B"/>
                <w:spacing w:val="0"/>
                <w:kern w:val="0"/>
                <w:sz w:val="36"/>
                <w:szCs w:val="36"/>
                <w:lang w:val="en-US" w:eastAsia="zh-CN" w:bidi="ar"/>
              </w:rPr>
              <w:t>吉木萨尔县中央财政衔接推进乡村振兴补助资金安排使用情况公告公示</w:t>
            </w:r>
          </w:p>
        </w:tc>
      </w:tr>
    </w:tbl>
    <w:p>
      <w:pPr>
        <w:rPr>
          <w:vanish/>
          <w:sz w:val="24"/>
          <w:szCs w:val="24"/>
        </w:rPr>
      </w:pPr>
    </w:p>
    <w:tbl>
      <w:tblPr>
        <w:tblStyle w:val="4"/>
        <w:tblW w:w="13958" w:type="dxa"/>
        <w:tblInd w:w="0" w:type="dxa"/>
        <w:tblLayout w:type="fixed"/>
        <w:tblCellMar>
          <w:top w:w="0" w:type="dxa"/>
          <w:left w:w="0" w:type="dxa"/>
          <w:bottom w:w="0" w:type="dxa"/>
          <w:right w:w="0" w:type="dxa"/>
        </w:tblCellMar>
      </w:tblPr>
      <w:tblGrid>
        <w:gridCol w:w="13958"/>
      </w:tblGrid>
      <w:tr>
        <w:tblPrEx>
          <w:tblLayout w:type="fixed"/>
          <w:tblCellMar>
            <w:top w:w="0" w:type="dxa"/>
            <w:left w:w="0" w:type="dxa"/>
            <w:bottom w:w="0" w:type="dxa"/>
            <w:right w:w="0" w:type="dxa"/>
          </w:tblCellMar>
        </w:tblPrEx>
        <w:tc>
          <w:tcPr>
            <w:tcW w:w="13958" w:type="dxa"/>
            <w:noWrap w:val="0"/>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i w:val="0"/>
                <w:caps w:val="0"/>
                <w:color w:val="2B2B2B"/>
                <w:spacing w:val="0"/>
                <w:sz w:val="18"/>
                <w:szCs w:val="18"/>
              </w:rPr>
            </w:pPr>
          </w:p>
        </w:tc>
      </w:tr>
    </w:tbl>
    <w:p>
      <w:pPr>
        <w:rPr>
          <w:vanish/>
          <w:sz w:val="24"/>
          <w:szCs w:val="24"/>
        </w:rPr>
      </w:pPr>
    </w:p>
    <w:tbl>
      <w:tblPr>
        <w:tblStyle w:val="4"/>
        <w:tblW w:w="13961" w:type="dxa"/>
        <w:tblInd w:w="-3" w:type="dxa"/>
        <w:tblLayout w:type="fixed"/>
        <w:tblCellMar>
          <w:top w:w="0" w:type="dxa"/>
          <w:left w:w="0" w:type="dxa"/>
          <w:bottom w:w="0" w:type="dxa"/>
          <w:right w:w="0" w:type="dxa"/>
        </w:tblCellMar>
      </w:tblPr>
      <w:tblGrid>
        <w:gridCol w:w="13961"/>
      </w:tblGrid>
      <w:tr>
        <w:tblPrEx>
          <w:tblLayout w:type="fixed"/>
          <w:tblCellMar>
            <w:top w:w="0" w:type="dxa"/>
            <w:left w:w="0" w:type="dxa"/>
            <w:bottom w:w="0" w:type="dxa"/>
            <w:right w:w="0" w:type="dxa"/>
          </w:tblCellMar>
        </w:tblPrEx>
        <w:tc>
          <w:tcPr>
            <w:tcW w:w="13961" w:type="dxa"/>
            <w:noWrap w:val="0"/>
            <w:vAlign w:val="top"/>
          </w:tcPr>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6" w:beforeAutospacing="0" w:after="0" w:afterAutospacing="0" w:line="400" w:lineRule="exact"/>
              <w:ind w:right="0" w:firstLine="640" w:firstLineChars="200"/>
              <w:jc w:val="left"/>
              <w:textAlignment w:val="auto"/>
              <w:rPr>
                <w:rFonts w:hint="eastAsia" w:ascii="仿宋_GB2312" w:hAnsi="微软雅黑" w:eastAsia="仿宋_GB2312" w:cs="仿宋_GB2312"/>
                <w:b w:val="0"/>
                <w:i w:val="0"/>
                <w:caps w:val="0"/>
                <w:color w:val="2B2B2B"/>
                <w:spacing w:val="0"/>
                <w:kern w:val="0"/>
                <w:sz w:val="32"/>
                <w:szCs w:val="32"/>
                <w:lang w:val="en-US" w:eastAsia="zh-CN" w:bidi="ar"/>
              </w:rPr>
            </w:pPr>
            <w:r>
              <w:rPr>
                <w:rFonts w:hint="eastAsia" w:ascii="仿宋_GB2312" w:hAnsi="微软雅黑" w:eastAsia="仿宋_GB2312" w:cs="仿宋_GB2312"/>
                <w:b w:val="0"/>
                <w:i w:val="0"/>
                <w:caps w:val="0"/>
                <w:color w:val="2B2B2B"/>
                <w:spacing w:val="0"/>
                <w:kern w:val="0"/>
                <w:sz w:val="32"/>
                <w:szCs w:val="32"/>
                <w:lang w:val="en-US" w:eastAsia="zh-CN" w:bidi="ar"/>
              </w:rPr>
              <w:t>2021年，上级下达吉木萨尔县中央财政衔接推进乡村振兴补助资金2810万元（巩固拓展脱贫攻坚成果同乡村振兴任务），按照《关于对2021年北庭镇第二批中央财政衔接推进乡村振兴补助资金拟实施项目的批复》（吉扶领办〔2021〕20号）、《关于对2021年二工镇第二批中央财政衔接推进乡村振兴补助资金拟实施项目的批复》（吉扶领办〔2021〕21号）、《关于对2021年庆阳湖乡第二批中央财政衔接推进乡村振兴补助资金拟实施项目的批复》（吉扶领办〔2021〕22号）、《关于对2021年老台乡第二批中央财政衔接推进乡村振兴补助资金拟实施项目的批复》（吉扶领办〔2021〕23号）、《关于对2021年泉子街镇第二批中央财政衔接推进乡村振兴补助资金拟实施项目的批复》（吉扶领办〔2021〕24号）、《关于对2021年大有镇第二批中央财政衔接推进乡村振兴补助资金拟实施项目的批复》（吉扶领办〔2021〕25号）、《关于对2021年新地乡第二批中央财政衔接推进乡村振兴补助资金拟实施项目的批复》（吉扶领办〔2021〕26号），现将有关资金安排使用情况公示如下：</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6" w:beforeAutospacing="0" w:after="0" w:afterAutospacing="0" w:line="400" w:lineRule="exact"/>
              <w:ind w:right="0" w:firstLine="640" w:firstLineChars="200"/>
              <w:jc w:val="left"/>
              <w:textAlignment w:val="auto"/>
              <w:rPr>
                <w:rFonts w:hint="eastAsia" w:ascii="仿宋_GB2312" w:hAnsi="微软雅黑" w:eastAsia="仿宋_GB2312" w:cs="仿宋_GB2312"/>
                <w:b w:val="0"/>
                <w:i w:val="0"/>
                <w:caps w:val="0"/>
                <w:color w:val="2B2B2B"/>
                <w:spacing w:val="0"/>
                <w:kern w:val="0"/>
                <w:sz w:val="32"/>
                <w:szCs w:val="32"/>
                <w:lang w:val="en-US" w:eastAsia="zh-CN" w:bidi="ar"/>
              </w:rPr>
            </w:pPr>
            <w:r>
              <w:rPr>
                <w:rFonts w:hint="eastAsia" w:ascii="仿宋_GB2312" w:hAnsi="微软雅黑" w:eastAsia="仿宋_GB2312" w:cs="仿宋_GB2312"/>
                <w:b w:val="0"/>
                <w:i w:val="0"/>
                <w:caps w:val="0"/>
                <w:color w:val="2B2B2B"/>
                <w:spacing w:val="0"/>
                <w:kern w:val="0"/>
                <w:sz w:val="32"/>
                <w:szCs w:val="32"/>
                <w:lang w:val="en-US" w:eastAsia="zh-CN" w:bidi="ar"/>
              </w:rPr>
              <w:t>一、资金来源</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6" w:beforeAutospacing="0" w:after="0" w:afterAutospacing="0" w:line="400" w:lineRule="exact"/>
              <w:ind w:right="0" w:firstLine="640" w:firstLineChars="200"/>
              <w:jc w:val="left"/>
              <w:textAlignment w:val="auto"/>
              <w:rPr>
                <w:rFonts w:hint="eastAsia" w:ascii="仿宋_GB2312" w:hAnsi="微软雅黑" w:eastAsia="仿宋_GB2312" w:cs="仿宋_GB2312"/>
                <w:b w:val="0"/>
                <w:i w:val="0"/>
                <w:caps w:val="0"/>
                <w:color w:val="2B2B2B"/>
                <w:spacing w:val="0"/>
                <w:kern w:val="0"/>
                <w:sz w:val="32"/>
                <w:szCs w:val="32"/>
                <w:lang w:val="en-US" w:eastAsia="zh-CN" w:bidi="ar"/>
              </w:rPr>
            </w:pPr>
            <w:r>
              <w:rPr>
                <w:rFonts w:hint="eastAsia" w:ascii="仿宋_GB2312" w:hAnsi="微软雅黑" w:eastAsia="仿宋_GB2312" w:cs="仿宋_GB2312"/>
                <w:b w:val="0"/>
                <w:i w:val="0"/>
                <w:caps w:val="0"/>
                <w:color w:val="2B2B2B"/>
                <w:spacing w:val="0"/>
                <w:kern w:val="0"/>
                <w:sz w:val="32"/>
                <w:szCs w:val="32"/>
                <w:lang w:val="en-US" w:eastAsia="zh-CN" w:bidi="ar"/>
              </w:rPr>
              <w:t>2021年中央财政衔接推进乡村振兴补助资金（巩固拓展脱贫攻坚成果同乡村振兴任务）</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6" w:beforeAutospacing="0" w:after="0" w:afterAutospacing="0" w:line="400" w:lineRule="exact"/>
              <w:ind w:right="0" w:firstLine="640" w:firstLineChars="200"/>
              <w:jc w:val="left"/>
              <w:textAlignment w:val="auto"/>
              <w:rPr>
                <w:rFonts w:hint="eastAsia" w:ascii="仿宋_GB2312" w:hAnsi="微软雅黑" w:eastAsia="仿宋_GB2312" w:cs="仿宋_GB2312"/>
                <w:b w:val="0"/>
                <w:i w:val="0"/>
                <w:caps w:val="0"/>
                <w:color w:val="2B2B2B"/>
                <w:spacing w:val="0"/>
                <w:kern w:val="0"/>
                <w:sz w:val="32"/>
                <w:szCs w:val="32"/>
                <w:lang w:val="en-US" w:eastAsia="zh-CN" w:bidi="ar"/>
              </w:rPr>
            </w:pPr>
            <w:r>
              <w:rPr>
                <w:rFonts w:hint="eastAsia" w:ascii="仿宋_GB2312" w:hAnsi="微软雅黑" w:eastAsia="仿宋_GB2312" w:cs="仿宋_GB2312"/>
                <w:b w:val="0"/>
                <w:i w:val="0"/>
                <w:caps w:val="0"/>
                <w:color w:val="2B2B2B"/>
                <w:spacing w:val="0"/>
                <w:kern w:val="0"/>
                <w:sz w:val="32"/>
                <w:szCs w:val="32"/>
                <w:lang w:val="en-US" w:eastAsia="zh-CN" w:bidi="ar"/>
              </w:rPr>
              <w:t>二、资金安排使用原则</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6" w:beforeAutospacing="0" w:after="0" w:afterAutospacing="0" w:line="400" w:lineRule="exact"/>
              <w:ind w:right="0" w:firstLine="640" w:firstLineChars="200"/>
              <w:jc w:val="left"/>
              <w:textAlignment w:val="auto"/>
              <w:rPr>
                <w:rFonts w:hint="eastAsia" w:ascii="仿宋_GB2312" w:hAnsi="微软雅黑" w:eastAsia="仿宋_GB2312" w:cs="仿宋_GB2312"/>
                <w:b w:val="0"/>
                <w:i w:val="0"/>
                <w:caps w:val="0"/>
                <w:color w:val="2B2B2B"/>
                <w:spacing w:val="0"/>
                <w:kern w:val="0"/>
                <w:sz w:val="32"/>
                <w:szCs w:val="32"/>
                <w:lang w:val="en-US" w:eastAsia="zh-CN" w:bidi="ar"/>
              </w:rPr>
            </w:pPr>
            <w:r>
              <w:rPr>
                <w:rFonts w:hint="eastAsia" w:ascii="仿宋_GB2312" w:hAnsi="微软雅黑" w:eastAsia="仿宋_GB2312" w:cs="仿宋_GB2312"/>
                <w:b w:val="0"/>
                <w:i w:val="0"/>
                <w:caps w:val="0"/>
                <w:color w:val="2B2B2B"/>
                <w:spacing w:val="0"/>
                <w:kern w:val="0"/>
                <w:sz w:val="32"/>
                <w:szCs w:val="32"/>
                <w:lang w:val="en-US" w:eastAsia="zh-CN" w:bidi="ar"/>
              </w:rPr>
              <w:t>经县扶贫开发领导小组研究确定,结合项目准备情况,按照以下原则安排使用资金。</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6" w:beforeAutospacing="0" w:after="0" w:afterAutospacing="0" w:line="400" w:lineRule="exact"/>
              <w:ind w:right="0" w:firstLine="640" w:firstLineChars="200"/>
              <w:jc w:val="left"/>
              <w:textAlignment w:val="auto"/>
              <w:rPr>
                <w:rFonts w:hint="eastAsia" w:ascii="仿宋_GB2312" w:hAnsi="微软雅黑" w:eastAsia="仿宋_GB2312" w:cs="仿宋_GB2312"/>
                <w:b w:val="0"/>
                <w:i w:val="0"/>
                <w:caps w:val="0"/>
                <w:color w:val="2B2B2B"/>
                <w:spacing w:val="0"/>
                <w:kern w:val="0"/>
                <w:sz w:val="32"/>
                <w:szCs w:val="32"/>
                <w:lang w:val="en-US" w:eastAsia="zh-CN" w:bidi="ar"/>
              </w:rPr>
            </w:pPr>
            <w:r>
              <w:rPr>
                <w:rFonts w:hint="eastAsia" w:ascii="仿宋_GB2312" w:hAnsi="微软雅黑" w:eastAsia="仿宋_GB2312" w:cs="仿宋_GB2312"/>
                <w:b w:val="0"/>
                <w:i w:val="0"/>
                <w:caps w:val="0"/>
                <w:color w:val="2B2B2B"/>
                <w:spacing w:val="0"/>
                <w:kern w:val="0"/>
                <w:sz w:val="32"/>
                <w:szCs w:val="32"/>
                <w:lang w:val="en-US" w:eastAsia="zh-CN" w:bidi="ar"/>
              </w:rPr>
              <w:t>一是巩固拓展脱贫攻坚成果同乡村振兴有效衔接为依据，将产业发展作为支持重点，稳步推进产业扶持措施由到村到户为主向到乡到村带户为主转变；</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6" w:beforeAutospacing="0" w:after="0" w:afterAutospacing="0" w:line="400" w:lineRule="exact"/>
              <w:ind w:right="0" w:firstLine="640" w:firstLineChars="200"/>
              <w:jc w:val="left"/>
              <w:textAlignment w:val="auto"/>
              <w:rPr>
                <w:rFonts w:hint="eastAsia" w:ascii="仿宋_GB2312" w:hAnsi="微软雅黑" w:eastAsia="仿宋_GB2312" w:cs="仿宋_GB2312"/>
                <w:b w:val="0"/>
                <w:i w:val="0"/>
                <w:caps w:val="0"/>
                <w:color w:val="2B2B2B"/>
                <w:spacing w:val="0"/>
                <w:kern w:val="0"/>
                <w:sz w:val="32"/>
                <w:szCs w:val="32"/>
                <w:lang w:val="en-US" w:eastAsia="zh-CN" w:bidi="ar"/>
              </w:rPr>
            </w:pPr>
            <w:r>
              <w:rPr>
                <w:rFonts w:hint="eastAsia" w:ascii="仿宋_GB2312" w:hAnsi="微软雅黑" w:eastAsia="仿宋_GB2312" w:cs="仿宋_GB2312"/>
                <w:b w:val="0"/>
                <w:i w:val="0"/>
                <w:caps w:val="0"/>
                <w:color w:val="2B2B2B"/>
                <w:spacing w:val="0"/>
                <w:kern w:val="0"/>
                <w:sz w:val="32"/>
                <w:szCs w:val="32"/>
                <w:lang w:val="en-US" w:eastAsia="zh-CN" w:bidi="ar"/>
              </w:rPr>
              <w:t>二是用于产业发展的资金规模占比原则不低于下达资金总规模的50%，且不得低于2020年用于产业发展的资金占比的原则；</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6" w:beforeAutospacing="0" w:after="0" w:afterAutospacing="0" w:line="400" w:lineRule="exact"/>
              <w:ind w:right="0" w:firstLine="640" w:firstLineChars="200"/>
              <w:jc w:val="left"/>
              <w:textAlignment w:val="auto"/>
              <w:rPr>
                <w:rFonts w:hint="default" w:ascii="仿宋_GB2312" w:hAnsi="微软雅黑" w:eastAsia="仿宋_GB2312" w:cs="仿宋_GB2312"/>
                <w:b w:val="0"/>
                <w:i w:val="0"/>
                <w:caps w:val="0"/>
                <w:color w:val="2B2B2B"/>
                <w:spacing w:val="0"/>
                <w:kern w:val="0"/>
                <w:sz w:val="32"/>
                <w:szCs w:val="32"/>
                <w:lang w:val="en-US" w:eastAsia="zh-CN" w:bidi="ar"/>
              </w:rPr>
            </w:pPr>
            <w:r>
              <w:rPr>
                <w:rFonts w:hint="eastAsia" w:ascii="仿宋_GB2312" w:hAnsi="微软雅黑" w:eastAsia="仿宋_GB2312" w:cs="仿宋_GB2312"/>
                <w:b w:val="0"/>
                <w:i w:val="0"/>
                <w:caps w:val="0"/>
                <w:color w:val="2B2B2B"/>
                <w:spacing w:val="0"/>
                <w:kern w:val="0"/>
                <w:sz w:val="32"/>
                <w:szCs w:val="32"/>
                <w:lang w:val="en-US" w:eastAsia="zh-CN" w:bidi="ar"/>
              </w:rPr>
              <w:t>三是补齐必要的农村人居环境整治和小型公益性基础设施建设短板；</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6" w:beforeAutospacing="0" w:after="0" w:afterAutospacing="0" w:line="400" w:lineRule="exact"/>
              <w:ind w:right="0" w:firstLine="640" w:firstLineChars="200"/>
              <w:jc w:val="left"/>
              <w:textAlignment w:val="auto"/>
              <w:rPr>
                <w:rFonts w:hint="eastAsia" w:ascii="仿宋_GB2312" w:hAnsi="微软雅黑" w:eastAsia="仿宋_GB2312" w:cs="仿宋_GB2312"/>
                <w:b w:val="0"/>
                <w:i w:val="0"/>
                <w:caps w:val="0"/>
                <w:color w:val="2B2B2B"/>
                <w:spacing w:val="0"/>
                <w:kern w:val="0"/>
                <w:sz w:val="32"/>
                <w:szCs w:val="32"/>
                <w:lang w:val="en-US" w:eastAsia="zh-CN" w:bidi="ar"/>
              </w:rPr>
            </w:pPr>
            <w:r>
              <w:rPr>
                <w:rFonts w:hint="eastAsia" w:ascii="仿宋_GB2312" w:hAnsi="微软雅黑" w:eastAsia="仿宋_GB2312" w:cs="仿宋_GB2312"/>
                <w:b w:val="0"/>
                <w:i w:val="0"/>
                <w:caps w:val="0"/>
                <w:color w:val="2B2B2B"/>
                <w:spacing w:val="0"/>
                <w:kern w:val="0"/>
                <w:sz w:val="32"/>
                <w:szCs w:val="32"/>
                <w:lang w:val="en-US" w:eastAsia="zh-CN" w:bidi="ar"/>
              </w:rPr>
              <w:t>资金安排使用情况</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6" w:beforeAutospacing="0" w:after="0" w:afterAutospacing="0" w:line="400" w:lineRule="exact"/>
              <w:ind w:right="0" w:firstLine="640" w:firstLineChars="200"/>
              <w:jc w:val="left"/>
              <w:textAlignment w:val="auto"/>
              <w:rPr>
                <w:rFonts w:hint="eastAsia" w:ascii="仿宋_GB2312" w:hAnsi="微软雅黑" w:eastAsia="仿宋_GB2312" w:cs="仿宋_GB2312"/>
                <w:b w:val="0"/>
                <w:i w:val="0"/>
                <w:caps w:val="0"/>
                <w:color w:val="2B2B2B"/>
                <w:spacing w:val="0"/>
                <w:kern w:val="0"/>
                <w:sz w:val="32"/>
                <w:szCs w:val="32"/>
                <w:lang w:val="en-US" w:eastAsia="zh-CN" w:bidi="ar"/>
              </w:rPr>
            </w:pPr>
            <w:r>
              <w:rPr>
                <w:rFonts w:hint="eastAsia" w:ascii="仿宋_GB2312" w:hAnsi="微软雅黑" w:eastAsia="仿宋_GB2312" w:cs="仿宋_GB2312"/>
                <w:b w:val="0"/>
                <w:i w:val="0"/>
                <w:caps w:val="0"/>
                <w:color w:val="2B2B2B"/>
                <w:spacing w:val="0"/>
                <w:kern w:val="0"/>
                <w:sz w:val="32"/>
                <w:szCs w:val="32"/>
                <w:lang w:val="en-US" w:eastAsia="zh-CN" w:bidi="ar"/>
              </w:rPr>
              <w:t>详见附件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6" w:beforeAutospacing="0" w:after="0" w:afterAutospacing="0" w:line="400" w:lineRule="exact"/>
              <w:ind w:right="0" w:firstLine="640" w:firstLineChars="200"/>
              <w:jc w:val="left"/>
              <w:textAlignment w:val="auto"/>
              <w:rPr>
                <w:rFonts w:hint="eastAsia" w:ascii="仿宋_GB2312" w:hAnsi="微软雅黑" w:eastAsia="仿宋_GB2312" w:cs="仿宋_GB2312"/>
                <w:b w:val="0"/>
                <w:i w:val="0"/>
                <w:caps w:val="0"/>
                <w:color w:val="2B2B2B"/>
                <w:spacing w:val="0"/>
                <w:kern w:val="0"/>
                <w:sz w:val="32"/>
                <w:szCs w:val="32"/>
                <w:lang w:val="en-US" w:eastAsia="zh-CN" w:bidi="ar"/>
              </w:rPr>
            </w:pPr>
            <w:r>
              <w:rPr>
                <w:rFonts w:hint="eastAsia" w:ascii="仿宋_GB2312" w:hAnsi="微软雅黑" w:eastAsia="仿宋_GB2312" w:cs="仿宋_GB2312"/>
                <w:b w:val="0"/>
                <w:i w:val="0"/>
                <w:caps w:val="0"/>
                <w:color w:val="2B2B2B"/>
                <w:spacing w:val="0"/>
                <w:kern w:val="0"/>
                <w:sz w:val="32"/>
                <w:szCs w:val="32"/>
                <w:lang w:val="en-US" w:eastAsia="zh-CN" w:bidi="ar"/>
              </w:rPr>
              <w:t>监督举报电话：12317   0994-6924065</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6" w:beforeAutospacing="0" w:after="0" w:afterAutospacing="0" w:line="400" w:lineRule="exact"/>
              <w:ind w:right="0" w:firstLine="640" w:firstLineChars="200"/>
              <w:jc w:val="left"/>
              <w:textAlignment w:val="auto"/>
              <w:rPr>
                <w:rFonts w:hint="eastAsia" w:ascii="仿宋_GB2312" w:hAnsi="微软雅黑" w:eastAsia="仿宋_GB2312" w:cs="仿宋_GB2312"/>
                <w:b w:val="0"/>
                <w:i w:val="0"/>
                <w:caps w:val="0"/>
                <w:color w:val="2B2B2B"/>
                <w:spacing w:val="0"/>
                <w:kern w:val="0"/>
                <w:sz w:val="32"/>
                <w:szCs w:val="32"/>
                <w:lang w:val="en-US" w:eastAsia="zh-CN" w:bidi="ar"/>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6" w:beforeAutospacing="0" w:after="0" w:afterAutospacing="0" w:line="400" w:lineRule="exact"/>
              <w:ind w:right="0" w:firstLine="640" w:firstLineChars="200"/>
              <w:jc w:val="left"/>
              <w:textAlignment w:val="auto"/>
              <w:rPr>
                <w:rFonts w:hint="default" w:ascii="仿宋_GB2312" w:hAnsi="微软雅黑" w:eastAsia="仿宋_GB2312" w:cs="仿宋_GB2312"/>
                <w:b w:val="0"/>
                <w:i w:val="0"/>
                <w:caps w:val="0"/>
                <w:color w:val="2B2B2B"/>
                <w:spacing w:val="0"/>
                <w:kern w:val="0"/>
                <w:sz w:val="32"/>
                <w:szCs w:val="32"/>
                <w:lang w:val="en-US" w:eastAsia="zh-CN" w:bidi="ar"/>
              </w:rPr>
            </w:pPr>
            <w:r>
              <w:rPr>
                <w:rFonts w:hint="eastAsia" w:ascii="仿宋_GB2312" w:hAnsi="微软雅黑" w:eastAsia="仿宋_GB2312" w:cs="仿宋_GB2312"/>
                <w:b w:val="0"/>
                <w:i w:val="0"/>
                <w:caps w:val="0"/>
                <w:color w:val="2B2B2B"/>
                <w:spacing w:val="0"/>
                <w:kern w:val="0"/>
                <w:sz w:val="32"/>
                <w:szCs w:val="32"/>
                <w:lang w:val="en-US" w:eastAsia="zh-CN" w:bidi="ar"/>
              </w:rPr>
              <w:t>附件：吉木萨尔县2021年中央财政衔接推进乡村振兴补助资金（巩固拓展脱贫攻坚成果同乡村振兴任务）安排使用情况</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6" w:beforeAutospacing="0" w:after="0" w:afterAutospacing="0" w:line="400" w:lineRule="exact"/>
              <w:ind w:right="0" w:firstLine="640" w:firstLineChars="200"/>
              <w:jc w:val="left"/>
              <w:textAlignment w:val="auto"/>
              <w:rPr>
                <w:rFonts w:hint="eastAsia" w:ascii="仿宋_GB2312" w:hAnsi="微软雅黑" w:eastAsia="仿宋_GB2312" w:cs="仿宋_GB2312"/>
                <w:b w:val="0"/>
                <w:i w:val="0"/>
                <w:caps w:val="0"/>
                <w:color w:val="2B2B2B"/>
                <w:spacing w:val="0"/>
                <w:kern w:val="0"/>
                <w:sz w:val="32"/>
                <w:szCs w:val="32"/>
                <w:lang w:val="en-US" w:eastAsia="zh-CN" w:bidi="ar"/>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6" w:beforeAutospacing="0" w:after="0" w:afterAutospacing="0" w:line="400" w:lineRule="exact"/>
              <w:ind w:right="0" w:firstLine="640" w:firstLineChars="200"/>
              <w:jc w:val="center"/>
              <w:textAlignment w:val="auto"/>
              <w:rPr>
                <w:rFonts w:hint="default" w:ascii="仿宋_GB2312" w:hAnsi="微软雅黑" w:eastAsia="仿宋_GB2312" w:cs="仿宋_GB2312"/>
                <w:b w:val="0"/>
                <w:i w:val="0"/>
                <w:caps w:val="0"/>
                <w:color w:val="2B2B2B"/>
                <w:spacing w:val="0"/>
                <w:kern w:val="0"/>
                <w:sz w:val="32"/>
                <w:szCs w:val="32"/>
                <w:lang w:val="en-US" w:eastAsia="zh-CN" w:bidi="ar"/>
              </w:rPr>
            </w:pPr>
            <w:r>
              <w:rPr>
                <w:rFonts w:hint="eastAsia" w:ascii="仿宋_GB2312" w:hAnsi="微软雅黑" w:eastAsia="仿宋_GB2312" w:cs="仿宋_GB2312"/>
                <w:b w:val="0"/>
                <w:i w:val="0"/>
                <w:caps w:val="0"/>
                <w:color w:val="2B2B2B"/>
                <w:spacing w:val="0"/>
                <w:kern w:val="0"/>
                <w:sz w:val="32"/>
                <w:szCs w:val="32"/>
                <w:lang w:val="en-US" w:eastAsia="zh-CN" w:bidi="ar"/>
              </w:rPr>
              <w:t xml:space="preserve">                                吉木萨尔县扶贫开发领导小组办公室</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6" w:beforeAutospacing="0" w:after="0" w:afterAutospacing="0" w:line="400" w:lineRule="exact"/>
              <w:ind w:right="0" w:firstLine="640" w:firstLineChars="200"/>
              <w:jc w:val="center"/>
              <w:textAlignment w:val="auto"/>
              <w:rPr>
                <w:rFonts w:hint="eastAsia" w:ascii="仿宋_GB2312" w:hAnsi="微软雅黑" w:eastAsia="仿宋_GB2312" w:cs="仿宋_GB2312"/>
                <w:b w:val="0"/>
                <w:i w:val="0"/>
                <w:caps w:val="0"/>
                <w:color w:val="2B2B2B"/>
                <w:spacing w:val="0"/>
                <w:kern w:val="0"/>
                <w:sz w:val="32"/>
                <w:szCs w:val="32"/>
                <w:lang w:val="en-US" w:eastAsia="zh-CN" w:bidi="ar"/>
              </w:rPr>
            </w:pPr>
            <w:r>
              <w:rPr>
                <w:rFonts w:hint="eastAsia" w:ascii="仿宋_GB2312" w:hAnsi="微软雅黑" w:eastAsia="仿宋_GB2312" w:cs="仿宋_GB2312"/>
                <w:b w:val="0"/>
                <w:i w:val="0"/>
                <w:caps w:val="0"/>
                <w:color w:val="2B2B2B"/>
                <w:spacing w:val="0"/>
                <w:kern w:val="0"/>
                <w:sz w:val="32"/>
                <w:szCs w:val="32"/>
                <w:lang w:val="en-US" w:eastAsia="zh-CN" w:bidi="ar"/>
              </w:rPr>
              <w:t xml:space="preserve">                              </w:t>
            </w:r>
            <w:bookmarkStart w:id="0" w:name="_GoBack"/>
            <w:bookmarkEnd w:id="0"/>
            <w:r>
              <w:rPr>
                <w:rFonts w:hint="eastAsia" w:ascii="仿宋_GB2312" w:hAnsi="微软雅黑" w:eastAsia="仿宋_GB2312" w:cs="仿宋_GB2312"/>
                <w:b w:val="0"/>
                <w:i w:val="0"/>
                <w:caps w:val="0"/>
                <w:color w:val="2B2B2B"/>
                <w:spacing w:val="0"/>
                <w:kern w:val="0"/>
                <w:sz w:val="32"/>
                <w:szCs w:val="32"/>
                <w:lang w:val="en-US" w:eastAsia="zh-CN" w:bidi="ar"/>
              </w:rPr>
              <w:t>2021年6月10日</w:t>
            </w: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方正小标宋_GBK">
    <w:altName w:val="微软雅黑"/>
    <w:panose1 w:val="03000509000000000000"/>
    <w:charset w:val="86"/>
    <w:family w:val="auto"/>
    <w:pitch w:val="default"/>
    <w:sig w:usb0="00000000" w:usb1="00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A55175A"/>
    <w:rsid w:val="233A27DF"/>
    <w:rsid w:val="24927E87"/>
    <w:rsid w:val="3262249E"/>
    <w:rsid w:val="42E45192"/>
    <w:rsid w:val="5E8D633C"/>
    <w:rsid w:val="5F7E6A8B"/>
    <w:rsid w:val="6A5517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2021-06-09T04:57:00Z</dcterms:created>
  <dc:creator>陈阳</dc:creator>
  <cp:lastModifiedBy>陈阳</cp:lastModifiedBy>
  <dcterms:modified xsi:type="dcterms:W3CDTF">2021-06-12T04:16:03Z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