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lang w:eastAsia="zh-CN"/>
        </w:rPr>
        <w:t>昌吉州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吉木萨尔县互联网信息办公室2020年部门预算公开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pStyle w:val="2"/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吉木萨尔县互联网信息办公室单位概况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2020年部门预算情况说明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一、关于吉木萨尔县互联网信息办公室2020年收支预算情况的总体说明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二、关于吉木萨尔县互联网信息办公室2020年收入预算情况说明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三、关于吉木萨尔县互联网信息办公室2020年支出预算情况说明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四、关于吉木萨尔县互联网信息办公室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五、关于吉木萨尔县互联网信息办公室2020年一般公共预算当年拨款情况说明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六、关于吉木萨尔县互联网信息办公室2020年一般公共预算基本支出情况说明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七、关于吉木萨尔县互联网信息办公室2020年项目支出情况说明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八、关于吉木萨尔县互联网信息办公室2020年一般公共预算“三公”经费预算情况说明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九、关于吉木萨尔县互联网信息办公室2020年政府性基金预算拨款情况说明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ascii="黑体" w:hAnsi="黑体" w:eastAsia="黑体"/>
          <w:kern w:val="0"/>
          <w:sz w:val="32"/>
          <w:szCs w:val="32"/>
        </w:rPr>
      </w:pPr>
    </w:p>
    <w:p>
      <w:pPr>
        <w:pStyle w:val="2"/>
        <w:rPr>
          <w:rFonts w:ascii="黑体" w:hAnsi="黑体" w:eastAsia="黑体"/>
          <w:kern w:val="0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吉木萨尔县互联网信息办公室单位概况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</w: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t>落实互联网信息传播方针政策和推动互联网信息传播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</w:pP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t>法制建设，指导、协调、督促有关部门加强互联网信息内容 管理，负责网络新闻业务及其他相关业务的审批和日常监 管，指导有关部门做好网络游戏、网络视听、网络出版等</w: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begin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instrText xml:space="preserve"> HYPERLINK "https://www.baidu.com/s?wd=%E7%BD%91%E7%BB%9C%E6%96%87%E5%8C%96&amp;amp;tn=SE_PcZhidaonwhc_ngpagmjz&amp;amp;rsv_dl=gh_pc_zhidao" \h </w:instrTex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separate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t>网</w: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end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t>络文化领域业务布局规划，协调有关部门做好</w: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begin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instrText xml:space="preserve"> HYPERLINK "https://www.baidu.com/s?wd=%E7%BD%91%E7%BB%9C%E6%96%87%E5%8C%96&amp;amp;tn=SE_PcZhidaonwhc_ngpagmjz&amp;amp;rsv_dl=gh_pc_zhidao" \h </w:instrTex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separate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t>网络文化</w: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end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t>阵地建设的规划和实施工作，负责重点新闻网站的规划建设，组 织、协调网上宣传工作，依法查处违法违规网站，指导有关 部门督促电信运营企业、接入服务企业、域名注册管理和服 务机构等做好域名注册、互联网地址(IP 地址)分配、</w: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begin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instrText xml:space="preserve"> HYPERLINK "https://www.baidu.com/s?wd=%E7%BD%91%E7%AB%99%E7%99%BB%E8%AE%B0%E5%A4%87%E6%A1%88&amp;amp;tn=SE_PcZhidaonwhc_ngpagmjz&amp;amp;rsv_dl=gh_pc_zhidao" \h </w:instrTex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separate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t>网站登</w:t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fldChar w:fldCharType="end"/>
      </w:r>
      <w:r>
        <w:rPr>
          <w:rFonts w:ascii="仿宋_GB2312" w:hAnsi="黑体" w:eastAsia="仿宋_GB2312" w:cs="宋体"/>
          <w:bCs/>
          <w:kern w:val="0"/>
          <w:sz w:val="32"/>
          <w:szCs w:val="32"/>
          <w:lang w:bidi="zh-CN"/>
        </w:rPr>
        <w:t>记备案、接入等互联网基础管理工作，在职责范围内指导各地互联网有关部门开展工作。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630"/>
        <w:jc w:val="left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4"/>
        <w:tabs>
          <w:tab w:val="left" w:pos="1820"/>
          <w:tab w:val="left" w:pos="2459"/>
          <w:tab w:val="left" w:pos="5180"/>
          <w:tab w:val="left" w:pos="8219"/>
        </w:tabs>
        <w:spacing w:after="0" w:line="560" w:lineRule="atLeast"/>
        <w:ind w:firstLine="641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吉木萨尔县互联网信息办公室无下属预算单位</w:t>
      </w:r>
      <w:r>
        <w:rPr>
          <w:rFonts w:hint="eastAsia" w:ascii="仿宋_GB2312" w:eastAsia="仿宋_GB2312"/>
          <w:spacing w:val="-87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设</w:t>
      </w:r>
      <w:r>
        <w:rPr>
          <w:rFonts w:hint="eastAsia" w:ascii="仿宋_GB2312" w:eastAsia="仿宋_GB2312"/>
          <w:spacing w:val="-86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pacing w:val="-85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个内设机构</w:t>
      </w:r>
      <w:r>
        <w:rPr>
          <w:rFonts w:hint="eastAsia" w:ascii="仿宋_GB2312" w:eastAsia="仿宋_GB2312"/>
          <w:spacing w:val="-87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分别是： 综合科</w:t>
      </w:r>
      <w:r>
        <w:rPr>
          <w:rFonts w:hint="eastAsia" w:ascii="仿宋_GB2312" w:eastAsia="仿宋_GB2312"/>
          <w:spacing w:val="-5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网络信息传播科</w:t>
      </w:r>
      <w:r>
        <w:rPr>
          <w:rFonts w:hint="eastAsia" w:ascii="仿宋_GB2312" w:eastAsia="仿宋_GB2312"/>
          <w:spacing w:val="-5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网络党建和社会工作科</w:t>
      </w:r>
      <w:r>
        <w:rPr>
          <w:rFonts w:hint="eastAsia" w:ascii="仿宋_GB2312" w:eastAsia="仿宋_GB2312"/>
          <w:spacing w:val="-5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网络安全协调和执法督查科、信息化发展科。</w:t>
      </w:r>
    </w:p>
    <w:p>
      <w:pPr>
        <w:widowControl/>
        <w:spacing w:line="560" w:lineRule="atLeast"/>
        <w:ind w:firstLine="63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吉木萨尔县互联网信息办公室编制数</w:t>
      </w:r>
      <w:r>
        <w:rPr>
          <w:rFonts w:hint="eastAsia" w:ascii="仿宋_GB2312" w:eastAsia="仿宋_GB2312"/>
          <w:spacing w:val="-83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20人， 实有人数18人，其中：在职18人，增加 0人；退休0 人</w:t>
      </w:r>
      <w:r>
        <w:rPr>
          <w:rFonts w:hint="eastAsia" w:ascii="仿宋_GB2312" w:eastAsia="仿宋_GB2312"/>
          <w:spacing w:val="-3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增加</w:t>
      </w:r>
      <w:r>
        <w:rPr>
          <w:rFonts w:hint="eastAsia" w:ascii="仿宋_GB2312" w:eastAsia="仿宋_GB2312"/>
          <w:spacing w:val="-1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0人</w:t>
      </w:r>
      <w:r>
        <w:rPr>
          <w:rFonts w:hint="eastAsia" w:ascii="仿宋_GB2312" w:eastAsia="仿宋_GB2312"/>
          <w:spacing w:val="-5"/>
          <w:sz w:val="32"/>
          <w:szCs w:val="32"/>
        </w:rPr>
        <w:t>；</w:t>
      </w:r>
      <w:r>
        <w:rPr>
          <w:rFonts w:hint="eastAsia" w:ascii="仿宋_GB2312" w:eastAsia="仿宋_GB2312"/>
          <w:sz w:val="32"/>
          <w:szCs w:val="32"/>
        </w:rPr>
        <w:t>离休0人</w:t>
      </w:r>
      <w:r>
        <w:rPr>
          <w:rFonts w:hint="eastAsia" w:ascii="仿宋_GB2312" w:eastAsia="仿宋_GB2312"/>
          <w:spacing w:val="-3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增加0</w:t>
      </w:r>
      <w:r>
        <w:rPr>
          <w:rFonts w:hint="eastAsia" w:ascii="仿宋_GB2312" w:eastAsia="仿宋_GB2312"/>
          <w:spacing w:val="-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ind w:left="0" w:leftChars="0" w:firstLine="0" w:firstLineChars="0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互联网信息办公室</w:t>
      </w:r>
      <w:r>
        <w:rPr>
          <w:rFonts w:hint="eastAsia" w:ascii="仿宋_GB2312" w:hAnsi="宋体" w:eastAsia="仿宋_GB2312"/>
          <w:kern w:val="0"/>
          <w:sz w:val="24"/>
        </w:rPr>
        <w:t xml:space="preserve">  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        </w:t>
      </w:r>
      <w:r>
        <w:rPr>
          <w:rFonts w:hint="eastAsia" w:ascii="仿宋_GB2312" w:hAnsi="宋体" w:eastAsia="仿宋_GB2312"/>
          <w:kern w:val="0"/>
          <w:sz w:val="24"/>
        </w:rPr>
        <w:t xml:space="preserve">   单位：万元</w:t>
      </w:r>
    </w:p>
    <w:tbl>
      <w:tblPr>
        <w:tblStyle w:val="1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272.15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224.49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272.15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 xml:space="preserve">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28.38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19.28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272.15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272.15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272.15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center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  <w:lang w:eastAsia="zh-CN"/>
        </w:rPr>
        <w:t>编制</w:t>
      </w:r>
      <w:r>
        <w:rPr>
          <w:rFonts w:hint="eastAsia" w:ascii="仿宋_GB2312" w:hAnsi="宋体" w:eastAsia="仿宋_GB2312"/>
          <w:kern w:val="0"/>
          <w:sz w:val="24"/>
        </w:rPr>
        <w:t>部门：吉木萨尔县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互联网信息办公室</w:t>
      </w:r>
      <w:r>
        <w:rPr>
          <w:rFonts w:hint="eastAsia" w:ascii="仿宋_GB2312" w:hAnsi="宋体" w:eastAsia="仿宋_GB2312"/>
          <w:kern w:val="0"/>
          <w:sz w:val="24"/>
        </w:rPr>
        <w:t xml:space="preserve"> 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kern w:val="0"/>
          <w:sz w:val="24"/>
        </w:rPr>
        <w:t xml:space="preserve">    单位：万元</w:t>
      </w:r>
    </w:p>
    <w:tbl>
      <w:tblPr>
        <w:tblStyle w:val="14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567"/>
        <w:gridCol w:w="567"/>
        <w:gridCol w:w="1562"/>
        <w:gridCol w:w="1415"/>
        <w:gridCol w:w="1417"/>
        <w:gridCol w:w="567"/>
        <w:gridCol w:w="426"/>
        <w:gridCol w:w="425"/>
        <w:gridCol w:w="425"/>
        <w:gridCol w:w="425"/>
        <w:gridCol w:w="567"/>
        <w:gridCol w:w="5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Default" w:hAnsi="Default" w:eastAsia="宋体" w:cs="Arial"/>
                <w:sz w:val="20"/>
                <w:szCs w:val="20"/>
                <w:lang w:eastAsia="zh-CN"/>
              </w:rPr>
            </w:pPr>
            <w:r>
              <w:rPr>
                <w:rFonts w:ascii="Default" w:hAnsi="Default" w:cs="Arial"/>
                <w:sz w:val="20"/>
                <w:szCs w:val="20"/>
              </w:rPr>
              <w:t>一般公共服务</w:t>
            </w: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支出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网信事务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行政运行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社会保障和就业支出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</w:t>
            </w: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事业单位养老支出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机关事业单位基本养老保险缴费支出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19.75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19.75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机关事业单位职业年金缴费支出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8.63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8.63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Default" w:hAnsi="Default" w:cs="Arial"/>
                <w:sz w:val="20"/>
                <w:szCs w:val="20"/>
                <w:lang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卫生健康支出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行政事业单位医疗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行政单位医疗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4.78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4.78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事业单位医疗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6.95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6.95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公务员医疗补助</w:t>
            </w:r>
          </w:p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7.55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7.55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合计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272.15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272.15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互联网信息办公室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单位：万元</w:t>
      </w:r>
    </w:p>
    <w:tbl>
      <w:tblPr>
        <w:tblStyle w:val="14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567"/>
        <w:gridCol w:w="567"/>
        <w:gridCol w:w="2977"/>
        <w:gridCol w:w="1701"/>
        <w:gridCol w:w="1701"/>
        <w:gridCol w:w="12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4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Default" w:hAnsi="Default" w:eastAsia="宋体" w:cs="Arial"/>
                <w:sz w:val="20"/>
                <w:szCs w:val="20"/>
                <w:lang w:eastAsia="zh-CN"/>
              </w:rPr>
            </w:pPr>
            <w:r>
              <w:rPr>
                <w:rFonts w:ascii="Default" w:hAnsi="Default" w:cs="Arial"/>
                <w:sz w:val="20"/>
                <w:szCs w:val="20"/>
              </w:rPr>
              <w:t>一般公共服务</w:t>
            </w: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网信事务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01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行政运行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社会保障和就业支出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</w:t>
            </w: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事业单位养老支出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机关事业单位基本养老保险缴费支出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19.75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06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机关事业单位职业年金缴费支出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8.63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8.63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卫生健康支出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行政事业单位医疗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01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行政单位医疗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4.78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4.78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事业单位医疗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6.95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6.95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03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公务员医疗补助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7.55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7.55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272.15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272.15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before="120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hint="eastAsia" w:ascii="仿宋_GB2312" w:hAnsi="宋体" w:eastAsia="仿宋_GB2312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编制部门：吉木萨尔县互联网信息办公室              单位：万元</w:t>
      </w:r>
    </w:p>
    <w:tbl>
      <w:tblPr>
        <w:tblStyle w:val="14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272.15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224.49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224.49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272.15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28.38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28.38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19.28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19.28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272.15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272.15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272.15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pStyle w:val="2"/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14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67"/>
        <w:gridCol w:w="567"/>
        <w:gridCol w:w="2144"/>
        <w:gridCol w:w="168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</w:t>
            </w:r>
            <w:r>
              <w:rPr>
                <w:rFonts w:hint="eastAsia" w:ascii="仿宋_GB2312" w:hAnsi="宋体" w:eastAsia="仿宋_GB2312"/>
                <w:kern w:val="0"/>
                <w:sz w:val="24"/>
                <w:lang w:val="en-US" w:eastAsia="zh-CN"/>
              </w:rPr>
              <w:t>互联网信息办公室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1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Default" w:hAnsi="Default" w:eastAsia="宋体" w:cs="Arial"/>
                <w:sz w:val="20"/>
                <w:szCs w:val="20"/>
                <w:lang w:eastAsia="zh-CN"/>
              </w:rPr>
            </w:pPr>
            <w:r>
              <w:rPr>
                <w:rFonts w:ascii="Default" w:hAnsi="Default" w:cs="Arial"/>
                <w:sz w:val="20"/>
                <w:szCs w:val="20"/>
              </w:rPr>
              <w:t>一般公共服务</w:t>
            </w: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网信事务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01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行政运行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224.49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社会保障和就业支出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</w:t>
            </w: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事业单位养老支出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28.38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机关事业单位基本养老保险缴费支出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06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机关事业单位职业年金缴费支出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8.63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8.63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卫生健康支出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行政事业单位医疗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19.28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01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行政单位医疗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4.78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4.78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6.95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6.95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Default" w:hAnsi="Default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03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公务员医疗补助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7.55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  <w:lang w:val="en-US" w:eastAsia="zh-CN"/>
              </w:rPr>
              <w:t>7.55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272.15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272.15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14"/>
        <w:tblW w:w="8600" w:type="dxa"/>
        <w:tblInd w:w="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20"/>
        <w:gridCol w:w="2060"/>
        <w:gridCol w:w="1580"/>
        <w:gridCol w:w="1580"/>
        <w:gridCol w:w="15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ascii="Default" w:hAnsi="Default" w:cs="Arial"/>
                <w:b/>
                <w:bCs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44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</w:t>
            </w:r>
            <w:r>
              <w:rPr>
                <w:rFonts w:hint="eastAsia" w:ascii="仿宋_GB2312" w:hAnsi="宋体" w:eastAsia="仿宋_GB2312"/>
                <w:kern w:val="0"/>
                <w:sz w:val="24"/>
                <w:lang w:val="en-US" w:eastAsia="zh-CN"/>
              </w:rPr>
              <w:t>互联网信息办公室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47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经济分类科目编码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经济分类科目名称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人员经费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Default" w:hAnsi="Default" w:cs="Arial"/>
                <w:kern w:val="0"/>
                <w:sz w:val="20"/>
                <w:szCs w:val="20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20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工资福利支出</w:t>
            </w: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241.89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241.89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eastAsia" w:ascii="Default" w:hAnsi="Default" w:eastAsia="宋体" w:cs="Arial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eastAsia="zh-CN"/>
              </w:rPr>
              <w:t>基本工资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54.07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54.07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津贴补贴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42.44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42.44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eastAsia" w:ascii="Default" w:hAnsi="Default" w:eastAsia="宋体" w:cs="Arial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eastAsia="zh-CN"/>
              </w:rPr>
              <w:t>奖金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38.30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38.30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07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eastAsia" w:ascii="Default" w:hAnsi="Default" w:eastAsia="宋体" w:cs="Arial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eastAsia="zh-CN"/>
              </w:rPr>
              <w:t>绩效工资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8.36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8.36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eastAsia" w:ascii="Default" w:hAnsi="Default" w:eastAsia="宋体" w:cs="Arial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eastAsia="zh-CN"/>
              </w:rPr>
              <w:t>机关事业单位基本养老保险缴费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19.75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cs="Arial"/>
                <w:kern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19.75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职业年金缴费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8.63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8.63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</w:rPr>
              <w:t>基本医疗保险缴费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11.73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11.73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eastAsia" w:ascii="Default" w:hAnsi="Default" w:eastAsia="宋体" w:cs="Arial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eastAsia="zh-CN"/>
              </w:rPr>
              <w:t>公务员医疗补助缴费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7.55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7.55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</w:rPr>
              <w:t>其他社会保障缴费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center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        0.8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 xml:space="preserve"> 0.8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15.54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15.54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301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</w:rPr>
              <w:t>其他工资福利支出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34.71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34.71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商品和服务支出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22.29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22.29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302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办公费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5.60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5.60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302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培训费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1.55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1.55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302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工会经费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2.07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2.07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302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其他商品和服务支出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20.00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20.00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eastAsia="zh-CN"/>
              </w:rPr>
              <w:t>对个</w:t>
            </w: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人和家庭补助支出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1.04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1.04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303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</w:rPr>
              <w:t>抚恤金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1.02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1.02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303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</w:rPr>
              <w:t>其他对个人和家庭的补助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0.02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  <w:r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  <w:t>0.02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ascii="Default" w:hAnsi="Default" w:cs="Arial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left"/>
              <w:rPr>
                <w:rFonts w:hint="eastAsia" w:ascii="Default" w:hAnsi="Default" w:eastAsia="宋体" w:cs="Arial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eastAsia="zh-CN"/>
              </w:rPr>
              <w:t>合计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272.15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242.93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top"/>
          </w:tcPr>
          <w:p>
            <w:pPr>
              <w:widowControl/>
              <w:jc w:val="right"/>
              <w:rPr>
                <w:rFonts w:hint="default" w:ascii="Default" w:hAnsi="Default" w:eastAsia="宋体" w:cs="Arial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Default" w:hAnsi="Default" w:cs="Arial"/>
                <w:kern w:val="0"/>
                <w:sz w:val="20"/>
                <w:szCs w:val="20"/>
                <w:highlight w:val="none"/>
                <w:lang w:val="en-US" w:eastAsia="zh-CN"/>
              </w:rPr>
              <w:t>29.22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14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56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53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</w:t>
            </w:r>
            <w:r>
              <w:rPr>
                <w:rFonts w:hint="eastAsia" w:ascii="仿宋_GB2312" w:hAnsi="宋体" w:eastAsia="仿宋_GB2312"/>
                <w:kern w:val="0"/>
                <w:sz w:val="24"/>
                <w:lang w:val="en-US" w:eastAsia="zh-CN"/>
              </w:rPr>
              <w:t>互联网信息办公室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bidi="zh-CN"/>
        </w:rPr>
        <w:t>2020年吉木萨尔县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val="en-US" w:eastAsia="zh-CN" w:bidi="zh-CN"/>
        </w:rPr>
        <w:t>互联网信息办公室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bidi="zh-CN"/>
        </w:rPr>
        <w:t>未安排项目支出预算，此表没有数据。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部门</w:t>
      </w:r>
      <w:r>
        <w:rPr>
          <w:rFonts w:hint="eastAsia" w:ascii="仿宋_GB2312" w:hAnsi="宋体" w:eastAsia="仿宋_GB2312"/>
          <w:kern w:val="0"/>
          <w:sz w:val="24"/>
        </w:rPr>
        <w:t>：吉木萨尔县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互联网信息办公室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14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bidi="zh-CN"/>
        </w:rPr>
        <w:t>2020年吉木萨尔县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val="en-US" w:eastAsia="zh-CN" w:bidi="zh-CN"/>
        </w:rPr>
        <w:t>互联网信息办公室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bidi="zh-CN"/>
        </w:rPr>
        <w:t>未安排“三公”经费预算，此表没有数据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部门</w:t>
      </w:r>
      <w:r>
        <w:rPr>
          <w:rFonts w:hint="eastAsia" w:ascii="仿宋_GB2312" w:hAnsi="宋体" w:eastAsia="仿宋_GB2312"/>
          <w:kern w:val="0"/>
          <w:sz w:val="24"/>
        </w:rPr>
        <w:t>：吉木萨尔县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互联网信息办公室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kern w:val="0"/>
          <w:sz w:val="24"/>
        </w:rPr>
        <w:t xml:space="preserve">    单位：万元</w:t>
      </w:r>
    </w:p>
    <w:tbl>
      <w:tblPr>
        <w:tblStyle w:val="14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bidi="zh-CN"/>
        </w:rPr>
        <w:t>2020年吉木萨尔县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val="en-US" w:eastAsia="zh-CN" w:bidi="zh-CN"/>
        </w:rPr>
        <w:t>互联网信息办公室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bidi="zh-CN"/>
        </w:rPr>
        <w:t xml:space="preserve"> 未安排政府性基金预算，此表没有数据。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4" w:type="default"/>
          <w:pgSz w:w="11906" w:h="16838"/>
          <w:pgMar w:top="2098" w:right="1418" w:bottom="1928" w:left="1588" w:header="851" w:footer="992" w:gutter="0"/>
          <w:pgNumType w:fmt="numberInDash" w:start="1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关于吉木萨尔县互联网信息办公室2020年收支预算情况的总体说明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按照全口径预算的原则，吉木萨尔县互联网信息办公室2020年所有收入和支出均纳入部门预算管理。收支总预算272.15万元。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支出预算包括：一般公共服务支出、社会保障和就业支出、卫生健康支出。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二、关于吉木萨尔县互联网信息办公室2020年收入预算情况说明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吉木萨尔县互联网信息办公室收入预算272.15万元，其中：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一般公共预算272.15万元，占100%，比上年减少25.87万元，主要原因是人员减少，缩减经费开支；   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三、关于吉木萨尔县互联网信息办公室2020年支出预算情况说明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吉木萨尔县互联网信息办公室2020年支出预算272.15万元，其中：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基本支出272.15万元，占100%，比上年减少25.87万元，主要原因是人员减少，缩减经费开支。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主要原因是2020年未安排项目支出预算。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四、关于吉木萨尔县互联网信息办公室2020年财政拨款收支预算情况的总体说明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2020年财政拨款收支总预算272.15万元。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支出预算包括：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ascii="仿宋_GB2312" w:hAnsi="宋体" w:eastAsia="仿宋_GB2312" w:cs="宋体"/>
          <w:kern w:val="0"/>
          <w:sz w:val="32"/>
          <w:szCs w:val="32"/>
          <w:lang w:bidi="zh-CN"/>
        </w:rPr>
        <w:t xml:space="preserve">一般公共服务支出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224.49万</w:t>
      </w:r>
      <w:r>
        <w:rPr>
          <w:rFonts w:ascii="仿宋_GB2312" w:hAnsi="宋体" w:eastAsia="仿宋_GB2312" w:cs="宋体"/>
          <w:kern w:val="0"/>
          <w:sz w:val="32"/>
          <w:szCs w:val="32"/>
          <w:lang w:bidi="zh-CN"/>
        </w:rPr>
        <w:t xml:space="preserve">元，主要用于人员经费和公用经费开支；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ascii="仿宋_GB2312" w:hAnsi="宋体" w:eastAsia="仿宋_GB2312" w:cs="宋体"/>
          <w:kern w:val="0"/>
          <w:sz w:val="32"/>
          <w:szCs w:val="32"/>
          <w:lang w:bidi="zh-CN"/>
        </w:rPr>
        <w:t>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28.38万</w:t>
      </w:r>
      <w:r>
        <w:rPr>
          <w:rFonts w:ascii="仿宋_GB2312" w:hAnsi="宋体" w:eastAsia="仿宋_GB2312" w:cs="宋体"/>
          <w:kern w:val="0"/>
          <w:sz w:val="32"/>
          <w:szCs w:val="32"/>
          <w:lang w:bidi="zh-CN"/>
        </w:rPr>
        <w:t>元，主要用于机关事业单位基本养老保险缴费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 w:bidi="zh-CN"/>
        </w:rPr>
        <w:t>卫生健康</w:t>
      </w:r>
      <w:r>
        <w:rPr>
          <w:rFonts w:ascii="仿宋_GB2312" w:hAnsi="宋体" w:eastAsia="仿宋_GB2312" w:cs="宋体"/>
          <w:kern w:val="0"/>
          <w:sz w:val="32"/>
          <w:szCs w:val="32"/>
          <w:lang w:bidi="zh-CN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19.28万</w:t>
      </w:r>
      <w:r>
        <w:rPr>
          <w:rFonts w:ascii="仿宋_GB2312" w:hAnsi="宋体" w:eastAsia="仿宋_GB2312" w:cs="宋体"/>
          <w:kern w:val="0"/>
          <w:sz w:val="32"/>
          <w:szCs w:val="32"/>
          <w:lang w:bidi="zh-CN"/>
        </w:rPr>
        <w:t>元，主要用于职工基本医疗保险缴费、公务员医疗补助缴费。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吉木萨尔县互联网信息办公室</w:t>
      </w:r>
      <w:r>
        <w:rPr>
          <w:rFonts w:hint="eastAsia" w:ascii="黑体" w:hAnsi="宋体" w:eastAsia="黑体" w:cs="宋体"/>
          <w:kern w:val="0"/>
          <w:sz w:val="32"/>
          <w:szCs w:val="32"/>
        </w:rPr>
        <w:t>2020年一般公共预算当年拨款情况说明</w:t>
      </w:r>
    </w:p>
    <w:p>
      <w:pPr>
        <w:spacing w:line="560" w:lineRule="exac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吉木萨尔县互联网信息办公室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2020年一般公共预算拨款基本支出272.15万元，比上年执行数减少52万元，下降16.04%。主要原因是：人员减少，缩减经费支出。     </w:t>
      </w:r>
    </w:p>
    <w:p>
      <w:pPr>
        <w:spacing w:line="560" w:lineRule="exac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atLeast"/>
        <w:ind w:firstLine="640" w:firstLineChars="200"/>
        <w:jc w:val="left"/>
        <w:rPr>
          <w:rFonts w:ascii="仿宋_GB2312" w:eastAsia="仿宋_GB2312"/>
          <w:sz w:val="32"/>
          <w:szCs w:val="32"/>
          <w:lang w:bidi="zh-CN"/>
        </w:rPr>
      </w:pPr>
      <w:r>
        <w:rPr>
          <w:rFonts w:ascii="仿宋_GB2312" w:eastAsia="仿宋_GB2312"/>
          <w:sz w:val="32"/>
          <w:szCs w:val="32"/>
          <w:lang w:bidi="zh-CN"/>
        </w:rPr>
        <w:t>1.一般公共服务</w:t>
      </w:r>
      <w:r>
        <w:rPr>
          <w:rFonts w:hint="eastAsia" w:ascii="仿宋_GB2312" w:eastAsia="仿宋_GB2312"/>
          <w:sz w:val="32"/>
          <w:szCs w:val="32"/>
          <w:lang w:bidi="zh-CN"/>
        </w:rPr>
        <w:t>支出</w:t>
      </w:r>
      <w:r>
        <w:rPr>
          <w:rFonts w:ascii="仿宋_GB2312" w:eastAsia="仿宋_GB2312"/>
          <w:sz w:val="32"/>
          <w:szCs w:val="32"/>
          <w:lang w:bidi="zh-CN"/>
        </w:rPr>
        <w:t>（类）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224.49万</w:t>
      </w:r>
      <w:r>
        <w:rPr>
          <w:rFonts w:ascii="仿宋_GB2312" w:eastAsia="仿宋_GB2312"/>
          <w:sz w:val="32"/>
          <w:szCs w:val="32"/>
          <w:lang w:bidi="zh-CN"/>
        </w:rPr>
        <w:t>元，占</w:t>
      </w:r>
      <w:r>
        <w:rPr>
          <w:rFonts w:hint="eastAsia" w:ascii="仿宋_GB2312" w:eastAsia="仿宋_GB2312"/>
          <w:sz w:val="32"/>
          <w:szCs w:val="32"/>
          <w:lang w:bidi="zh-CN"/>
        </w:rPr>
        <w:t>82.49</w:t>
      </w:r>
      <w:r>
        <w:rPr>
          <w:rFonts w:ascii="仿宋_GB2312" w:eastAsia="仿宋_GB2312"/>
          <w:sz w:val="32"/>
          <w:szCs w:val="32"/>
        </w:rPr>
        <w:drawing>
          <wp:inline distT="0" distB="0" distL="114300" distR="114300">
            <wp:extent cx="85090" cy="154940"/>
            <wp:effectExtent l="0" t="0" r="3810" b="1016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/>
          <w:sz w:val="32"/>
          <w:szCs w:val="32"/>
          <w:lang w:bidi="zh-CN"/>
        </w:rPr>
        <w:t>。</w:t>
      </w:r>
    </w:p>
    <w:p>
      <w:pPr>
        <w:spacing w:line="560" w:lineRule="atLeast"/>
        <w:ind w:firstLine="640" w:firstLineChars="200"/>
        <w:jc w:val="left"/>
        <w:rPr>
          <w:rFonts w:ascii="仿宋_GB2312" w:eastAsia="仿宋_GB2312"/>
          <w:sz w:val="32"/>
          <w:szCs w:val="32"/>
          <w:lang w:bidi="zh-CN"/>
        </w:rPr>
      </w:pPr>
      <w:r>
        <w:rPr>
          <w:rFonts w:ascii="仿宋_GB2312" w:eastAsia="仿宋_GB2312"/>
          <w:sz w:val="32"/>
          <w:szCs w:val="32"/>
          <w:lang w:bidi="zh-CN"/>
        </w:rPr>
        <w:t>2. 社会保障和就业支出（类）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28.38万</w:t>
      </w:r>
      <w:r>
        <w:rPr>
          <w:rFonts w:ascii="仿宋_GB2312" w:eastAsia="仿宋_GB2312"/>
          <w:sz w:val="32"/>
          <w:szCs w:val="32"/>
          <w:lang w:bidi="zh-CN"/>
        </w:rPr>
        <w:t>元，占</w:t>
      </w:r>
      <w:r>
        <w:rPr>
          <w:rFonts w:hint="eastAsia" w:ascii="仿宋_GB2312" w:eastAsia="仿宋_GB2312"/>
          <w:sz w:val="32"/>
          <w:szCs w:val="32"/>
        </w:rPr>
        <w:t>10.43</w:t>
      </w:r>
      <w:r>
        <w:rPr>
          <w:rFonts w:ascii="仿宋_GB2312" w:eastAsia="仿宋_GB2312"/>
          <w:sz w:val="32"/>
          <w:szCs w:val="32"/>
        </w:rPr>
        <w:drawing>
          <wp:inline distT="0" distB="0" distL="114300" distR="114300">
            <wp:extent cx="85090" cy="154940"/>
            <wp:effectExtent l="0" t="0" r="3810" b="1016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/>
          <w:sz w:val="32"/>
          <w:szCs w:val="32"/>
          <w:lang w:bidi="zh-CN"/>
        </w:rPr>
        <w:t>。</w:t>
      </w:r>
    </w:p>
    <w:p>
      <w:pPr>
        <w:spacing w:line="560" w:lineRule="atLeast"/>
        <w:ind w:firstLine="640" w:firstLineChars="200"/>
        <w:jc w:val="left"/>
        <w:rPr>
          <w:rFonts w:ascii="仿宋_GB2312" w:eastAsia="仿宋_GB2312"/>
          <w:sz w:val="32"/>
          <w:szCs w:val="32"/>
          <w:lang w:bidi="zh-CN"/>
        </w:rPr>
      </w:pPr>
      <w:r>
        <w:rPr>
          <w:rFonts w:ascii="仿宋_GB2312" w:eastAsia="仿宋_GB2312"/>
          <w:sz w:val="32"/>
          <w:szCs w:val="32"/>
          <w:lang w:bidi="zh-CN"/>
        </w:rPr>
        <w:t xml:space="preserve">3. </w:t>
      </w:r>
      <w:r>
        <w:rPr>
          <w:rFonts w:hint="eastAsia" w:ascii="仿宋_GB2312" w:eastAsia="仿宋_GB2312"/>
          <w:sz w:val="32"/>
          <w:szCs w:val="32"/>
          <w:lang w:bidi="zh-CN"/>
        </w:rPr>
        <w:t>卫生健康支出</w:t>
      </w:r>
      <w:r>
        <w:rPr>
          <w:rFonts w:ascii="仿宋_GB2312" w:eastAsia="仿宋_GB2312"/>
          <w:sz w:val="32"/>
          <w:szCs w:val="32"/>
          <w:lang w:bidi="zh-CN"/>
        </w:rPr>
        <w:t>（类）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19.28万</w:t>
      </w:r>
      <w:r>
        <w:rPr>
          <w:rFonts w:ascii="仿宋_GB2312" w:eastAsia="仿宋_GB2312"/>
          <w:sz w:val="32"/>
          <w:szCs w:val="32"/>
          <w:lang w:bidi="zh-CN"/>
        </w:rPr>
        <w:t>元，占</w:t>
      </w:r>
      <w:r>
        <w:rPr>
          <w:rFonts w:hint="eastAsia" w:ascii="仿宋_GB2312" w:eastAsia="仿宋_GB2312"/>
          <w:sz w:val="32"/>
          <w:szCs w:val="32"/>
        </w:rPr>
        <w:t>7.08</w:t>
      </w:r>
      <w:r>
        <w:rPr>
          <w:rFonts w:ascii="仿宋_GB2312" w:eastAsia="仿宋_GB2312"/>
          <w:sz w:val="32"/>
          <w:szCs w:val="32"/>
        </w:rPr>
        <w:drawing>
          <wp:inline distT="0" distB="0" distL="114300" distR="114300">
            <wp:extent cx="85090" cy="154940"/>
            <wp:effectExtent l="0" t="0" r="3810" b="1016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/>
          <w:sz w:val="32"/>
          <w:szCs w:val="32"/>
          <w:lang w:bidi="zh-CN"/>
        </w:rPr>
        <w:t>。</w:t>
      </w:r>
    </w:p>
    <w:p>
      <w:pPr>
        <w:spacing w:line="560" w:lineRule="atLeas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atLeas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一般公共服务支出（类）网信事务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（款）行政运行（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）:2020 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224.49万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元，比上年执行数减少57万元，下降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20.25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drawing>
          <wp:inline distT="0" distB="0" distL="114300" distR="114300">
            <wp:extent cx="85090" cy="154940"/>
            <wp:effectExtent l="0" t="0" r="3810" b="10160"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，主要原因是人员减少，压缩经费。</w:t>
      </w:r>
    </w:p>
    <w:p>
      <w:pPr>
        <w:spacing w:line="560" w:lineRule="atLeas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2.社会保障和就业支出（类）行政事业单位养老支出（款）机关事业单位基本养老保险（项）:2020 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19.75万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元。比上年执行数减少7.02万元，下降26.22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drawing>
          <wp:inline distT="0" distB="0" distL="114300" distR="114300">
            <wp:extent cx="85090" cy="154940"/>
            <wp:effectExtent l="0" t="0" r="3810" b="1016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，主要原因是人员减少。</w:t>
      </w:r>
    </w:p>
    <w:p>
      <w:pPr>
        <w:spacing w:line="560" w:lineRule="atLeas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社会保障和就业支出（类）行政事业单位养老支出（款）机关事业单位职业年金缴费支出（项）:2020年预算数为8.63万元比上年执行数增加8.63万元，增长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100%，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主要原因是：网信办上年没有退休人员。</w:t>
      </w:r>
    </w:p>
    <w:p>
      <w:pPr>
        <w:spacing w:line="560" w:lineRule="atLeas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zh-CN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卫生健康支出（类）行政事业单位医疗（款）行政单位医疗（项）:2020 年预算数为4.78万元，比上年执行数增加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1.6万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 xml:space="preserve">元，增长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50.31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drawing>
          <wp:inline distT="0" distB="0" distL="114300" distR="114300">
            <wp:extent cx="85090" cy="154940"/>
            <wp:effectExtent l="0" t="0" r="3810" b="10160"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，主要原因是公务员人数增加，失业编人数减少。</w:t>
      </w:r>
    </w:p>
    <w:p>
      <w:pPr>
        <w:spacing w:line="560" w:lineRule="atLeas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zh-CN"/>
        </w:rPr>
        <w:t>5.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卫生健康支出（类）行政事业单位医疗（款）事业单位医疗（项）:2020 年预算数为6.95万元，比上年执行数减少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2.65万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61.63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drawing>
          <wp:inline distT="0" distB="0" distL="114300" distR="114300">
            <wp:extent cx="85090" cy="154940"/>
            <wp:effectExtent l="0" t="0" r="3810" b="1016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，主要原因是公务员人数增加，失业编人数减少。</w:t>
      </w:r>
    </w:p>
    <w:p>
      <w:pPr>
        <w:spacing w:line="560" w:lineRule="atLeas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.卫生健康支出（类）行政事业单位医疗（款）公务员医疗补助（项）:2020 年预算数为7.55万元，比上年执行数减少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0.85万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元，下降10.12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drawing>
          <wp:inline distT="0" distB="0" distL="114300" distR="114300">
            <wp:extent cx="85090" cy="154940"/>
            <wp:effectExtent l="0" t="0" r="3810" b="10160"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bidi="zh-CN"/>
        </w:rPr>
        <w:t>，主要原因是人员减少。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吉木萨尔县互联网信息办公室</w:t>
      </w:r>
      <w:r>
        <w:rPr>
          <w:rFonts w:hint="eastAsia" w:ascii="黑体" w:hAnsi="宋体" w:eastAsia="黑体" w:cs="宋体"/>
          <w:kern w:val="0"/>
          <w:sz w:val="32"/>
          <w:szCs w:val="32"/>
        </w:rPr>
        <w:t>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吉木萨尔县互联网信息办公室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2020年一般公共预算基本支出272.15万元， 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242.93万元，主要包括：基本工资、津贴补贴、奖金、绩效工资、机关事业单位基本养老保险缴费、职业年金缴费、职工基本医疗保险缴费、公务员医疗补助缴费、其他社会保障缴费、住房公积金、其他工资福利支出、抚恤金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其他对个人家庭补助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公用经费29.22万元，主要包括：办公费、培训费、工会经费、其他商品和服务支出。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吉木萨尔县互联网信息办公室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960" w:firstLineChars="3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 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年无项目支出预算，项目支出情况表为空表。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吉木萨尔县互联网信息办公室</w:t>
      </w:r>
      <w:r>
        <w:rPr>
          <w:rFonts w:hint="eastAsia" w:ascii="黑体" w:hAnsi="宋体" w:eastAsia="黑体" w:cs="宋体"/>
          <w:kern w:val="0"/>
          <w:sz w:val="32"/>
          <w:szCs w:val="32"/>
        </w:rPr>
        <w:t>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吉木萨尔县互联网信息办公室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2020年“三公”经费财政拨款预算数为0万元，其中：因公出国（境）费0万元，公务用车购置0万元，公务用车运行费0万元，公务接待费0万元。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 0万元，其中：因公出国（境）费增加0万元，主要原因是未安排预算；公务用车购置费为0，未安排预算。主要原因是未安排预算；公务用车运行费增加0万元，主要原因是：未安排预算 ；公务接待费增加0万元，主要原因是未安排预算。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吉木萨尔县互联网信息办公室</w:t>
      </w:r>
      <w:r>
        <w:rPr>
          <w:rFonts w:hint="eastAsia" w:ascii="黑体" w:hAnsi="宋体" w:eastAsia="黑体" w:cs="宋体"/>
          <w:kern w:val="0"/>
          <w:sz w:val="32"/>
          <w:szCs w:val="32"/>
        </w:rPr>
        <w:t>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lang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吉木萨尔县互联网信息办公室</w:t>
      </w:r>
      <w:r>
        <w:rPr>
          <w:rFonts w:ascii="仿宋_GB2312" w:hAnsi="宋体" w:eastAsia="仿宋_GB2312" w:cs="宋体"/>
          <w:kern w:val="0"/>
          <w:sz w:val="32"/>
          <w:szCs w:val="32"/>
          <w:lang w:bidi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zh-CN"/>
        </w:rPr>
        <w:t>20</w:t>
      </w:r>
      <w:r>
        <w:rPr>
          <w:rFonts w:ascii="仿宋_GB2312" w:hAnsi="宋体" w:eastAsia="仿宋_GB2312" w:cs="宋体"/>
          <w:kern w:val="0"/>
          <w:sz w:val="32"/>
          <w:szCs w:val="32"/>
          <w:lang w:bidi="zh-CN"/>
        </w:rPr>
        <w:t>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2020年，吉木萨尔县互联网信息办公室本级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 xml:space="preserve">及下属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 xml:space="preserve"> 家行政单位和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家事业单位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的机关运行经费财政拨款预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1.81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5.83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%。主要原因是：人员减少，压缩经费支出。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2020年，吉木萨尔县网络信息办公室政府采购预算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1.32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万元，其中：政府采购货物预算1.32万元，政府采购工程预算0万元，政府采购服务预算0万元。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截至2019年底，吉木萨尔县网络信息办公室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及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下属各预算单位占用使用国有资产总体情况为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3.办公家具价值49.21万元。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1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吉木萨尔县网络信息办公室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无其他需说明的事项。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="156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6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州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吉木萨尔县互联网信息办公室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22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fault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12 -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28 -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E59"/>
    <w:rsid w:val="00012120"/>
    <w:rsid w:val="0006026D"/>
    <w:rsid w:val="00206E59"/>
    <w:rsid w:val="00234BA2"/>
    <w:rsid w:val="002A1A64"/>
    <w:rsid w:val="003D55F1"/>
    <w:rsid w:val="003E370E"/>
    <w:rsid w:val="003E5C46"/>
    <w:rsid w:val="0047516C"/>
    <w:rsid w:val="004E2B43"/>
    <w:rsid w:val="005618A6"/>
    <w:rsid w:val="00575B0A"/>
    <w:rsid w:val="005A4ABF"/>
    <w:rsid w:val="005C6FA4"/>
    <w:rsid w:val="00627554"/>
    <w:rsid w:val="006A00C1"/>
    <w:rsid w:val="00780A01"/>
    <w:rsid w:val="00804A5D"/>
    <w:rsid w:val="008B5605"/>
    <w:rsid w:val="008F494D"/>
    <w:rsid w:val="0091715F"/>
    <w:rsid w:val="00917BEF"/>
    <w:rsid w:val="00944B81"/>
    <w:rsid w:val="00972BC7"/>
    <w:rsid w:val="00986610"/>
    <w:rsid w:val="009A275E"/>
    <w:rsid w:val="00A3753B"/>
    <w:rsid w:val="00A81536"/>
    <w:rsid w:val="00A87C8B"/>
    <w:rsid w:val="00AD61DC"/>
    <w:rsid w:val="00B575A5"/>
    <w:rsid w:val="00C8617D"/>
    <w:rsid w:val="00D00CDC"/>
    <w:rsid w:val="00D35B7F"/>
    <w:rsid w:val="00D51A95"/>
    <w:rsid w:val="00D85033"/>
    <w:rsid w:val="00FC5F3A"/>
    <w:rsid w:val="0126262F"/>
    <w:rsid w:val="09094BC2"/>
    <w:rsid w:val="0AFC6DBF"/>
    <w:rsid w:val="11D12BB8"/>
    <w:rsid w:val="147E2A92"/>
    <w:rsid w:val="14FE4952"/>
    <w:rsid w:val="15567673"/>
    <w:rsid w:val="18162BCB"/>
    <w:rsid w:val="20C636C5"/>
    <w:rsid w:val="23524D3A"/>
    <w:rsid w:val="24490A14"/>
    <w:rsid w:val="288F29E5"/>
    <w:rsid w:val="2D95738A"/>
    <w:rsid w:val="2E6F3631"/>
    <w:rsid w:val="2EC33BA5"/>
    <w:rsid w:val="2F8D1194"/>
    <w:rsid w:val="32981253"/>
    <w:rsid w:val="35C3179D"/>
    <w:rsid w:val="3A8670F8"/>
    <w:rsid w:val="48171BE7"/>
    <w:rsid w:val="4A0B3D0C"/>
    <w:rsid w:val="4A6C034E"/>
    <w:rsid w:val="4C750DF6"/>
    <w:rsid w:val="5D3C3322"/>
    <w:rsid w:val="64EC28DA"/>
    <w:rsid w:val="6B823B9F"/>
    <w:rsid w:val="6B89213E"/>
    <w:rsid w:val="6E09271E"/>
    <w:rsid w:val="6ECA0D30"/>
    <w:rsid w:val="702B3A44"/>
    <w:rsid w:val="73212B15"/>
    <w:rsid w:val="7BAD1A7E"/>
    <w:rsid w:val="7D440C28"/>
    <w:rsid w:val="7F8952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link w:val="23"/>
    <w:unhideWhenUsed/>
    <w:qFormat/>
    <w:uiPriority w:val="99"/>
    <w:pPr>
      <w:spacing w:after="120"/>
    </w:pPr>
  </w:style>
  <w:style w:type="paragraph" w:styleId="5">
    <w:name w:val="Balloon Text"/>
    <w:basedOn w:val="1"/>
    <w:link w:val="21"/>
    <w:semiHidden/>
    <w:qFormat/>
    <w:uiPriority w:val="0"/>
    <w:rPr>
      <w:kern w:val="0"/>
      <w:sz w:val="18"/>
      <w:szCs w:val="18"/>
    </w:rPr>
  </w:style>
  <w:style w:type="paragraph" w:styleId="6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kern w:val="0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Body Text Indent 3"/>
    <w:basedOn w:val="1"/>
    <w:link w:val="25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kern w:val="0"/>
      <w:sz w:val="32"/>
    </w:rPr>
  </w:style>
  <w:style w:type="paragraph" w:styleId="9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普通(网站)1"/>
    <w:basedOn w:val="1"/>
    <w:qFormat/>
    <w:uiPriority w:val="0"/>
    <w:rPr>
      <w:rFonts w:ascii="Calibri" w:hAnsi="Calibri" w:cs="黑体"/>
      <w:sz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3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21">
    <w:name w:val="批注框文本 Char"/>
    <w:link w:val="5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Char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正文文本 Char"/>
    <w:basedOn w:val="10"/>
    <w:link w:val="4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4">
    <w:name w:val="页脚 Char"/>
    <w:link w:val="6"/>
    <w:qFormat/>
    <w:uiPriority w:val="99"/>
    <w:rPr>
      <w:rFonts w:ascii="Times New Roman" w:hAnsi="Times New Roman" w:eastAsia="黑体" w:cs="Times New Roman"/>
      <w:snapToGrid/>
      <w:kern w:val="0"/>
      <w:sz w:val="18"/>
      <w:szCs w:val="18"/>
    </w:rPr>
  </w:style>
  <w:style w:type="character" w:customStyle="1" w:styleId="25">
    <w:name w:val="正文文本缩进 3 Char"/>
    <w:link w:val="8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21</Pages>
  <Words>6033</Words>
  <Characters>7361</Characters>
  <Lines>83</Lines>
  <Paragraphs>23</Paragraphs>
  <TotalTime>3</TotalTime>
  <ScaleCrop>false</ScaleCrop>
  <LinksUpToDate>false</LinksUpToDate>
  <CharactersWithSpaces>8101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2020-03-16T11:23:00Z</dcterms:created>
  <dc:creator>闫超</dc:creator>
  <cp:lastModifiedBy>Administrator</cp:lastModifiedBy>
  <dcterms:modified xsi:type="dcterms:W3CDTF">2021-06-09T05:39:46Z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  <property fmtid="{D5CDD505-2E9C-101B-9397-08002B2CF9AE}" pid="3" name="ICV">
    <vt:lpwstr>4F3D52045B9E4093B9CC682D21B3BC0A</vt:lpwstr>
  </property>
</Properties>
</file>