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center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pStyle w:val="2"/>
      </w:pPr>
    </w:p>
    <w:p>
      <w:pPr>
        <w:pStyle w:val="2"/>
      </w:pP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  <w:lang w:eastAsia="zh-CN"/>
        </w:rPr>
        <w:t>吉木萨尔县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社会保险支出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绩效评价报告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（</w:t>
      </w:r>
      <w:r>
        <w:rPr>
          <w:rFonts w:ascii="黑体" w:hAnsi="黑体" w:eastAsia="黑体" w:cs="黑体"/>
          <w:b/>
          <w:bCs/>
          <w:kern w:val="0"/>
          <w:sz w:val="48"/>
          <w:szCs w:val="48"/>
        </w:rPr>
        <w:t>201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年度）</w:t>
      </w:r>
    </w:p>
    <w:p>
      <w:pPr>
        <w:spacing w:line="560" w:lineRule="exact"/>
        <w:jc w:val="center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ind w:firstLine="31680" w:firstLineChars="2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项目名称：社会保险基金支出</w:t>
      </w:r>
    </w:p>
    <w:p>
      <w:pPr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</w:t>
      </w:r>
    </w:p>
    <w:p>
      <w:pPr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31680" w:firstLineChars="236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负责人（签章）：</w:t>
      </w:r>
    </w:p>
    <w:p>
      <w:pPr>
        <w:spacing w:line="560" w:lineRule="exact"/>
        <w:ind w:firstLine="31680" w:firstLineChars="236"/>
        <w:jc w:val="lef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31680" w:firstLineChars="236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20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kern w:val="0"/>
          <w:sz w:val="32"/>
          <w:szCs w:val="32"/>
        </w:rPr>
        <w:t>年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kern w:val="0"/>
          <w:sz w:val="32"/>
          <w:szCs w:val="32"/>
        </w:rPr>
        <w:t>月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18</w:t>
      </w:r>
      <w:r>
        <w:rPr>
          <w:rFonts w:hint="eastAsia" w:ascii="黑体" w:hAnsi="黑体" w:eastAsia="黑体" w:cs="黑体"/>
          <w:kern w:val="0"/>
          <w:sz w:val="32"/>
          <w:szCs w:val="32"/>
        </w:rPr>
        <w:t>日</w:t>
      </w:r>
    </w:p>
    <w:p>
      <w:pPr>
        <w:spacing w:line="560" w:lineRule="exact"/>
        <w:ind w:firstLine="640"/>
        <w:rPr>
          <w:rStyle w:val="18"/>
          <w:rFonts w:ascii="仿宋_GB2312" w:hAnsi="仿宋_GB2312" w:eastAsia="仿宋_GB2312"/>
          <w:spacing w:val="-4"/>
          <w:sz w:val="30"/>
          <w:szCs w:val="30"/>
        </w:rPr>
      </w:pPr>
    </w:p>
    <w:p>
      <w:pPr>
        <w:spacing w:line="560" w:lineRule="exact"/>
        <w:ind w:firstLine="640"/>
        <w:rPr>
          <w:rStyle w:val="18"/>
          <w:rFonts w:ascii="仿宋_GB2312" w:hAnsi="仿宋_GB2312" w:eastAsia="仿宋_GB2312"/>
          <w:spacing w:val="-4"/>
          <w:sz w:val="30"/>
          <w:szCs w:val="30"/>
        </w:rPr>
      </w:pPr>
    </w:p>
    <w:p>
      <w:pPr>
        <w:spacing w:line="560" w:lineRule="exact"/>
        <w:ind w:firstLine="640"/>
        <w:rPr>
          <w:rStyle w:val="18"/>
          <w:rFonts w:ascii="仿宋_GB2312" w:hAnsi="仿宋_GB2312" w:eastAsia="仿宋_GB2312"/>
          <w:spacing w:val="-4"/>
          <w:sz w:val="30"/>
          <w:szCs w:val="30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  <w:lang w:eastAsia="zh-CN"/>
        </w:rPr>
        <w:t>吉木萨尔县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社会保险支出绩效评价报告</w:t>
      </w:r>
    </w:p>
    <w:p>
      <w:pPr>
        <w:pStyle w:val="2"/>
      </w:pP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年度，在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0"/>
          <w:szCs w:val="30"/>
        </w:rPr>
        <w:t>党委、政府的正确领导下，在人社局、财政局的大力支持下，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吉木萨尔县</w:t>
      </w:r>
      <w:r>
        <w:rPr>
          <w:rFonts w:hint="eastAsia" w:ascii="仿宋_GB2312" w:hAnsi="仿宋_GB2312" w:eastAsia="仿宋_GB2312" w:cs="仿宋_GB2312"/>
          <w:sz w:val="30"/>
          <w:szCs w:val="30"/>
        </w:rPr>
        <w:t>社会保险工作取得了显著成绩。各项社会保险基金收入稳步增长，支出相对增加，总体运行平稳。确保了广大参保人员各项社会保险待遇的按时、足额发放，各项保险覆盖面逐步扩大。在进一步加强社会保险基金预算管理的基础上，确保了各项基金的安全运营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一、社会保险基金收支余总体情况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社会保险（包括城乡居民养老保险费和机关事业单位养老保险）</w:t>
      </w:r>
      <w:r>
        <w:rPr>
          <w:rFonts w:hint="eastAsia" w:ascii="仿宋_GB2312" w:hAnsi="仿宋_GB2312" w:eastAsia="仿宋_GB2312" w:cs="仿宋_GB2312"/>
          <w:sz w:val="30"/>
          <w:szCs w:val="30"/>
        </w:rPr>
        <w:t>基金总收入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1.72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亿元，较上年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2.3亿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0.58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，完成年度预算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95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。各项基金总支出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1.74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亿元，较上年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1.61亿</w:t>
      </w:r>
      <w:r>
        <w:rPr>
          <w:rFonts w:hint="eastAsia" w:ascii="仿宋_GB2312" w:hAnsi="仿宋_GB2312" w:eastAsia="仿宋_GB2312" w:cs="仿宋_GB2312"/>
          <w:sz w:val="30"/>
          <w:szCs w:val="30"/>
        </w:rPr>
        <w:t>增加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0.13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亿元，增长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，完成年度预算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103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</w:rPr>
        <w:t>基金当期结余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-258万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元，滚存结余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0.91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二、社会保险基金支出预算绩效目标设定情况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机关事业单位基本养老保险基金支出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1.4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亿元，养老保险待遇发放成功率</w:t>
      </w:r>
      <w:r>
        <w:rPr>
          <w:rFonts w:ascii="仿宋_GB2312" w:hAnsi="仿宋_GB2312" w:eastAsia="仿宋_GB2312" w:cs="仿宋_GB2312"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，基金支出预算执行率≥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，基金使用符合政策规定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，财政补助资金到位率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，待遇按时发放州直部门每月</w:t>
      </w:r>
      <w:r>
        <w:rPr>
          <w:rFonts w:ascii="仿宋_GB2312" w:hAnsi="仿宋_GB2312" w:eastAsia="仿宋_GB2312" w:cs="仿宋_GB2312"/>
          <w:sz w:val="30"/>
          <w:szCs w:val="30"/>
        </w:rPr>
        <w:t>25</w:t>
      </w:r>
      <w:r>
        <w:rPr>
          <w:rFonts w:hint="eastAsia" w:ascii="仿宋_GB2312" w:hAnsi="仿宋_GB2312" w:eastAsia="仿宋_GB2312" w:cs="仿宋_GB2312"/>
          <w:sz w:val="30"/>
          <w:szCs w:val="30"/>
        </w:rPr>
        <w:t>日前，离退休人员上访率</w:t>
      </w:r>
      <w:r>
        <w:rPr>
          <w:rFonts w:ascii="仿宋_GB2312" w:hAnsi="仿宋_GB2312" w:eastAsia="仿宋_GB2312" w:cs="仿宋_GB2312"/>
          <w:sz w:val="30"/>
          <w:szCs w:val="30"/>
        </w:rPr>
        <w:t>&lt;0.1%</w:t>
      </w:r>
      <w:r>
        <w:rPr>
          <w:rFonts w:hint="eastAsia" w:ascii="仿宋_GB2312" w:hAnsi="仿宋_GB2312" w:eastAsia="仿宋_GB2312" w:cs="仿宋_GB2312"/>
          <w:sz w:val="30"/>
          <w:szCs w:val="30"/>
        </w:rPr>
        <w:t>，离休退人员满意度≥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。，充分发挥社会保险的职能作用，基本生活水平逐年提高，分享改革成果。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城乡居民基本养老保险基金预算支出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0.29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亿元，基本养老保险待遇发放成功率</w:t>
      </w:r>
      <w:r>
        <w:rPr>
          <w:rFonts w:ascii="仿宋_GB2312" w:hAnsi="仿宋_GB2312" w:eastAsia="仿宋_GB2312" w:cs="仿宋_GB2312"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，基金支出预算执行率≥</w:t>
      </w:r>
      <w:r>
        <w:rPr>
          <w:rFonts w:ascii="仿宋_GB2312" w:hAnsi="仿宋_GB2312" w:eastAsia="仿宋_GB2312" w:cs="仿宋_GB2312"/>
          <w:sz w:val="30"/>
          <w:szCs w:val="30"/>
        </w:rPr>
        <w:t>90%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，基金使用符合政策规定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，财政补助资金到位率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，待遇按时发放每月</w:t>
      </w:r>
      <w:r>
        <w:rPr>
          <w:rFonts w:ascii="仿宋_GB2312" w:hAnsi="仿宋_GB2312" w:eastAsia="仿宋_GB2312" w:cs="仿宋_GB2312"/>
          <w:sz w:val="30"/>
          <w:szCs w:val="30"/>
        </w:rPr>
        <w:t>25</w:t>
      </w:r>
      <w:r>
        <w:rPr>
          <w:rFonts w:hint="eastAsia" w:ascii="仿宋_GB2312" w:hAnsi="仿宋_GB2312" w:eastAsia="仿宋_GB2312" w:cs="仿宋_GB2312"/>
          <w:sz w:val="30"/>
          <w:szCs w:val="30"/>
        </w:rPr>
        <w:t>日前，离退休人员上访率</w:t>
      </w:r>
      <w:r>
        <w:rPr>
          <w:rFonts w:ascii="仿宋_GB2312" w:hAnsi="仿宋_GB2312" w:eastAsia="仿宋_GB2312" w:cs="仿宋_GB2312"/>
          <w:sz w:val="30"/>
          <w:szCs w:val="30"/>
        </w:rPr>
        <w:t>&lt;0.1%</w:t>
      </w:r>
      <w:r>
        <w:rPr>
          <w:rFonts w:hint="eastAsia" w:ascii="仿宋_GB2312" w:hAnsi="仿宋_GB2312" w:eastAsia="仿宋_GB2312" w:cs="仿宋_GB2312"/>
          <w:sz w:val="30"/>
          <w:szCs w:val="30"/>
        </w:rPr>
        <w:t>，离休退人员满意度≥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，扩大社保的覆盖面，确保“老有所养”，提高人民群众的幸福感和获得感。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三、各项社会保险基金预算完成及运行情况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一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机关事业单位养老保险基金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年度机关事业单位养老保险基金总收入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亿元（保险费收入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0.92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亿元、财政补助收入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0.37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亿元，利息收入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转移收入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10万、</w:t>
      </w:r>
      <w:r>
        <w:rPr>
          <w:rFonts w:hint="eastAsia" w:ascii="仿宋_GB2312" w:hAnsi="仿宋_GB2312" w:eastAsia="仿宋_GB2312" w:cs="仿宋_GB2312"/>
          <w:sz w:val="30"/>
          <w:szCs w:val="30"/>
        </w:rPr>
        <w:t>其他收入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2.7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万元），收入较上年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0.58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，完成全年预算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1.4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92.8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。基金总支出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1.45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亿元，较上年支出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1.37亿元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</w:t>
      </w:r>
      <w:r>
        <w:rPr>
          <w:rFonts w:ascii="仿宋_GB2312" w:hAnsi="仿宋_GB2312" w:eastAsia="仿宋_GB2312" w:cs="仿宋_GB2312"/>
          <w:sz w:val="30"/>
          <w:szCs w:val="30"/>
        </w:rPr>
        <w:t>0.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，增幅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5.8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，完成全年预算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1.39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亿元的</w:t>
      </w:r>
      <w:r>
        <w:rPr>
          <w:rFonts w:ascii="仿宋_GB2312" w:hAnsi="仿宋_GB2312" w:eastAsia="仿宋_GB2312" w:cs="仿宋_GB2312"/>
          <w:sz w:val="30"/>
          <w:szCs w:val="30"/>
        </w:rPr>
        <w:t>10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。当年收支结余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-0.15亿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元，滚存结余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</w:rPr>
        <w:t>元。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二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城乡居民基本养老保险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年度，城乡居民基本养老保险基金总收入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4261万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元，其中：个人缴费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1266万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元，占基金总收入的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29.7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，政补助收入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2963万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元，占基金总收入的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69.5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、利息收入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万元、转移收入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万元，收入较上年增长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524万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元，增幅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14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，完成全年预算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4143万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元的</w:t>
      </w:r>
      <w:r>
        <w:rPr>
          <w:rFonts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02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。基金总支出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2957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元（养老金支出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2933万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元、丧葬抚恤补助支出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20.6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万元、转移支出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万元）较上年支出增长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329万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元，增幅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12.5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，完成全年预算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2972万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99.5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。当年收支结余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1304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万元，累计结余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9173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四、组织实施和绩效管理情况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社会保险管理情况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进一步完善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城乡居民养老保险和机关事业单位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养老保险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县级</w:t>
      </w:r>
      <w:r>
        <w:rPr>
          <w:rFonts w:hint="eastAsia" w:ascii="仿宋_GB2312" w:hAnsi="仿宋_GB2312" w:eastAsia="仿宋_GB2312" w:cs="仿宋_GB2312"/>
          <w:sz w:val="30"/>
          <w:szCs w:val="30"/>
        </w:rPr>
        <w:t>统筹制度，规范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城乡居民养老保险和机关事业单位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养老保险缴费政策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绩效目标完成情况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年以基金安全运行为根本，以提高管理服务水平为重点，严格执行社会保险各项政策，建立健全内部控制制度，确保待遇发放，基金运行总体平稳。通过连续几年为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农牧民增加缴费补贴，</w:t>
      </w:r>
      <w:r>
        <w:rPr>
          <w:rFonts w:hint="eastAsia" w:ascii="仿宋_GB2312" w:hAnsi="仿宋_GB2312" w:eastAsia="仿宋_GB2312" w:cs="仿宋_GB2312"/>
          <w:sz w:val="30"/>
          <w:szCs w:val="30"/>
        </w:rPr>
        <w:t>逐步提高保险待遇支付标准，使参保人员的获得感、幸福感不断增强。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社保经办机构按照“流程覆盖、环节把控、职责明确”的工作思路，实现了经办和管理工作规范、有效运行，保障了基金安全。一是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规范业务流程，</w:t>
      </w:r>
      <w:r>
        <w:rPr>
          <w:rFonts w:hint="eastAsia" w:ascii="仿宋_GB2312" w:hAnsi="仿宋_GB2312" w:eastAsia="仿宋_GB2312" w:cs="仿宋_GB2312"/>
          <w:sz w:val="30"/>
          <w:szCs w:val="30"/>
        </w:rPr>
        <w:t>健全内控制度。参保人员均按规定办理参保登记、个人账户信息修改、缴费等业务，严格执行统一的会计制度和收支业务审批制度，社保基金按规定对基金分别建账、分账核算，基金收入户、支出户和财政专户按规定开设账户，严格实行收支两条线管理，全面实行全程电子化，杜绝隐匿、转移、侵占、挪用基金的现象，确保基金专款专用。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30"/>
          <w:szCs w:val="30"/>
        </w:rPr>
        <w:t>按规定设置岗位，增强社保经办机构干部队伍力量，加强管理，严格遵守不相容职务相互分离的原则，业务审核岗位和审批岗位分离、审批岗位与计发待遇岗位分离、审批岗位与数据录入岗位分离、会计岗位与出纳岗位分离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无违反业务规程、信息系统操作流程规定以及岗位职责、审批权限，办理社会保险业务、修改社会保险信息的现象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。三是</w:t>
      </w:r>
      <w:r>
        <w:rPr>
          <w:rFonts w:hint="eastAsia" w:ascii="仿宋_GB2312" w:hAnsi="仿宋_GB2312" w:eastAsia="仿宋_GB2312" w:cs="仿宋_GB2312"/>
          <w:sz w:val="30"/>
          <w:szCs w:val="30"/>
        </w:rPr>
        <w:t>按规定与银行、财政部门等核对基金的收付情况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严格执行基金支付政策，按月足额发放待遇，做到不拖欠、不挪用、不挤占社保基金。</w:t>
      </w: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年各项社会保险待遇也在规定时限内足额领取，社会满意度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以上，保障了退休人员的晚年生活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坚定维护了新疆社会稳定和长治久安。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年机关事业养老保险（改革）基金总支出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1.47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</w:t>
      </w:r>
      <w:r>
        <w:rPr>
          <w:rFonts w:ascii="仿宋_GB2312" w:hAnsi="仿宋_GB2312" w:eastAsia="仿宋_GB2312" w:cs="仿宋_GB2312"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sz w:val="30"/>
          <w:szCs w:val="30"/>
        </w:rPr>
        <w:t>其中：基本养老金待遇支出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1.47</w:t>
      </w:r>
      <w:r>
        <w:rPr>
          <w:rFonts w:hint="eastAsia" w:ascii="仿宋_GB2312" w:hAnsi="仿宋_GB2312" w:eastAsia="仿宋_GB2312" w:cs="仿宋_GB2312"/>
          <w:sz w:val="30"/>
          <w:szCs w:val="30"/>
        </w:rPr>
        <w:t>亿元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全年保障离退休人员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2300</w:t>
      </w:r>
      <w:r>
        <w:rPr>
          <w:rFonts w:hint="eastAsia" w:ascii="仿宋_GB2312" w:hAnsi="仿宋_GB2312" w:eastAsia="仿宋_GB2312" w:cs="仿宋_GB2312"/>
          <w:sz w:val="30"/>
          <w:szCs w:val="30"/>
        </w:rPr>
        <w:t>人的基本养老金待遇发放。全年预算支出执行目标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以上，按时足额发放养老金，首次待遇发放准确率</w:t>
      </w:r>
      <w:r>
        <w:rPr>
          <w:rFonts w:ascii="仿宋_GB2312" w:hAnsi="仿宋_GB2312" w:eastAsia="仿宋_GB2312" w:cs="仿宋_GB2312"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年城乡居民基本养老保险基金总支出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2957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元，全年享受养老保险待遇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14071</w:t>
      </w:r>
      <w:r>
        <w:rPr>
          <w:rFonts w:hint="eastAsia" w:ascii="仿宋_GB2312" w:hAnsi="仿宋_GB2312" w:eastAsia="仿宋_GB2312" w:cs="仿宋_GB2312"/>
          <w:sz w:val="30"/>
          <w:szCs w:val="30"/>
        </w:rPr>
        <w:t>人。全年预算支出执行目标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99.5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以，按照承诺时限将及时足额将待遇资金拨付参保个人，首次发放准确率</w:t>
      </w:r>
      <w:r>
        <w:rPr>
          <w:rFonts w:ascii="仿宋_GB2312" w:hAnsi="仿宋_GB2312" w:eastAsia="仿宋_GB2312" w:cs="仿宋_GB2312"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五、下一年度计划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养老保险按国家统一安排、同步调整企业和机关事业单位退休人员基本养老金。继续推动机关事业单位养老保险改革，全面实现参保缴费、待遇发放和新办法计发。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五、存在问题和建议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一是绩效目标设定还不太合理有待进一步完善。建议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由上级部门制定</w:t>
      </w:r>
      <w:r>
        <w:rPr>
          <w:rFonts w:hint="eastAsia" w:ascii="仿宋_GB2312" w:hAnsi="仿宋_GB2312" w:eastAsia="仿宋_GB2312" w:cs="仿宋_GB2312"/>
          <w:sz w:val="30"/>
          <w:szCs w:val="30"/>
        </w:rPr>
        <w:t>社会保险基金支出绩效目标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，而不是由经办机构自行制定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二是工作人员岗位变动频繁，业务经办水平有待提高，对业务经办人员的培训工作有待加强。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六、附表</w:t>
      </w:r>
    </w:p>
    <w:p>
      <w:pPr>
        <w:tabs>
          <w:tab w:val="left" w:pos="0"/>
        </w:tabs>
        <w:spacing w:line="520" w:lineRule="exact"/>
        <w:ind w:firstLine="3168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吉木萨尔县</w:t>
      </w:r>
      <w:r>
        <w:rPr>
          <w:rFonts w:hint="eastAsia" w:ascii="仿宋_GB2312" w:hAnsi="仿宋_GB2312" w:eastAsia="仿宋_GB2312" w:cs="仿宋_GB2312"/>
          <w:sz w:val="30"/>
          <w:szCs w:val="30"/>
        </w:rPr>
        <w:t>社会保险支出绩效自评表</w:t>
      </w:r>
    </w:p>
    <w:sectPr>
      <w:footerReference r:id="rId4" w:type="default"/>
      <w:pgSz w:w="11906" w:h="16838"/>
      <w:pgMar w:top="1440" w:right="1558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altName w:val="Palatino Linotype"/>
    <w:panose1 w:val="02040503050406030204"/>
    <w:charset w:val="00"/>
    <w:family w:val="auto"/>
    <w:pitch w:val="default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方正小标宋简体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2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rPr>
        <w:lang w:val="zh-CN"/>
      </w:rPr>
      <w:fldChar w:fldCharType="end"/>
    </w:r>
  </w:p>
  <w:p>
    <w:pPr>
      <w:pStyle w:val="1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next w:val="2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7"/>
    <w:pPr>
      <w:keepNext/>
      <w:widowControl/>
      <w:spacing w:before="240" w:after="60"/>
      <w:jc w:val="left"/>
      <w:outlineLvl w:val="0"/>
    </w:pPr>
    <w:rPr>
      <w:rFonts w:ascii="Cambria" w:hAnsi="Cambria" w:eastAsia="宋体" w:cs="Cambr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8"/>
    <w:pPr>
      <w:keepNext/>
      <w:widowControl/>
      <w:spacing w:before="240" w:after="60"/>
      <w:jc w:val="left"/>
      <w:outlineLvl w:val="1"/>
    </w:pPr>
    <w:rPr>
      <w:rFonts w:ascii="Cambria" w:hAnsi="Cambria" w:eastAsia="宋体" w:cs="Cambr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9"/>
    <w:pPr>
      <w:keepNext/>
      <w:widowControl/>
      <w:spacing w:before="240" w:after="60"/>
      <w:jc w:val="left"/>
      <w:outlineLvl w:val="2"/>
    </w:pPr>
    <w:rPr>
      <w:rFonts w:ascii="Cambria" w:hAnsi="Cambria" w:eastAsia="宋体" w:cs="Cambria"/>
      <w:b/>
      <w:bCs/>
      <w:sz w:val="26"/>
      <w:szCs w:val="26"/>
    </w:rPr>
  </w:style>
  <w:style w:type="paragraph" w:styleId="6">
    <w:name w:val="heading 4"/>
    <w:basedOn w:val="1"/>
    <w:next w:val="1"/>
    <w:link w:val="3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31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32"/>
    <w:pPr>
      <w:widowControl/>
      <w:spacing w:before="240" w:after="60"/>
      <w:jc w:val="left"/>
      <w:outlineLvl w:val="5"/>
    </w:pPr>
    <w:rPr>
      <w:b/>
      <w:bCs/>
    </w:rPr>
  </w:style>
  <w:style w:type="paragraph" w:styleId="9">
    <w:name w:val="heading 7"/>
    <w:basedOn w:val="1"/>
    <w:next w:val="1"/>
    <w:link w:val="33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34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35"/>
    <w:pPr>
      <w:widowControl/>
      <w:spacing w:before="240" w:after="60"/>
      <w:jc w:val="left"/>
      <w:outlineLvl w:val="8"/>
    </w:pPr>
    <w:rPr>
      <w:rFonts w:ascii="Cambria" w:hAnsi="Cambria" w:eastAsia="宋体" w:cs="Cambria"/>
    </w:rPr>
  </w:style>
  <w:style w:type="character" w:default="1" w:styleId="16">
    <w:name w:val="Default Paragraph Font"/>
    <w:link w:val="17"/>
    <w:semiHidden/>
  </w:style>
  <w:style w:type="paragraph" w:styleId="2">
    <w:name w:val="Body Text"/>
    <w:basedOn w:val="1"/>
    <w:link w:val="36"/>
    <w:pPr>
      <w:jc w:val="center"/>
    </w:pPr>
    <w:rPr>
      <w:sz w:val="24"/>
      <w:szCs w:val="24"/>
    </w:rPr>
  </w:style>
  <w:style w:type="paragraph" w:styleId="12">
    <w:name w:val="footer"/>
    <w:basedOn w:val="1"/>
    <w:link w:val="38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2"/>
      <w:sz w:val="18"/>
      <w:szCs w:val="18"/>
    </w:rPr>
  </w:style>
  <w:style w:type="paragraph" w:styleId="13">
    <w:name w:val="header"/>
    <w:basedOn w:val="1"/>
    <w:link w:val="3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2"/>
      <w:sz w:val="18"/>
      <w:szCs w:val="18"/>
    </w:rPr>
  </w:style>
  <w:style w:type="paragraph" w:styleId="14">
    <w:name w:val="Subtitle"/>
    <w:basedOn w:val="1"/>
    <w:next w:val="1"/>
    <w:link w:val="40"/>
    <w:pPr>
      <w:widowControl/>
      <w:spacing w:after="60"/>
      <w:jc w:val="center"/>
      <w:outlineLvl w:val="1"/>
    </w:pPr>
    <w:rPr>
      <w:rFonts w:ascii="Cambria" w:hAnsi="Cambria" w:eastAsia="宋体" w:cs="Cambria"/>
      <w:sz w:val="24"/>
      <w:szCs w:val="24"/>
    </w:rPr>
  </w:style>
  <w:style w:type="paragraph" w:styleId="15">
    <w:name w:val="Title"/>
    <w:basedOn w:val="1"/>
    <w:next w:val="1"/>
    <w:link w:val="41"/>
    <w:pPr>
      <w:widowControl/>
      <w:spacing w:before="240" w:after="60"/>
      <w:jc w:val="center"/>
      <w:outlineLvl w:val="0"/>
    </w:pPr>
    <w:rPr>
      <w:rFonts w:ascii="Cambria" w:hAnsi="Cambria" w:eastAsia="宋体" w:cs="Cambria"/>
      <w:b/>
      <w:bCs/>
      <w:kern w:val="28"/>
      <w:sz w:val="32"/>
      <w:szCs w:val="32"/>
    </w:rPr>
  </w:style>
  <w:style w:type="paragraph" w:customStyle="1" w:styleId="17">
    <w:name w:val="Char Char Char Char Char Char1 Char Char Char Char"/>
    <w:basedOn w:val="1"/>
    <w:link w:val="16"/>
  </w:style>
  <w:style w:type="character" w:styleId="18">
    <w:name w:val="Strong"/>
    <w:basedOn w:val="16"/>
    <w:rPr>
      <w:b/>
      <w:bCs/>
    </w:rPr>
  </w:style>
  <w:style w:type="character" w:styleId="19">
    <w:name w:val="Emphasis"/>
    <w:basedOn w:val="16"/>
    <w:rPr>
      <w:rFonts w:ascii="Calibri" w:hAnsi="Calibri" w:cs="Calibri"/>
      <w:b/>
      <w:bCs/>
      <w:i/>
      <w:iCs/>
    </w:rPr>
  </w:style>
  <w:style w:type="paragraph" w:customStyle="1" w:styleId="20">
    <w:name w:val="Block Text"/>
    <w:basedOn w:val="1"/>
    <w:next w:val="1"/>
    <w:link w:val="42"/>
    <w:pPr>
      <w:widowControl/>
      <w:jc w:val="left"/>
    </w:pPr>
    <w:rPr>
      <w:i/>
      <w:iCs/>
      <w:sz w:val="24"/>
      <w:szCs w:val="24"/>
    </w:rPr>
  </w:style>
  <w:style w:type="paragraph" w:customStyle="1" w:styleId="21">
    <w:name w:val="批注框文本 Char Char"/>
    <w:basedOn w:val="1"/>
    <w:link w:val="37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2">
    <w:name w:val="Normal (Web)"/>
    <w:basedOn w:val="1"/>
    <w:pPr>
      <w:spacing w:beforeAutospacing="1" w:afterAutospacing="1"/>
      <w:jc w:val="left"/>
    </w:pPr>
    <w:rPr>
      <w:kern w:val="0"/>
      <w:sz w:val="24"/>
      <w:szCs w:val="24"/>
    </w:rPr>
  </w:style>
  <w:style w:type="paragraph" w:customStyle="1" w:styleId="23">
    <w:name w:val="No Spacing"/>
    <w:basedOn w:val="1"/>
    <w:pPr>
      <w:widowControl/>
      <w:jc w:val="left"/>
    </w:pPr>
    <w:rPr>
      <w:rFonts w:ascii="Calibri" w:hAnsi="Calibri" w:eastAsia="宋体" w:cs="Calibri"/>
      <w:kern w:val="0"/>
      <w:sz w:val="24"/>
      <w:szCs w:val="24"/>
      <w:lang w:val="en-US" w:eastAsia="en-US" w:bidi="ar-SA"/>
    </w:rPr>
  </w:style>
  <w:style w:type="paragraph" w:customStyle="1" w:styleId="24">
    <w:name w:val="List Paragraph"/>
    <w:basedOn w:val="1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25">
    <w:name w:val="Intense Quote"/>
    <w:basedOn w:val="1"/>
    <w:next w:val="1"/>
    <w:link w:val="43"/>
    <w:pPr>
      <w:widowControl/>
      <w:ind w:left="720" w:right="720"/>
      <w:jc w:val="left"/>
    </w:pPr>
    <w:rPr>
      <w:b/>
      <w:bCs/>
      <w:i/>
      <w:iCs/>
      <w:sz w:val="24"/>
      <w:szCs w:val="24"/>
    </w:rPr>
  </w:style>
  <w:style w:type="paragraph" w:customStyle="1" w:styleId="26">
    <w:name w:val="TOC Heading1"/>
    <w:basedOn w:val="3"/>
    <w:next w:val="1"/>
    <w:pPr>
      <w:outlineLvl w:val="9"/>
    </w:pPr>
    <w:rPr>
      <w:lang w:eastAsia="en-US"/>
    </w:rPr>
  </w:style>
  <w:style w:type="character" w:customStyle="1" w:styleId="27">
    <w:name w:val="Heading 1 Char"/>
    <w:basedOn w:val="16"/>
    <w:link w:val="3"/>
    <w:semiHidden/>
    <w:rPr>
      <w:rFonts w:ascii="Cambria" w:hAnsi="Cambria" w:eastAsia="宋体" w:cs="Cambria"/>
      <w:b/>
      <w:bCs/>
      <w:kern w:val="32"/>
      <w:sz w:val="32"/>
      <w:szCs w:val="32"/>
    </w:rPr>
  </w:style>
  <w:style w:type="character" w:customStyle="1" w:styleId="28">
    <w:name w:val="Heading 2 Char"/>
    <w:basedOn w:val="16"/>
    <w:link w:val="4"/>
    <w:semiHidden/>
    <w:rPr>
      <w:rFonts w:ascii="Cambria" w:hAnsi="Cambria" w:eastAsia="宋体" w:cs="Cambria"/>
      <w:b/>
      <w:bCs/>
      <w:i/>
      <w:iCs/>
      <w:sz w:val="28"/>
      <w:szCs w:val="28"/>
    </w:rPr>
  </w:style>
  <w:style w:type="character" w:customStyle="1" w:styleId="29">
    <w:name w:val="Heading 3 Char"/>
    <w:basedOn w:val="16"/>
    <w:link w:val="5"/>
    <w:semiHidden/>
    <w:rPr>
      <w:rFonts w:ascii="Cambria" w:hAnsi="Cambria" w:eastAsia="宋体" w:cs="Cambria"/>
      <w:b/>
      <w:bCs/>
      <w:sz w:val="26"/>
      <w:szCs w:val="26"/>
    </w:rPr>
  </w:style>
  <w:style w:type="character" w:customStyle="1" w:styleId="30">
    <w:name w:val="Heading 4 Char"/>
    <w:basedOn w:val="16"/>
    <w:link w:val="6"/>
    <w:semiHidden/>
    <w:rPr>
      <w:b/>
      <w:bCs/>
      <w:sz w:val="28"/>
      <w:szCs w:val="28"/>
    </w:rPr>
  </w:style>
  <w:style w:type="character" w:customStyle="1" w:styleId="31">
    <w:name w:val="Heading 5 Char"/>
    <w:basedOn w:val="16"/>
    <w:link w:val="7"/>
    <w:semiHidden/>
    <w:rPr>
      <w:b/>
      <w:bCs/>
      <w:i/>
      <w:iCs/>
      <w:sz w:val="26"/>
      <w:szCs w:val="26"/>
    </w:rPr>
  </w:style>
  <w:style w:type="character" w:customStyle="1" w:styleId="32">
    <w:name w:val="Heading 6 Char"/>
    <w:basedOn w:val="16"/>
    <w:link w:val="8"/>
    <w:semiHidden/>
    <w:rPr>
      <w:b/>
      <w:bCs/>
    </w:rPr>
  </w:style>
  <w:style w:type="character" w:customStyle="1" w:styleId="33">
    <w:name w:val="Heading 7 Char"/>
    <w:basedOn w:val="16"/>
    <w:link w:val="9"/>
    <w:semiHidden/>
    <w:rPr>
      <w:sz w:val="24"/>
      <w:szCs w:val="24"/>
    </w:rPr>
  </w:style>
  <w:style w:type="character" w:customStyle="1" w:styleId="34">
    <w:name w:val="Heading 8 Char"/>
    <w:basedOn w:val="16"/>
    <w:link w:val="10"/>
    <w:semiHidden/>
    <w:rPr>
      <w:i/>
      <w:iCs/>
      <w:sz w:val="24"/>
      <w:szCs w:val="24"/>
    </w:rPr>
  </w:style>
  <w:style w:type="character" w:customStyle="1" w:styleId="35">
    <w:name w:val="Heading 9 Char"/>
    <w:basedOn w:val="16"/>
    <w:link w:val="11"/>
    <w:semiHidden/>
    <w:rPr>
      <w:rFonts w:ascii="Cambria" w:hAnsi="Cambria" w:eastAsia="宋体" w:cs="Cambria"/>
    </w:rPr>
  </w:style>
  <w:style w:type="character" w:customStyle="1" w:styleId="36">
    <w:name w:val="Body Text Char"/>
    <w:basedOn w:val="16"/>
    <w:link w:val="2"/>
    <w:semiHidden/>
    <w:rPr>
      <w:sz w:val="24"/>
      <w:szCs w:val="24"/>
    </w:rPr>
  </w:style>
  <w:style w:type="character" w:customStyle="1" w:styleId="37">
    <w:name w:val="Balloon Text Char"/>
    <w:basedOn w:val="16"/>
    <w:link w:val="21"/>
    <w:semiHidden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8">
    <w:name w:val="Footer Char"/>
    <w:basedOn w:val="16"/>
    <w:link w:val="12"/>
    <w:semiHidden/>
    <w:rPr>
      <w:rFonts w:ascii="Calibri" w:hAnsi="Calibri" w:eastAsia="宋体" w:cs="Calibri"/>
      <w:kern w:val="2"/>
      <w:sz w:val="18"/>
      <w:szCs w:val="18"/>
    </w:rPr>
  </w:style>
  <w:style w:type="character" w:customStyle="1" w:styleId="39">
    <w:name w:val="Header Char"/>
    <w:basedOn w:val="16"/>
    <w:link w:val="13"/>
    <w:semiHidden/>
    <w:rPr>
      <w:rFonts w:ascii="Calibri" w:hAnsi="Calibri" w:eastAsia="宋体" w:cs="Calibri"/>
      <w:kern w:val="2"/>
      <w:sz w:val="18"/>
      <w:szCs w:val="18"/>
    </w:rPr>
  </w:style>
  <w:style w:type="character" w:customStyle="1" w:styleId="40">
    <w:name w:val="Subtitle Char"/>
    <w:basedOn w:val="16"/>
    <w:link w:val="14"/>
    <w:semiHidden/>
    <w:rPr>
      <w:rFonts w:ascii="Cambria" w:hAnsi="Cambria" w:eastAsia="宋体" w:cs="Cambria"/>
      <w:sz w:val="24"/>
      <w:szCs w:val="24"/>
    </w:rPr>
  </w:style>
  <w:style w:type="character" w:customStyle="1" w:styleId="41">
    <w:name w:val="Title Char"/>
    <w:basedOn w:val="16"/>
    <w:link w:val="15"/>
    <w:semiHidden/>
    <w:rPr>
      <w:rFonts w:ascii="Cambria" w:hAnsi="Cambria" w:eastAsia="宋体" w:cs="Cambria"/>
      <w:b/>
      <w:bCs/>
      <w:kern w:val="28"/>
      <w:sz w:val="32"/>
      <w:szCs w:val="32"/>
    </w:rPr>
  </w:style>
  <w:style w:type="character" w:customStyle="1" w:styleId="42">
    <w:name w:val="Quote Char"/>
    <w:basedOn w:val="16"/>
    <w:link w:val="20"/>
    <w:semiHidden/>
    <w:rPr>
      <w:i/>
      <w:iCs/>
      <w:sz w:val="24"/>
      <w:szCs w:val="24"/>
    </w:rPr>
  </w:style>
  <w:style w:type="character" w:customStyle="1" w:styleId="43">
    <w:name w:val="Intense Quote Char Char"/>
    <w:basedOn w:val="16"/>
    <w:link w:val="25"/>
    <w:semiHidden/>
    <w:rPr>
      <w:b/>
      <w:bCs/>
      <w:i/>
      <w:iCs/>
      <w:sz w:val="24"/>
      <w:szCs w:val="24"/>
    </w:rPr>
  </w:style>
  <w:style w:type="character" w:customStyle="1" w:styleId="44">
    <w:name w:val="Subtle Emphasis1"/>
    <w:rPr>
      <w:i/>
      <w:iCs/>
      <w:color w:val="auto"/>
    </w:rPr>
  </w:style>
  <w:style w:type="character" w:customStyle="1" w:styleId="45">
    <w:name w:val="Intense Emphasis1"/>
    <w:basedOn w:val="16"/>
    <w:rPr>
      <w:b/>
      <w:bCs/>
      <w:i/>
      <w:iCs/>
      <w:sz w:val="24"/>
      <w:szCs w:val="24"/>
      <w:u w:val="single"/>
    </w:rPr>
  </w:style>
  <w:style w:type="character" w:customStyle="1" w:styleId="46">
    <w:name w:val="Subtle Reference1"/>
    <w:basedOn w:val="16"/>
    <w:rPr>
      <w:sz w:val="24"/>
      <w:szCs w:val="24"/>
      <w:u w:val="single"/>
    </w:rPr>
  </w:style>
  <w:style w:type="character" w:customStyle="1" w:styleId="47">
    <w:name w:val="Intense Reference1"/>
    <w:basedOn w:val="16"/>
    <w:rPr>
      <w:b/>
      <w:bCs/>
      <w:sz w:val="24"/>
      <w:szCs w:val="24"/>
      <w:u w:val="single"/>
    </w:rPr>
  </w:style>
  <w:style w:type="character" w:customStyle="1" w:styleId="48">
    <w:name w:val="Book Title1"/>
    <w:basedOn w:val="16"/>
    <w:rPr>
      <w:rFonts w:ascii="Cambria" w:hAnsi="Cambria" w:eastAsia="宋体" w:cs="Cambria"/>
      <w:b/>
      <w:bCs/>
      <w:i/>
      <w:i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12</Pages>
  <Words>1091</Words>
  <Characters>6222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2019-03-03T10:44:00Z</dcterms:created>
  <dc:creator>赵 恺（预算处）</dc:creator>
  <cp:lastPrinted>2019-02-23T17:24:00Z</cp:lastPrinted>
  <dcterms:modified xsi:type="dcterms:W3CDTF">2020-05-19T10:18:55Z</dcterms:modified>
  <dc:title>自治区本级社会保险支出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