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outlineLvl w:val="0"/>
        <w:rPr>
          <w:rFonts w:ascii="宋体" w:hAnsi="宋体" w:eastAsia="宋体" w:cs="宋体"/>
          <w:bCs/>
          <w:kern w:val="36"/>
          <w:sz w:val="32"/>
          <w:szCs w:val="32"/>
        </w:rPr>
      </w:pPr>
      <w:r>
        <w:rPr>
          <w:rFonts w:hint="eastAsia" w:ascii="宋体" w:hAnsi="宋体" w:eastAsia="宋体" w:cs="宋体"/>
          <w:bCs/>
          <w:kern w:val="36"/>
          <w:sz w:val="32"/>
          <w:szCs w:val="32"/>
        </w:rPr>
        <w:t>附件1：</w:t>
      </w:r>
    </w:p>
    <w:p>
      <w:pPr>
        <w:widowControl/>
        <w:jc w:val="center"/>
        <w:outlineLvl w:val="0"/>
        <w:rPr>
          <w:rFonts w:ascii="方正小标宋简体" w:eastAsia="方正小标宋简体" w:cs="Times New Roman"/>
          <w:bCs/>
          <w:kern w:val="36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关于201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val="en-US" w:eastAsia="zh-CN"/>
        </w:rPr>
        <w:t>9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eastAsia="zh-CN"/>
        </w:rPr>
        <w:t>年吉木萨尔县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社会保险基金决算的说明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吉木萨尔县社会保险管理局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社会保险基金决算的报告已报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吉木萨尔县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人民政府和人大同意，现将有关情况公布如下：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吉木萨尔县</w:t>
      </w:r>
      <w:r>
        <w:rPr>
          <w:rFonts w:hint="eastAsia" w:ascii="仿宋_GB2312" w:eastAsia="仿宋_GB2312"/>
          <w:sz w:val="32"/>
          <w:szCs w:val="32"/>
        </w:rPr>
        <w:t>社会保险基金</w:t>
      </w:r>
      <w:r>
        <w:rPr>
          <w:rFonts w:hint="eastAsia" w:ascii="仿宋_GB2312" w:eastAsia="仿宋_GB2312"/>
          <w:sz w:val="32"/>
          <w:szCs w:val="32"/>
          <w:lang w:eastAsia="zh-CN"/>
        </w:rPr>
        <w:t>（城乡居民养老保险和机关事业单位养老保险）</w:t>
      </w:r>
      <w:r>
        <w:rPr>
          <w:rFonts w:hint="eastAsia" w:ascii="仿宋_GB2312" w:eastAsia="仿宋_GB2312"/>
          <w:sz w:val="32"/>
          <w:szCs w:val="32"/>
        </w:rPr>
        <w:t>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1.72</w:t>
      </w:r>
      <w:r>
        <w:rPr>
          <w:rFonts w:hint="eastAsia" w:ascii="仿宋_GB2312" w:eastAsia="仿宋_GB2312"/>
          <w:sz w:val="32"/>
          <w:szCs w:val="32"/>
        </w:rPr>
        <w:t>亿元（决算报表中“小计数”，不含上下级往来，下同），支出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1.74</w:t>
      </w:r>
      <w:r>
        <w:rPr>
          <w:rFonts w:hint="eastAsia" w:ascii="仿宋_GB2312" w:eastAsia="仿宋_GB2312"/>
          <w:sz w:val="32"/>
          <w:szCs w:val="32"/>
        </w:rPr>
        <w:t>亿元，本年收支结余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-258万</w:t>
      </w:r>
      <w:r>
        <w:rPr>
          <w:rFonts w:hint="eastAsia" w:ascii="仿宋_GB2312" w:eastAsia="仿宋_GB2312"/>
          <w:sz w:val="32"/>
          <w:szCs w:val="32"/>
        </w:rPr>
        <w:t>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0.91</w:t>
      </w:r>
      <w:r>
        <w:rPr>
          <w:rFonts w:hint="eastAsia" w:ascii="仿宋_GB2312" w:eastAsia="仿宋_GB2312"/>
          <w:sz w:val="32"/>
          <w:szCs w:val="32"/>
        </w:rPr>
        <w:t>亿元。分项情况如下：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一、机关事业单位养老保险基金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1.3</w:t>
      </w:r>
      <w:r>
        <w:rPr>
          <w:rFonts w:hint="eastAsia" w:ascii="仿宋_GB2312" w:eastAsia="仿宋_GB2312"/>
          <w:sz w:val="32"/>
          <w:szCs w:val="32"/>
        </w:rPr>
        <w:t>亿元，其中：基本养老保险费收入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0.92亿</w:t>
      </w:r>
      <w:r>
        <w:rPr>
          <w:rFonts w:hint="eastAsia" w:ascii="仿宋_GB2312" w:eastAsia="仿宋_GB2312"/>
          <w:sz w:val="32"/>
          <w:szCs w:val="32"/>
        </w:rPr>
        <w:t>元，财政补助收入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0.37亿</w:t>
      </w:r>
      <w:r>
        <w:rPr>
          <w:rFonts w:hint="eastAsia" w:ascii="仿宋_GB2312" w:eastAsia="仿宋_GB2312"/>
          <w:sz w:val="32"/>
          <w:szCs w:val="32"/>
        </w:rPr>
        <w:t>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1.45亿</w:t>
      </w:r>
      <w:r>
        <w:rPr>
          <w:rFonts w:hint="eastAsia" w:ascii="仿宋_GB2312" w:eastAsia="仿宋_GB2312"/>
          <w:sz w:val="32"/>
          <w:szCs w:val="32"/>
        </w:rPr>
        <w:t>元，其中：养老保险待遇支出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1.45亿</w:t>
      </w:r>
      <w:r>
        <w:rPr>
          <w:rFonts w:hint="eastAsia" w:ascii="仿宋_GB2312" w:eastAsia="仿宋_GB2312"/>
          <w:sz w:val="32"/>
          <w:szCs w:val="32"/>
        </w:rPr>
        <w:t>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-0.15亿</w:t>
      </w:r>
      <w:r>
        <w:rPr>
          <w:rFonts w:hint="eastAsia" w:ascii="仿宋_GB2312" w:eastAsia="仿宋_GB2312"/>
          <w:sz w:val="32"/>
          <w:szCs w:val="32"/>
        </w:rPr>
        <w:t>元，年末累计结余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元。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二</w:t>
      </w:r>
      <w:r>
        <w:rPr>
          <w:rFonts w:hint="eastAsia" w:ascii="黑体" w:eastAsia="黑体"/>
          <w:sz w:val="32"/>
          <w:szCs w:val="32"/>
        </w:rPr>
        <w:t>、城乡居民基本养老保险基金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0.42亿</w:t>
      </w:r>
      <w:r>
        <w:rPr>
          <w:rFonts w:hint="eastAsia" w:ascii="仿宋_GB2312" w:eastAsia="仿宋_GB2312"/>
          <w:sz w:val="32"/>
          <w:szCs w:val="32"/>
        </w:rPr>
        <w:t>元，其中：保险费收入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0.13亿</w:t>
      </w:r>
      <w:r>
        <w:rPr>
          <w:rFonts w:hint="eastAsia" w:ascii="仿宋_GB2312" w:eastAsia="仿宋_GB2312"/>
          <w:sz w:val="32"/>
          <w:szCs w:val="32"/>
        </w:rPr>
        <w:t>元，财政补助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0.29亿</w:t>
      </w:r>
      <w:r>
        <w:rPr>
          <w:rFonts w:hint="eastAsia" w:ascii="仿宋_GB2312" w:eastAsia="仿宋_GB2312"/>
          <w:sz w:val="32"/>
          <w:szCs w:val="32"/>
        </w:rPr>
        <w:t>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0.29亿</w:t>
      </w:r>
      <w:r>
        <w:rPr>
          <w:rFonts w:hint="eastAsia" w:ascii="仿宋_GB2312" w:eastAsia="仿宋_GB2312"/>
          <w:sz w:val="32"/>
          <w:szCs w:val="32"/>
        </w:rPr>
        <w:t>元，其中：养老待遇支出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0.29亿</w:t>
      </w:r>
      <w:r>
        <w:rPr>
          <w:rFonts w:hint="eastAsia" w:ascii="仿宋_GB2312" w:eastAsia="仿宋_GB2312"/>
          <w:sz w:val="32"/>
          <w:szCs w:val="32"/>
        </w:rPr>
        <w:t>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0.13亿</w:t>
      </w:r>
      <w:r>
        <w:rPr>
          <w:rFonts w:hint="eastAsia" w:ascii="仿宋_GB2312" w:eastAsia="仿宋_GB2312"/>
          <w:sz w:val="32"/>
          <w:szCs w:val="32"/>
        </w:rPr>
        <w:t>元，年末累计结余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0.91亿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（详见附表）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altName w:val="Century Gothic"/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link w:val="3"/>
    <w:pPr>
      <w:tabs>
        <w:tab w:val="center" w:pos="4153"/>
        <w:tab w:val="right" w:pos="8306"/>
      </w:tabs>
      <w:snapToGrid w:val="0"/>
      <w:jc w:val="left"/>
    </w:pPr>
    <w:rPr>
      <w:rFonts w:cs="Calibri"/>
      <w:sz w:val="18"/>
      <w:szCs w:val="18"/>
    </w:rPr>
  </w:style>
  <w:style w:type="character" w:customStyle="1" w:styleId="3">
    <w:name w:val="页脚 Char"/>
    <w:basedOn w:val="4"/>
    <w:link w:val="2"/>
    <w:semiHidden/>
    <w:rPr>
      <w:rFonts w:cs="Calibri"/>
      <w:sz w:val="18"/>
      <w:szCs w:val="18"/>
    </w:rPr>
  </w:style>
  <w:style w:type="paragraph" w:styleId="5">
    <w:name w:val="header"/>
    <w:basedOn w:val="1"/>
    <w:link w:val="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Calibri"/>
      <w:sz w:val="18"/>
      <w:szCs w:val="18"/>
    </w:rPr>
  </w:style>
  <w:style w:type="character" w:customStyle="1" w:styleId="6">
    <w:name w:val="页眉 Char"/>
    <w:basedOn w:val="4"/>
    <w:link w:val="5"/>
    <w:semiHidden/>
    <w:rPr>
      <w:rFonts w:cs="Calibri"/>
      <w:sz w:val="18"/>
      <w:szCs w:val="18"/>
    </w:rPr>
  </w:style>
  <w:style w:type="paragraph" w:customStyle="1" w:styleId="7">
    <w:name w:val="批注框文本 Char Char"/>
    <w:basedOn w:val="1"/>
    <w:link w:val="8"/>
    <w:rPr>
      <w:sz w:val="2"/>
      <w:szCs w:val="2"/>
    </w:rPr>
  </w:style>
  <w:style w:type="character" w:customStyle="1" w:styleId="8">
    <w:name w:val="批注框文本 Char Char Char Char"/>
    <w:basedOn w:val="4"/>
    <w:link w:val="7"/>
    <w:semiHidden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3</Pages>
  <Words>175</Words>
  <Characters>1001</Characters>
  <Lines>8</Lines>
  <Paragraphs>2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2018-01-05T04:05:00Z</dcterms:created>
  <dc:creator>sbc</dc:creator>
  <cp:lastPrinted>2018-03-07T03:44:00Z</cp:lastPrinted>
  <dcterms:modified xsi:type="dcterms:W3CDTF">2020-05-19T10:20:00Z</dcterms:modified>
  <dc:title>admin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