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4"/>
        <w:bidi w:val="0"/>
        <w:snapToGrid w:val="true"/>
        <w:spacing w:lineRule="auto" w:line="240" w:beforeAutospacing="0" w:before="0" w:afterAutospacing="0" w:after="0"/>
        <w:jc w:val="both"/>
        <w:textAlignment w:val="baseline"/>
        <w:rPr>
          <w:b w:val="false"/>
          <w:b w:val="false"/>
          <w:i w:val="false"/>
          <w:i w:val="false"/>
          <w:caps w:val="false"/>
          <w:smallCaps w:val="false"/>
          <w:spacing w:val="0"/>
          <w:w w:val="100"/>
          <w:sz w:val="32"/>
          <w:szCs w:val="32"/>
        </w:rPr>
      </w:pPr>
      <w:r>
        <w:rPr/>
      </w:r>
    </w:p>
    <w:p>
      <w:pPr>
        <w:pStyle w:val="Style14"/>
        <w:bidi w:val="0"/>
        <w:snapToGrid w:val="true"/>
        <w:spacing w:lineRule="auto" w:line="240" w:beforeAutospacing="0" w:before="0" w:afterAutospacing="0" w:after="0"/>
        <w:jc w:val="center"/>
        <w:textAlignment w:val="baseline"/>
        <w:rPr>
          <w:rFonts w:ascii="方正小标宋简体" w:hAnsi="方正小标宋简体" w:eastAsia="方正小标宋简体"/>
          <w:b w:val="false"/>
          <w:b w:val="false"/>
          <w:i w:val="false"/>
          <w:i w:val="false"/>
          <w:caps w:val="false"/>
          <w:smallCaps w:val="false"/>
          <w:spacing w:val="0"/>
          <w:w w:val="100"/>
          <w:sz w:val="32"/>
          <w:szCs w:val="32"/>
        </w:rPr>
      </w:pPr>
      <w:r>
        <w:rPr>
          <w:rFonts w:ascii="方正小标宋简体" w:hAnsi="方正小标宋简体" w:eastAsia="方正小标宋简体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关于</w:t>
      </w:r>
      <w:r>
        <w:rPr>
          <w:rFonts w:eastAsia="方正小标宋简体" w:ascii="方正小标宋简体" w:hAnsi="方正小标宋简体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2020</w:t>
      </w:r>
      <w:r>
        <w:rPr>
          <w:rFonts w:ascii="方正小标宋简体" w:hAnsi="方正小标宋简体" w:eastAsia="方正小标宋简体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年社会保险基金预算的说明</w:t>
      </w:r>
    </w:p>
    <w:p>
      <w:pPr>
        <w:pStyle w:val="Style14"/>
        <w:bidi w:val="0"/>
        <w:snapToGrid w:val="true"/>
        <w:spacing w:lineRule="auto" w:line="240" w:beforeAutospacing="0" w:before="0" w:afterAutospacing="0" w:after="0"/>
        <w:ind w:firstLine="640"/>
        <w:jc w:val="both"/>
        <w:textAlignment w:val="baseline"/>
        <w:rPr>
          <w:rFonts w:ascii="仿宋_GB2312" w:hAnsi="仿宋_GB2312" w:eastAsia="仿宋_GB2312"/>
          <w:b w:val="false"/>
          <w:b w:val="false"/>
          <w:i w:val="false"/>
          <w:i w:val="false"/>
          <w:caps w:val="false"/>
          <w:smallCaps w:val="false"/>
          <w:spacing w:val="0"/>
          <w:w w:val="100"/>
          <w:sz w:val="32"/>
          <w:szCs w:val="32"/>
        </w:rPr>
      </w:pP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吉木萨尔县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财政局、人力资源社会保障局关于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20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20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年社会保险基金预算的报告已报县人民政府和人大同意，现将有关情况公布如下：</w:t>
      </w:r>
    </w:p>
    <w:p>
      <w:pPr>
        <w:pStyle w:val="Style14"/>
        <w:bidi w:val="0"/>
        <w:snapToGrid w:val="true"/>
        <w:spacing w:lineRule="auto" w:line="240" w:beforeAutospacing="0" w:before="0" w:afterAutospacing="0" w:after="0"/>
        <w:ind w:firstLine="640"/>
        <w:jc w:val="both"/>
        <w:textAlignment w:val="baseline"/>
        <w:rPr>
          <w:rFonts w:ascii="仿宋_GB2312" w:hAnsi="仿宋_GB2312" w:eastAsia="仿宋_GB2312"/>
          <w:b w:val="false"/>
          <w:b w:val="false"/>
          <w:i w:val="false"/>
          <w:i w:val="false"/>
          <w:caps w:val="false"/>
          <w:smallCaps w:val="false"/>
          <w:spacing w:val="0"/>
          <w:w w:val="100"/>
          <w:sz w:val="32"/>
          <w:szCs w:val="32"/>
        </w:rPr>
      </w:pP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20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20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年，吉木萨尔县社会保险基金预算总收入 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2.08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亿元，总支出 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1.9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亿元，本年收支结余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0.18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 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亿元，年末滚存结余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1.32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 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亿元。分项情况如下：</w:t>
      </w:r>
    </w:p>
    <w:p>
      <w:pPr>
        <w:pStyle w:val="Style14"/>
        <w:bidi w:val="0"/>
        <w:snapToGrid w:val="true"/>
        <w:spacing w:lineRule="auto" w:line="240" w:beforeAutospacing="0" w:before="0" w:afterAutospacing="0" w:after="0"/>
        <w:ind w:firstLine="640"/>
        <w:jc w:val="both"/>
        <w:textAlignment w:val="baseline"/>
        <w:rPr>
          <w:rFonts w:ascii="黑体" w:hAnsi="黑体" w:eastAsia="黑体"/>
          <w:b w:val="false"/>
          <w:b w:val="false"/>
          <w:i w:val="false"/>
          <w:i w:val="false"/>
          <w:caps w:val="false"/>
          <w:smallCaps w:val="false"/>
          <w:spacing w:val="0"/>
          <w:w w:val="100"/>
          <w:sz w:val="32"/>
          <w:szCs w:val="32"/>
        </w:rPr>
      </w:pPr>
      <w:r>
        <w:rPr>
          <w:rFonts w:ascii="黑体" w:hAnsi="黑体" w:eastAsia="黑体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一、城乡居民基本养老保险基金预算</w:t>
      </w:r>
    </w:p>
    <w:p>
      <w:pPr>
        <w:pStyle w:val="Style14"/>
        <w:bidi w:val="0"/>
        <w:snapToGrid w:val="true"/>
        <w:spacing w:lineRule="auto" w:line="240" w:beforeAutospacing="0" w:before="0" w:afterAutospacing="0" w:after="0"/>
        <w:ind w:firstLine="640"/>
        <w:jc w:val="both"/>
        <w:textAlignment w:val="baseline"/>
        <w:rPr>
          <w:rFonts w:ascii="黑体" w:hAnsi="黑体" w:eastAsia="黑体"/>
          <w:b w:val="false"/>
          <w:b w:val="false"/>
          <w:i w:val="false"/>
          <w:i w:val="false"/>
          <w:caps w:val="false"/>
          <w:smallCaps w:val="false"/>
          <w:spacing w:val="0"/>
          <w:w w:val="100"/>
          <w:sz w:val="32"/>
          <w:szCs w:val="32"/>
        </w:rPr>
      </w:pP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本年收入 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0.46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 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亿元，其中：基本养老保险费收入 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0.14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 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亿元，财政补贴收入 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0.31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 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亿元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eastAsia="zh-CN"/>
        </w:rPr>
        <w:t>，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利息、转移收入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0.01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亿元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。本年支出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0.3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  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亿元，其中，基本养老金支出 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0.3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 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亿元。本年收支结余  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0.16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亿元，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color w:val="auto"/>
          <w:spacing w:val="0"/>
          <w:w w:val="100"/>
          <w:sz w:val="32"/>
          <w:szCs w:val="32"/>
        </w:rPr>
        <w:t>年末滚存结余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color w:val="auto"/>
          <w:spacing w:val="0"/>
          <w:w w:val="100"/>
          <w:sz w:val="32"/>
          <w:szCs w:val="32"/>
        </w:rPr>
        <w:t>1.12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color w:val="auto"/>
          <w:spacing w:val="0"/>
          <w:w w:val="100"/>
          <w:sz w:val="32"/>
          <w:szCs w:val="32"/>
        </w:rPr>
        <w:t>亿元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。</w:t>
      </w:r>
      <w:bookmarkStart w:id="0" w:name="_GoBack"/>
      <w:bookmarkEnd w:id="0"/>
    </w:p>
    <w:p>
      <w:pPr>
        <w:pStyle w:val="Style14"/>
        <w:bidi w:val="0"/>
        <w:snapToGrid w:val="true"/>
        <w:spacing w:lineRule="auto" w:line="240" w:beforeAutospacing="0" w:before="0" w:afterAutospacing="0" w:after="0"/>
        <w:ind w:firstLine="640"/>
        <w:jc w:val="both"/>
        <w:textAlignment w:val="baseline"/>
        <w:rPr>
          <w:rFonts w:ascii="黑体" w:hAnsi="黑体" w:eastAsia="黑体"/>
          <w:b w:val="false"/>
          <w:b w:val="false"/>
          <w:i w:val="false"/>
          <w:i w:val="false"/>
          <w:caps w:val="false"/>
          <w:smallCaps w:val="false"/>
          <w:spacing w:val="0"/>
          <w:w w:val="100"/>
          <w:sz w:val="32"/>
          <w:szCs w:val="32"/>
        </w:rPr>
      </w:pPr>
      <w:r>
        <w:rPr>
          <w:rFonts w:ascii="黑体" w:hAnsi="黑体" w:eastAsia="黑体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二、机关事业单位基本养老保险基金预算</w:t>
      </w:r>
    </w:p>
    <w:p>
      <w:pPr>
        <w:pStyle w:val="Style14"/>
        <w:bidi w:val="0"/>
        <w:snapToGrid w:val="true"/>
        <w:spacing w:lineRule="auto" w:line="240" w:beforeAutospacing="0" w:before="0" w:afterAutospacing="0" w:after="0"/>
        <w:ind w:firstLine="640"/>
        <w:jc w:val="both"/>
        <w:textAlignment w:val="baseline"/>
        <w:rPr>
          <w:rFonts w:ascii="黑体" w:hAnsi="黑体" w:eastAsia="黑体"/>
          <w:b w:val="false"/>
          <w:b w:val="false"/>
          <w:i w:val="false"/>
          <w:i w:val="false"/>
          <w:caps w:val="false"/>
          <w:smallCaps w:val="false"/>
          <w:spacing w:val="0"/>
          <w:w w:val="100"/>
          <w:sz w:val="32"/>
          <w:szCs w:val="32"/>
        </w:rPr>
      </w:pP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本年收入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1.62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  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亿元，其中：基本养老保险费收入 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0.87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 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亿元，财政补贴收入 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0.75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 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亿元。本年支出  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1.6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亿元，其中，基本养老金支出 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1.6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 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亿元。本年收支结余 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0.02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 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亿元，年末滚存结余 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  <w:lang w:val="en-US" w:eastAsia="zh-CN"/>
        </w:rPr>
        <w:t>0.2</w:t>
      </w:r>
      <w:r>
        <w:rPr>
          <w:rFonts w:eastAsia="仿宋_GB2312" w:ascii="仿宋_GB2312" w:hAnsi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 xml:space="preserve"> </w:t>
      </w:r>
      <w:r>
        <w:rPr>
          <w:rFonts w:ascii="仿宋_GB2312" w:hAnsi="仿宋_GB2312" w:eastAsia="仿宋_GB2312"/>
          <w:b w:val="false"/>
          <w:i w:val="false"/>
          <w:caps w:val="false"/>
          <w:smallCaps w:val="false"/>
          <w:spacing w:val="0"/>
          <w:w w:val="100"/>
          <w:sz w:val="32"/>
          <w:szCs w:val="32"/>
        </w:rPr>
        <w:t>亿元。</w:t>
      </w:r>
    </w:p>
    <w:p>
      <w:pPr>
        <w:pStyle w:val="Style14"/>
        <w:bidi w:val="0"/>
        <w:snapToGrid w:val="true"/>
        <w:spacing w:lineRule="auto" w:line="240" w:beforeAutospacing="0" w:before="0" w:afterAutospacing="0" w:after="0"/>
        <w:ind w:firstLine="640"/>
        <w:jc w:val="both"/>
        <w:textAlignment w:val="baseline"/>
        <w:rPr>
          <w:rFonts w:ascii="黑体" w:hAnsi="黑体" w:eastAsia="黑体"/>
          <w:b w:val="false"/>
          <w:b w:val="false"/>
          <w:i w:val="false"/>
          <w:i w:val="false"/>
          <w:caps w:val="false"/>
          <w:smallCaps w:val="false"/>
          <w:spacing w:val="0"/>
          <w:w w:val="100"/>
          <w:sz w:val="32"/>
          <w:szCs w:val="32"/>
        </w:rPr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4300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86"/>
    <w:family w:val="roman"/>
    <w:pitch w:val="variable"/>
  </w:font>
  <w:font w:name="方正小标宋简体">
    <w:charset w:val="86"/>
    <w:family w:val="roman"/>
    <w:pitch w:val="variable"/>
  </w:font>
  <w:font w:name="仿宋_GB2312">
    <w:charset w:val="86"/>
    <w:family w:val="roman"/>
    <w:pitch w:val="variable"/>
  </w:font>
  <w:font w:name="黑体">
    <w:charset w:val="86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420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Times New Roman"/>
        <w:lang w:val="en-US" w:eastAsia="zh-CN" w:bidi="hi-IN"/>
      </w:rPr>
    </w:rPrDefault>
    <w:pPrDefault>
      <w:pPr>
        <w:suppressAutoHyphens w:val="fals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Normal Indent" w:uiPriority="99"/>
    <w:lsdException w:name="footnote text" w:uiPriority="99"/>
    <w:lsdException w:name="annotation text" w:uiPriority="99"/>
    <w:lsdException w:name="header" w:uiPriority="99" w:semiHidden="0"/>
    <w:lsdException w:name="footer" w:uiPriority="99" w:semiHidden="0" w:qFormat="1"/>
    <w:lsdException w:name="index heading" w:uiPriority="99"/>
    <w:lsdException w:name="caption" w:locked="1" w:uiPriority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locked="1" w:uiPriority="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locked="1" w:uiPriority="0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locked="1" w:uiPriority="0" w:semiHidden="0" w:unhideWhenUsed="0" w:qFormat="1"/>
    <w:lsdException w:name="Emphasis" w:locked="1" w:uiPriority="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unhideWhenUsed="0"/>
    <w:lsdException w:name="Table Grid" w:locked="1" w:uiPriority="0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Style14" w:default="1">
    <w:name w:val="正文"/>
    <w:uiPriority w:val="0"/>
    <w:qFormat/>
    <w:pPr>
      <w:widowControl w:val="false"/>
      <w:suppressAutoHyphens w:val="false"/>
      <w:bidi w:val="0"/>
      <w:jc w:val="both"/>
    </w:pPr>
    <w:rPr>
      <w:rFonts w:ascii="Calibri" w:hAnsi="Calibri" w:eastAsia="宋体" w:cs="Calibri"/>
      <w:color w:val="auto"/>
      <w:kern w:val="2"/>
      <w:sz w:val="21"/>
      <w:szCs w:val="21"/>
      <w:lang w:val="en-US" w:eastAsia="zh-CN" w:bidi="ar-SA"/>
    </w:rPr>
  </w:style>
  <w:style w:type="table" w:default="1" w:styleId="6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LanShanOffice/1.1.0.10428$Windows_x86 LibreOffice_project/44af6491db737650bde24e83bfa57ef07fd6e4ca</Application>
  <AppVersion>15.0000</AppVersion>
  <Pages>1</Pages>
  <Words>326</Words>
  <Characters>386</Characters>
  <CharactersWithSpaces>416</CharactersWithSpaces>
  <Paragraphs>7</Paragraphs>
  <Company>中国石油大学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2018-01-03T12:42:00Z</dcterms:created>
  <dc:creator>sbc</dc:creator>
  <dc:description/>
  <dc:language>zh-CN</dc:language>
  <cp:lastModifiedBy/>
  <cp:lastPrinted>2018-03-05T11:41:00Z</cp:lastPrinted>
  <dcterms:modified xsi:type="dcterms:W3CDTF">2021-05-20T13:23:51Z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