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仿宋_GB2312" w:hAnsi="仿宋_GB2312" w:eastAsia="仿宋_GB2312"/>
          <w:kern w:val="0"/>
          <w:sz w:val="30"/>
          <w:szCs w:val="30"/>
        </w:rPr>
      </w:pPr>
    </w:p>
    <w:p>
      <w:pPr>
        <w:pStyle w:val="2"/>
      </w:pPr>
    </w:p>
    <w:p>
      <w:pPr>
        <w:pStyle w:val="2"/>
      </w:pPr>
    </w:p>
    <w:p>
      <w:pPr>
        <w:spacing w:line="560" w:lineRule="exact"/>
        <w:jc w:val="center"/>
        <w:rPr>
          <w:rFonts w:ascii="黑体" w:hAnsi="黑体" w:eastAsia="黑体"/>
          <w:b/>
          <w:bCs/>
          <w:kern w:val="0"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kern w:val="0"/>
          <w:sz w:val="48"/>
          <w:szCs w:val="48"/>
          <w:lang w:eastAsia="zh-CN"/>
        </w:rPr>
        <w:t>吉木萨尔县</w:t>
      </w:r>
      <w:r>
        <w:rPr>
          <w:rFonts w:hint="eastAsia" w:ascii="黑体" w:hAnsi="黑体" w:eastAsia="黑体" w:cs="黑体"/>
          <w:b/>
          <w:bCs/>
          <w:kern w:val="0"/>
          <w:sz w:val="48"/>
          <w:szCs w:val="48"/>
        </w:rPr>
        <w:t>社会保险支出</w:t>
      </w:r>
    </w:p>
    <w:p>
      <w:pPr>
        <w:spacing w:line="560" w:lineRule="exact"/>
        <w:jc w:val="center"/>
        <w:rPr>
          <w:rFonts w:ascii="黑体" w:hAnsi="黑体" w:eastAsia="黑体"/>
          <w:b/>
          <w:bCs/>
          <w:kern w:val="0"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kern w:val="0"/>
          <w:sz w:val="48"/>
          <w:szCs w:val="48"/>
        </w:rPr>
        <w:t>绩效评价报告</w:t>
      </w:r>
    </w:p>
    <w:p>
      <w:pPr>
        <w:spacing w:line="560" w:lineRule="exact"/>
        <w:jc w:val="center"/>
        <w:rPr>
          <w:rFonts w:ascii="黑体" w:hAnsi="黑体" w:eastAsia="黑体"/>
          <w:b/>
          <w:bCs/>
          <w:kern w:val="0"/>
          <w:sz w:val="48"/>
          <w:szCs w:val="48"/>
        </w:rPr>
      </w:pPr>
    </w:p>
    <w:p>
      <w:pPr>
        <w:spacing w:line="560" w:lineRule="exact"/>
        <w:jc w:val="center"/>
        <w:rPr>
          <w:rFonts w:ascii="黑体" w:hAnsi="黑体" w:eastAsia="黑体"/>
          <w:b/>
          <w:bCs/>
          <w:kern w:val="0"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kern w:val="0"/>
          <w:sz w:val="48"/>
          <w:szCs w:val="48"/>
        </w:rPr>
        <w:t>（</w:t>
      </w:r>
      <w:r>
        <w:rPr>
          <w:rFonts w:ascii="黑体" w:hAnsi="黑体" w:eastAsia="黑体" w:cs="黑体"/>
          <w:b/>
          <w:bCs/>
          <w:kern w:val="0"/>
          <w:sz w:val="48"/>
          <w:szCs w:val="48"/>
        </w:rPr>
        <w:t>2018</w:t>
      </w:r>
      <w:r>
        <w:rPr>
          <w:rFonts w:hint="eastAsia" w:ascii="黑体" w:hAnsi="黑体" w:eastAsia="黑体" w:cs="黑体"/>
          <w:b/>
          <w:bCs/>
          <w:kern w:val="0"/>
          <w:sz w:val="48"/>
          <w:szCs w:val="48"/>
        </w:rPr>
        <w:t>年度）</w:t>
      </w:r>
    </w:p>
    <w:p>
      <w:pPr>
        <w:spacing w:line="560" w:lineRule="exact"/>
        <w:jc w:val="center"/>
        <w:rPr>
          <w:rFonts w:ascii="仿宋_GB2312" w:hAnsi="仿宋_GB2312" w:eastAsia="仿宋_GB2312"/>
          <w:kern w:val="0"/>
          <w:sz w:val="30"/>
          <w:szCs w:val="30"/>
        </w:rPr>
      </w:pPr>
    </w:p>
    <w:p>
      <w:pPr>
        <w:spacing w:line="560" w:lineRule="exact"/>
        <w:jc w:val="center"/>
        <w:rPr>
          <w:rFonts w:ascii="仿宋_GB2312" w:hAnsi="仿宋_GB2312" w:eastAsia="仿宋_GB2312"/>
          <w:kern w:val="0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/>
          <w:kern w:val="0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/>
          <w:kern w:val="0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/>
          <w:kern w:val="0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/>
          <w:kern w:val="0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/>
          <w:kern w:val="0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/>
          <w:kern w:val="0"/>
          <w:sz w:val="30"/>
          <w:szCs w:val="30"/>
        </w:rPr>
      </w:pPr>
    </w:p>
    <w:p>
      <w:pPr>
        <w:spacing w:line="560" w:lineRule="exact"/>
        <w:ind w:firstLine="600" w:firstLineChars="200"/>
        <w:jc w:val="left"/>
        <w:rPr>
          <w:rFonts w:ascii="黑体" w:hAnsi="黑体" w:eastAsia="黑体"/>
          <w:kern w:val="0"/>
          <w:sz w:val="32"/>
          <w:szCs w:val="32"/>
        </w:rPr>
      </w:pPr>
      <w:r>
        <w:rPr>
          <w:rFonts w:ascii="黑体" w:hAnsi="黑体" w:eastAsia="黑体" w:cs="黑体"/>
          <w:kern w:val="0"/>
          <w:sz w:val="30"/>
          <w:szCs w:val="30"/>
        </w:rPr>
        <w:t xml:space="preserve"> </w:t>
      </w:r>
      <w:r>
        <w:rPr>
          <w:rFonts w:hint="eastAsia" w:ascii="黑体" w:hAnsi="黑体" w:eastAsia="黑体" w:cs="黑体"/>
          <w:kern w:val="0"/>
          <w:sz w:val="32"/>
          <w:szCs w:val="32"/>
        </w:rPr>
        <w:t>项目名称：社会保险基金支出</w:t>
      </w:r>
    </w:p>
    <w:p>
      <w:pPr>
        <w:spacing w:line="560" w:lineRule="exact"/>
        <w:jc w:val="left"/>
        <w:rPr>
          <w:rFonts w:ascii="黑体" w:hAnsi="黑体" w:eastAsia="黑体"/>
          <w:kern w:val="0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kern w:val="0"/>
          <w:sz w:val="32"/>
          <w:szCs w:val="32"/>
          <w:lang w:eastAsia="zh-CN"/>
        </w:rPr>
      </w:pPr>
      <w:r>
        <w:rPr>
          <w:rFonts w:ascii="黑体" w:hAnsi="黑体" w:eastAsia="黑体" w:cs="黑体"/>
          <w:kern w:val="0"/>
          <w:sz w:val="32"/>
          <w:szCs w:val="32"/>
        </w:rPr>
        <w:t xml:space="preserve">     </w:t>
      </w:r>
      <w:r>
        <w:rPr>
          <w:rFonts w:hint="eastAsia" w:ascii="黑体" w:hAnsi="黑体" w:eastAsia="黑体" w:cs="黑体"/>
          <w:kern w:val="0"/>
          <w:sz w:val="32"/>
          <w:szCs w:val="32"/>
        </w:rPr>
        <w:t>实施单位（公章）：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吉木萨尔县社保局</w:t>
      </w:r>
    </w:p>
    <w:p>
      <w:pPr>
        <w:spacing w:line="560" w:lineRule="exact"/>
        <w:jc w:val="left"/>
        <w:rPr>
          <w:rFonts w:ascii="黑体" w:hAnsi="黑体" w:eastAsia="黑体"/>
          <w:kern w:val="0"/>
          <w:sz w:val="32"/>
          <w:szCs w:val="32"/>
        </w:rPr>
      </w:pPr>
    </w:p>
    <w:p>
      <w:pPr>
        <w:spacing w:line="560" w:lineRule="exact"/>
        <w:ind w:firstLine="755" w:firstLineChars="236"/>
        <w:jc w:val="left"/>
        <w:rPr>
          <w:rFonts w:hint="eastAsia" w:ascii="黑体" w:hAnsi="黑体" w:eastAsia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负责人（签章）：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关军</w:t>
      </w:r>
    </w:p>
    <w:p>
      <w:pPr>
        <w:spacing w:line="560" w:lineRule="exact"/>
        <w:ind w:firstLine="755" w:firstLineChars="236"/>
        <w:jc w:val="left"/>
        <w:rPr>
          <w:rFonts w:ascii="黑体" w:hAnsi="黑体" w:eastAsia="黑体"/>
          <w:kern w:val="0"/>
          <w:sz w:val="32"/>
          <w:szCs w:val="32"/>
        </w:rPr>
      </w:pPr>
    </w:p>
    <w:p>
      <w:pPr>
        <w:spacing w:line="560" w:lineRule="exact"/>
        <w:ind w:firstLine="755" w:firstLineChars="236"/>
        <w:jc w:val="left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填报时间：</w:t>
      </w:r>
      <w:r>
        <w:rPr>
          <w:rFonts w:ascii="黑体" w:hAnsi="黑体" w:eastAsia="黑体" w:cs="黑体"/>
          <w:kern w:val="0"/>
          <w:sz w:val="32"/>
          <w:szCs w:val="32"/>
        </w:rPr>
        <w:t xml:space="preserve"> 2019</w:t>
      </w:r>
      <w:r>
        <w:rPr>
          <w:rFonts w:hint="eastAsia" w:ascii="黑体" w:hAnsi="黑体" w:eastAsia="黑体" w:cs="黑体"/>
          <w:kern w:val="0"/>
          <w:sz w:val="32"/>
          <w:szCs w:val="32"/>
        </w:rPr>
        <w:t>年</w:t>
      </w:r>
      <w:r>
        <w:rPr>
          <w:rFonts w:ascii="黑体" w:hAnsi="黑体" w:eastAsia="黑体" w:cs="黑体"/>
          <w:kern w:val="0"/>
          <w:sz w:val="32"/>
          <w:szCs w:val="32"/>
        </w:rPr>
        <w:t xml:space="preserve"> 2</w:t>
      </w:r>
      <w:r>
        <w:rPr>
          <w:rFonts w:hint="eastAsia" w:ascii="黑体" w:hAnsi="黑体" w:eastAsia="黑体" w:cs="黑体"/>
          <w:kern w:val="0"/>
          <w:sz w:val="32"/>
          <w:szCs w:val="32"/>
        </w:rPr>
        <w:t>月</w:t>
      </w:r>
      <w:r>
        <w:rPr>
          <w:rFonts w:ascii="黑体" w:hAnsi="黑体" w:eastAsia="黑体" w:cs="黑体"/>
          <w:kern w:val="0"/>
          <w:sz w:val="32"/>
          <w:szCs w:val="32"/>
        </w:rPr>
        <w:t xml:space="preserve"> 13</w:t>
      </w:r>
      <w:r>
        <w:rPr>
          <w:rFonts w:hint="eastAsia" w:ascii="黑体" w:hAnsi="黑体" w:eastAsia="黑体" w:cs="黑体"/>
          <w:kern w:val="0"/>
          <w:sz w:val="32"/>
          <w:szCs w:val="32"/>
        </w:rPr>
        <w:t>日</w:t>
      </w:r>
    </w:p>
    <w:p>
      <w:pPr>
        <w:spacing w:line="560" w:lineRule="exact"/>
        <w:ind w:firstLine="640"/>
        <w:rPr>
          <w:rStyle w:val="18"/>
          <w:rFonts w:ascii="仿宋_GB2312" w:hAnsi="仿宋_GB2312" w:eastAsia="仿宋_GB2312"/>
          <w:spacing w:val="-4"/>
          <w:sz w:val="30"/>
          <w:szCs w:val="30"/>
        </w:rPr>
      </w:pPr>
      <w:bookmarkStart w:id="0" w:name="_GoBack"/>
      <w:bookmarkEnd w:id="0"/>
    </w:p>
    <w:p>
      <w:pPr>
        <w:spacing w:line="560" w:lineRule="exact"/>
        <w:ind w:firstLine="640"/>
        <w:rPr>
          <w:rStyle w:val="18"/>
          <w:rFonts w:ascii="仿宋_GB2312" w:hAnsi="仿宋_GB2312" w:eastAsia="仿宋_GB2312"/>
          <w:spacing w:val="-4"/>
          <w:sz w:val="30"/>
          <w:szCs w:val="30"/>
        </w:rPr>
      </w:pPr>
    </w:p>
    <w:p>
      <w:pPr>
        <w:spacing w:line="560" w:lineRule="exact"/>
        <w:ind w:firstLine="640"/>
        <w:rPr>
          <w:rStyle w:val="18"/>
          <w:rFonts w:ascii="仿宋_GB2312" w:hAnsi="仿宋_GB2312" w:eastAsia="仿宋_GB2312"/>
          <w:spacing w:val="-4"/>
          <w:sz w:val="30"/>
          <w:szCs w:val="30"/>
        </w:rPr>
      </w:pPr>
    </w:p>
    <w:p>
      <w:pPr>
        <w:spacing w:line="560" w:lineRule="exact"/>
        <w:jc w:val="center"/>
        <w:rPr>
          <w:rFonts w:ascii="黑体" w:hAnsi="黑体" w:eastAsia="黑体"/>
          <w:b/>
          <w:bCs/>
          <w:kern w:val="0"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kern w:val="0"/>
          <w:sz w:val="48"/>
          <w:szCs w:val="48"/>
          <w:lang w:eastAsia="zh-CN"/>
        </w:rPr>
        <w:t>吉木萨尔县</w:t>
      </w:r>
      <w:r>
        <w:rPr>
          <w:rFonts w:hint="eastAsia" w:ascii="黑体" w:hAnsi="黑体" w:eastAsia="黑体" w:cs="黑体"/>
          <w:b/>
          <w:bCs/>
          <w:kern w:val="0"/>
          <w:sz w:val="48"/>
          <w:szCs w:val="48"/>
        </w:rPr>
        <w:t>社会保险支出绩效评价报告</w:t>
      </w:r>
    </w:p>
    <w:p>
      <w:pPr>
        <w:pStyle w:val="2"/>
      </w:pP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2018</w:t>
      </w:r>
      <w:r>
        <w:rPr>
          <w:rFonts w:hint="eastAsia" w:ascii="仿宋_GB2312" w:hAnsi="仿宋_GB2312" w:eastAsia="仿宋_GB2312" w:cs="仿宋_GB2312"/>
          <w:sz w:val="30"/>
          <w:szCs w:val="30"/>
        </w:rPr>
        <w:t>年度，在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0"/>
          <w:szCs w:val="30"/>
        </w:rPr>
        <w:t>党委、政府的正确领导下，在人社局、财政局的大力支持下，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吉木萨尔县</w:t>
      </w:r>
      <w:r>
        <w:rPr>
          <w:rFonts w:hint="eastAsia" w:ascii="仿宋_GB2312" w:hAnsi="仿宋_GB2312" w:eastAsia="仿宋_GB2312" w:cs="仿宋_GB2312"/>
          <w:sz w:val="30"/>
          <w:szCs w:val="30"/>
        </w:rPr>
        <w:t>社会保险工作取得了显著成绩。各项社会保险基金收入稳步增长，支出相对增加，总体运行平稳。确保了广大参保人员各项社会保险待遇的按时、足额发放，各项保险覆盖面逐步扩大。在进一步加强社会保险基金预算管理的基础上，确保了各项基金的安全运营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黑体" w:hAnsi="仿宋_GB2312" w:eastAsia="黑体"/>
          <w:sz w:val="30"/>
          <w:szCs w:val="30"/>
        </w:rPr>
      </w:pPr>
      <w:r>
        <w:rPr>
          <w:rFonts w:hint="eastAsia" w:ascii="黑体" w:hAnsi="仿宋_GB2312" w:eastAsia="黑体" w:cs="黑体"/>
          <w:sz w:val="30"/>
          <w:szCs w:val="30"/>
        </w:rPr>
        <w:t>一、社会保险基金收支余总体情况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2018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社会保险（包括城乡居民养老保险费和机关事业单位养老保险）</w:t>
      </w:r>
      <w:r>
        <w:rPr>
          <w:rFonts w:hint="eastAsia" w:ascii="仿宋_GB2312" w:hAnsi="仿宋_GB2312" w:eastAsia="仿宋_GB2312" w:cs="仿宋_GB2312"/>
          <w:sz w:val="30"/>
          <w:szCs w:val="30"/>
        </w:rPr>
        <w:t>基金总收入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2.3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亿元，较上年增加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0.8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亿元，增长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53.3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，完成年度预算</w:t>
      </w:r>
      <w:r>
        <w:rPr>
          <w:rFonts w:ascii="仿宋_GB2312" w:hAnsi="仿宋_GB2312" w:eastAsia="仿宋_GB2312" w:cs="仿宋_GB2312"/>
          <w:color w:val="auto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40</w:t>
      </w:r>
      <w:r>
        <w:rPr>
          <w:rFonts w:ascii="仿宋_GB2312" w:hAnsi="仿宋_GB2312" w:eastAsia="仿宋_GB2312" w:cs="仿宋_GB2312"/>
          <w:color w:val="auto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。各项基金总支出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1.6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亿元，较上年增加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0.21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亿元，增长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15.1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，完成年度预算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104</w:t>
      </w:r>
      <w:r>
        <w:rPr>
          <w:rFonts w:ascii="仿宋_GB2312" w:hAnsi="仿宋_GB2312" w:eastAsia="仿宋_GB2312" w:cs="仿宋_GB2312"/>
          <w:color w:val="auto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</w:rPr>
        <w:t>基金当期结余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0.69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亿元，滚存结余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0.94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黑体" w:hAnsi="仿宋_GB2312" w:eastAsia="黑体"/>
          <w:sz w:val="30"/>
          <w:szCs w:val="30"/>
        </w:rPr>
      </w:pPr>
      <w:r>
        <w:rPr>
          <w:rFonts w:hint="eastAsia" w:ascii="黑体" w:hAnsi="仿宋_GB2312" w:eastAsia="黑体" w:cs="黑体"/>
          <w:sz w:val="30"/>
          <w:szCs w:val="30"/>
        </w:rPr>
        <w:t>二、社会保险基金支出预算绩效目标设定情况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机关事业单位基本养老保险基金支出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1.35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亿元，养老保险待遇发放成功率</w:t>
      </w:r>
      <w:r>
        <w:rPr>
          <w:rFonts w:ascii="仿宋_GB2312" w:hAnsi="仿宋_GB2312" w:eastAsia="仿宋_GB2312" w:cs="仿宋_GB2312"/>
          <w:sz w:val="30"/>
          <w:szCs w:val="30"/>
        </w:rPr>
        <w:t>99%</w:t>
      </w:r>
      <w:r>
        <w:rPr>
          <w:rFonts w:hint="eastAsia" w:ascii="仿宋_GB2312" w:hAnsi="仿宋_GB2312" w:eastAsia="仿宋_GB2312" w:cs="仿宋_GB2312"/>
          <w:sz w:val="30"/>
          <w:szCs w:val="30"/>
        </w:rPr>
        <w:t>，基金支出预算执行率≥</w:t>
      </w:r>
      <w:r>
        <w:rPr>
          <w:rFonts w:ascii="仿宋_GB2312" w:hAnsi="仿宋_GB2312" w:eastAsia="仿宋_GB2312" w:cs="仿宋_GB2312"/>
          <w:sz w:val="30"/>
          <w:szCs w:val="30"/>
        </w:rPr>
        <w:t>95%</w:t>
      </w:r>
      <w:r>
        <w:rPr>
          <w:rFonts w:hint="eastAsia" w:ascii="仿宋_GB2312" w:hAnsi="仿宋_GB2312" w:eastAsia="仿宋_GB2312" w:cs="仿宋_GB2312"/>
          <w:sz w:val="30"/>
          <w:szCs w:val="30"/>
        </w:rPr>
        <w:t>，基金使用符合政策规定</w:t>
      </w:r>
      <w:r>
        <w:rPr>
          <w:rFonts w:ascii="仿宋_GB2312" w:hAnsi="仿宋_GB2312" w:eastAsia="仿宋_GB2312" w:cs="仿宋_GB2312"/>
          <w:sz w:val="30"/>
          <w:szCs w:val="30"/>
        </w:rPr>
        <w:t>100%</w:t>
      </w:r>
      <w:r>
        <w:rPr>
          <w:rFonts w:hint="eastAsia" w:ascii="仿宋_GB2312" w:hAnsi="仿宋_GB2312" w:eastAsia="仿宋_GB2312" w:cs="仿宋_GB2312"/>
          <w:sz w:val="30"/>
          <w:szCs w:val="30"/>
        </w:rPr>
        <w:t>，财政补助资金到位率</w:t>
      </w:r>
      <w:r>
        <w:rPr>
          <w:rFonts w:ascii="仿宋_GB2312" w:hAnsi="仿宋_GB2312" w:eastAsia="仿宋_GB2312" w:cs="仿宋_GB2312"/>
          <w:sz w:val="30"/>
          <w:szCs w:val="30"/>
        </w:rPr>
        <w:t>100%</w:t>
      </w:r>
      <w:r>
        <w:rPr>
          <w:rFonts w:hint="eastAsia" w:ascii="仿宋_GB2312" w:hAnsi="仿宋_GB2312" w:eastAsia="仿宋_GB2312" w:cs="仿宋_GB2312"/>
          <w:sz w:val="30"/>
          <w:szCs w:val="30"/>
        </w:rPr>
        <w:t>，待遇按时发放州直部门每月</w:t>
      </w:r>
      <w:r>
        <w:rPr>
          <w:rFonts w:ascii="仿宋_GB2312" w:hAnsi="仿宋_GB2312" w:eastAsia="仿宋_GB2312" w:cs="仿宋_GB2312"/>
          <w:sz w:val="30"/>
          <w:szCs w:val="30"/>
        </w:rPr>
        <w:t>25</w:t>
      </w:r>
      <w:r>
        <w:rPr>
          <w:rFonts w:hint="eastAsia" w:ascii="仿宋_GB2312" w:hAnsi="仿宋_GB2312" w:eastAsia="仿宋_GB2312" w:cs="仿宋_GB2312"/>
          <w:sz w:val="30"/>
          <w:szCs w:val="30"/>
        </w:rPr>
        <w:t>日前，离退休人员上访率</w:t>
      </w:r>
      <w:r>
        <w:rPr>
          <w:rFonts w:ascii="仿宋_GB2312" w:hAnsi="仿宋_GB2312" w:eastAsia="仿宋_GB2312" w:cs="仿宋_GB2312"/>
          <w:sz w:val="30"/>
          <w:szCs w:val="30"/>
        </w:rPr>
        <w:t>&lt;0.1%</w:t>
      </w:r>
      <w:r>
        <w:rPr>
          <w:rFonts w:hint="eastAsia" w:ascii="仿宋_GB2312" w:hAnsi="仿宋_GB2312" w:eastAsia="仿宋_GB2312" w:cs="仿宋_GB2312"/>
          <w:sz w:val="30"/>
          <w:szCs w:val="30"/>
        </w:rPr>
        <w:t>，离休退人员满意度≥</w:t>
      </w:r>
      <w:r>
        <w:rPr>
          <w:rFonts w:ascii="仿宋_GB2312" w:hAnsi="仿宋_GB2312" w:eastAsia="仿宋_GB2312" w:cs="仿宋_GB2312"/>
          <w:sz w:val="30"/>
          <w:szCs w:val="30"/>
        </w:rPr>
        <w:t>95%</w:t>
      </w:r>
      <w:r>
        <w:rPr>
          <w:rFonts w:hint="eastAsia" w:ascii="仿宋_GB2312" w:hAnsi="仿宋_GB2312" w:eastAsia="仿宋_GB2312" w:cs="仿宋_GB2312"/>
          <w:sz w:val="30"/>
          <w:szCs w:val="30"/>
        </w:rPr>
        <w:t>。，充分发挥社会保险的职能作用，基本生活水平逐年提高，分享改革成果。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城乡居民基本养老保险基金预算支出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0.26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亿元，基本养老保险待遇发放成功率</w:t>
      </w:r>
      <w:r>
        <w:rPr>
          <w:rFonts w:ascii="仿宋_GB2312" w:hAnsi="仿宋_GB2312" w:eastAsia="仿宋_GB2312" w:cs="仿宋_GB2312"/>
          <w:sz w:val="30"/>
          <w:szCs w:val="30"/>
        </w:rPr>
        <w:t>99%</w:t>
      </w:r>
      <w:r>
        <w:rPr>
          <w:rFonts w:hint="eastAsia" w:ascii="仿宋_GB2312" w:hAnsi="仿宋_GB2312" w:eastAsia="仿宋_GB2312" w:cs="仿宋_GB2312"/>
          <w:sz w:val="30"/>
          <w:szCs w:val="30"/>
        </w:rPr>
        <w:t>，基金支出预算执行率≥</w:t>
      </w:r>
      <w:r>
        <w:rPr>
          <w:rFonts w:ascii="仿宋_GB2312" w:hAnsi="仿宋_GB2312" w:eastAsia="仿宋_GB2312" w:cs="仿宋_GB2312"/>
          <w:sz w:val="30"/>
          <w:szCs w:val="30"/>
        </w:rPr>
        <w:t>90%</w:t>
      </w:r>
      <w:r>
        <w:rPr>
          <w:rFonts w:hint="eastAsia" w:ascii="仿宋_GB2312" w:hAnsi="仿宋_GB2312" w:eastAsia="仿宋_GB2312" w:cs="仿宋_GB2312"/>
          <w:sz w:val="30"/>
          <w:szCs w:val="30"/>
        </w:rPr>
        <w:t>，基金使用符合政策规定</w:t>
      </w:r>
      <w:r>
        <w:rPr>
          <w:rFonts w:ascii="仿宋_GB2312" w:hAnsi="仿宋_GB2312" w:eastAsia="仿宋_GB2312" w:cs="仿宋_GB2312"/>
          <w:sz w:val="30"/>
          <w:szCs w:val="30"/>
        </w:rPr>
        <w:t>100%</w:t>
      </w:r>
      <w:r>
        <w:rPr>
          <w:rFonts w:hint="eastAsia" w:ascii="仿宋_GB2312" w:hAnsi="仿宋_GB2312" w:eastAsia="仿宋_GB2312" w:cs="仿宋_GB2312"/>
          <w:sz w:val="30"/>
          <w:szCs w:val="30"/>
        </w:rPr>
        <w:t>，财政补助资金到位率</w:t>
      </w:r>
      <w:r>
        <w:rPr>
          <w:rFonts w:ascii="仿宋_GB2312" w:hAnsi="仿宋_GB2312" w:eastAsia="仿宋_GB2312" w:cs="仿宋_GB2312"/>
          <w:sz w:val="30"/>
          <w:szCs w:val="30"/>
        </w:rPr>
        <w:t>100%</w:t>
      </w:r>
      <w:r>
        <w:rPr>
          <w:rFonts w:hint="eastAsia" w:ascii="仿宋_GB2312" w:hAnsi="仿宋_GB2312" w:eastAsia="仿宋_GB2312" w:cs="仿宋_GB2312"/>
          <w:sz w:val="30"/>
          <w:szCs w:val="30"/>
        </w:rPr>
        <w:t>，待遇按时发放每月</w:t>
      </w:r>
      <w:r>
        <w:rPr>
          <w:rFonts w:ascii="仿宋_GB2312" w:hAnsi="仿宋_GB2312" w:eastAsia="仿宋_GB2312" w:cs="仿宋_GB2312"/>
          <w:sz w:val="30"/>
          <w:szCs w:val="30"/>
        </w:rPr>
        <w:t>25</w:t>
      </w:r>
      <w:r>
        <w:rPr>
          <w:rFonts w:hint="eastAsia" w:ascii="仿宋_GB2312" w:hAnsi="仿宋_GB2312" w:eastAsia="仿宋_GB2312" w:cs="仿宋_GB2312"/>
          <w:sz w:val="30"/>
          <w:szCs w:val="30"/>
        </w:rPr>
        <w:t>日前，离退休人员上访率</w:t>
      </w:r>
      <w:r>
        <w:rPr>
          <w:rFonts w:ascii="仿宋_GB2312" w:hAnsi="仿宋_GB2312" w:eastAsia="仿宋_GB2312" w:cs="仿宋_GB2312"/>
          <w:sz w:val="30"/>
          <w:szCs w:val="30"/>
        </w:rPr>
        <w:t>&lt;0.1%</w:t>
      </w:r>
      <w:r>
        <w:rPr>
          <w:rFonts w:hint="eastAsia" w:ascii="仿宋_GB2312" w:hAnsi="仿宋_GB2312" w:eastAsia="仿宋_GB2312" w:cs="仿宋_GB2312"/>
          <w:sz w:val="30"/>
          <w:szCs w:val="30"/>
        </w:rPr>
        <w:t>，离休退人员满意度≥</w:t>
      </w:r>
      <w:r>
        <w:rPr>
          <w:rFonts w:ascii="仿宋_GB2312" w:hAnsi="仿宋_GB2312" w:eastAsia="仿宋_GB2312" w:cs="仿宋_GB2312"/>
          <w:sz w:val="30"/>
          <w:szCs w:val="30"/>
        </w:rPr>
        <w:t>95%</w:t>
      </w:r>
      <w:r>
        <w:rPr>
          <w:rFonts w:hint="eastAsia" w:ascii="仿宋_GB2312" w:hAnsi="仿宋_GB2312" w:eastAsia="仿宋_GB2312" w:cs="仿宋_GB2312"/>
          <w:sz w:val="30"/>
          <w:szCs w:val="30"/>
        </w:rPr>
        <w:t>，扩大社保的覆盖面，确保“老有所养”，提高人民群众的幸福感和获得感。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黑体" w:hAnsi="仿宋_GB2312" w:eastAsia="黑体"/>
          <w:sz w:val="30"/>
          <w:szCs w:val="30"/>
        </w:rPr>
      </w:pPr>
      <w:r>
        <w:rPr>
          <w:rFonts w:hint="eastAsia" w:ascii="黑体" w:hAnsi="仿宋_GB2312" w:eastAsia="黑体" w:cs="黑体"/>
          <w:sz w:val="30"/>
          <w:szCs w:val="30"/>
        </w:rPr>
        <w:t>三、各项社会保险基金预算完成及运行情况</w:t>
      </w:r>
    </w:p>
    <w:p>
      <w:pPr>
        <w:tabs>
          <w:tab w:val="left" w:pos="0"/>
        </w:tabs>
        <w:spacing w:line="520" w:lineRule="exact"/>
        <w:ind w:firstLine="602" w:firstLineChars="200"/>
        <w:rPr>
          <w:rFonts w:ascii="仿宋_GB2312" w:hAnsi="仿宋_GB2312" w:eastAsia="仿宋_GB2312"/>
          <w:b/>
          <w:bCs/>
          <w:sz w:val="30"/>
          <w:szCs w:val="30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(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一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)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机关事业单位养老保险基金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2018</w:t>
      </w:r>
      <w:r>
        <w:rPr>
          <w:rFonts w:hint="eastAsia" w:ascii="仿宋_GB2312" w:hAnsi="仿宋_GB2312" w:eastAsia="仿宋_GB2312" w:cs="仿宋_GB2312"/>
          <w:sz w:val="30"/>
          <w:szCs w:val="30"/>
        </w:rPr>
        <w:t>年度机关事业单位养老保险基金总收入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1.93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亿元（保险费收入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0.95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亿元、财政补助收入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9.43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财政</w:t>
      </w:r>
      <w:r>
        <w:rPr>
          <w:rFonts w:hint="eastAsia" w:ascii="仿宋_GB2312" w:hAnsi="仿宋_GB2312" w:eastAsia="仿宋_GB2312" w:cs="仿宋_GB2312"/>
          <w:sz w:val="30"/>
          <w:szCs w:val="30"/>
        </w:rPr>
        <w:t>补助收入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0.85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亿元、利息收入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9.4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万元、其他收入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16.3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万元），收入较上年增长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0.74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亿元，增幅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62.2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，完成全年预算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1.31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亿元的</w:t>
      </w:r>
      <w:r>
        <w:rPr>
          <w:rFonts w:ascii="仿宋_GB2312" w:hAnsi="仿宋_GB2312" w:eastAsia="仿宋_GB2312" w:cs="仿宋_GB2312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</w:t>
      </w:r>
      <w:r>
        <w:rPr>
          <w:rFonts w:ascii="仿宋_GB2312" w:hAnsi="仿宋_GB2312" w:eastAsia="仿宋_GB2312" w:cs="仿宋_GB2312"/>
          <w:sz w:val="30"/>
          <w:szCs w:val="30"/>
        </w:rPr>
        <w:t>7%</w:t>
      </w:r>
      <w:r>
        <w:rPr>
          <w:rFonts w:hint="eastAsia" w:ascii="仿宋_GB2312" w:hAnsi="仿宋_GB2312" w:eastAsia="仿宋_GB2312" w:cs="仿宋_GB2312"/>
          <w:sz w:val="30"/>
          <w:szCs w:val="30"/>
        </w:rPr>
        <w:t>。基金总支出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1.35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亿元，较上年支出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增加</w:t>
      </w:r>
      <w:r>
        <w:rPr>
          <w:rFonts w:ascii="仿宋_GB2312" w:hAnsi="仿宋_GB2312" w:eastAsia="仿宋_GB2312" w:cs="仿宋_GB2312"/>
          <w:sz w:val="30"/>
          <w:szCs w:val="30"/>
        </w:rPr>
        <w:t>0.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亿元，增幅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14.4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，完成全年预算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1.31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亿元的</w:t>
      </w:r>
      <w:r>
        <w:rPr>
          <w:rFonts w:ascii="仿宋_GB2312" w:hAnsi="仿宋_GB2312" w:eastAsia="仿宋_GB2312" w:cs="仿宋_GB2312"/>
          <w:sz w:val="30"/>
          <w:szCs w:val="30"/>
        </w:rPr>
        <w:t>10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。当年收支结余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0.58亿</w:t>
      </w:r>
      <w:r>
        <w:rPr>
          <w:rFonts w:hint="eastAsia" w:ascii="仿宋_GB2312" w:hAnsi="仿宋_GB2312" w:eastAsia="仿宋_GB2312" w:cs="仿宋_GB2312"/>
          <w:sz w:val="30"/>
          <w:szCs w:val="30"/>
        </w:rPr>
        <w:t>元，滚存结余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0.16亿</w:t>
      </w:r>
      <w:r>
        <w:rPr>
          <w:rFonts w:hint="eastAsia" w:ascii="仿宋_GB2312" w:hAnsi="仿宋_GB2312" w:eastAsia="仿宋_GB2312" w:cs="仿宋_GB2312"/>
          <w:sz w:val="30"/>
          <w:szCs w:val="30"/>
        </w:rPr>
        <w:t>元。</w:t>
      </w:r>
    </w:p>
    <w:p>
      <w:pPr>
        <w:tabs>
          <w:tab w:val="left" w:pos="0"/>
        </w:tabs>
        <w:spacing w:line="520" w:lineRule="exact"/>
        <w:ind w:firstLine="602" w:firstLineChars="200"/>
        <w:rPr>
          <w:rFonts w:ascii="仿宋_GB2312" w:hAnsi="仿宋_GB2312" w:eastAsia="仿宋_GB2312"/>
          <w:b/>
          <w:bCs/>
          <w:sz w:val="30"/>
          <w:szCs w:val="30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(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二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)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城乡居民基本养老保险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2018</w:t>
      </w:r>
      <w:r>
        <w:rPr>
          <w:rFonts w:hint="eastAsia" w:ascii="仿宋_GB2312" w:hAnsi="仿宋_GB2312" w:eastAsia="仿宋_GB2312" w:cs="仿宋_GB2312"/>
          <w:sz w:val="30"/>
          <w:szCs w:val="30"/>
        </w:rPr>
        <w:t>年度，城乡居民基本养老保险基金总收入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3737.49万</w:t>
      </w:r>
      <w:r>
        <w:rPr>
          <w:rFonts w:hint="eastAsia" w:ascii="仿宋_GB2312" w:hAnsi="仿宋_GB2312" w:eastAsia="仿宋_GB2312" w:cs="仿宋_GB2312"/>
          <w:sz w:val="30"/>
          <w:szCs w:val="30"/>
        </w:rPr>
        <w:t>元，其中：个人缴费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943.67万</w:t>
      </w:r>
      <w:r>
        <w:rPr>
          <w:rFonts w:hint="eastAsia" w:ascii="仿宋_GB2312" w:hAnsi="仿宋_GB2312" w:eastAsia="仿宋_GB2312" w:cs="仿宋_GB2312"/>
          <w:sz w:val="30"/>
          <w:szCs w:val="30"/>
        </w:rPr>
        <w:t>元，占基金总收入的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25.3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，政补助收入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2628.95万</w:t>
      </w:r>
      <w:r>
        <w:rPr>
          <w:rFonts w:hint="eastAsia" w:ascii="仿宋_GB2312" w:hAnsi="仿宋_GB2312" w:eastAsia="仿宋_GB2312" w:cs="仿宋_GB2312"/>
          <w:sz w:val="30"/>
          <w:szCs w:val="30"/>
        </w:rPr>
        <w:t>元，占基金总收入的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70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、利息收入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164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万元、转移收入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0.6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万元，收入较上年增长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588.01万</w:t>
      </w:r>
      <w:r>
        <w:rPr>
          <w:rFonts w:hint="eastAsia" w:ascii="仿宋_GB2312" w:hAnsi="仿宋_GB2312" w:eastAsia="仿宋_GB2312" w:cs="仿宋_GB2312"/>
          <w:sz w:val="30"/>
          <w:szCs w:val="30"/>
        </w:rPr>
        <w:t>元，增幅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18.7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，完成全年预算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3296.57万</w:t>
      </w:r>
      <w:r>
        <w:rPr>
          <w:rFonts w:hint="eastAsia" w:ascii="仿宋_GB2312" w:hAnsi="仿宋_GB2312" w:eastAsia="仿宋_GB2312" w:cs="仿宋_GB2312"/>
          <w:sz w:val="30"/>
          <w:szCs w:val="30"/>
        </w:rPr>
        <w:t>元的</w:t>
      </w:r>
      <w:r>
        <w:rPr>
          <w:rFonts w:ascii="仿宋_GB2312" w:hAnsi="仿宋_GB2312" w:eastAsia="仿宋_GB2312" w:cs="仿宋_GB2312"/>
          <w:sz w:val="30"/>
          <w:szCs w:val="30"/>
        </w:rPr>
        <w:t>11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。基金总支出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2628.45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万</w:t>
      </w:r>
      <w:r>
        <w:rPr>
          <w:rFonts w:hint="eastAsia" w:ascii="仿宋_GB2312" w:hAnsi="仿宋_GB2312" w:eastAsia="仿宋_GB2312" w:cs="仿宋_GB2312"/>
          <w:sz w:val="30"/>
          <w:szCs w:val="30"/>
        </w:rPr>
        <w:t>元（养老金支出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2607.79万</w:t>
      </w:r>
      <w:r>
        <w:rPr>
          <w:rFonts w:hint="eastAsia" w:ascii="仿宋_GB2312" w:hAnsi="仿宋_GB2312" w:eastAsia="仿宋_GB2312" w:cs="仿宋_GB2312"/>
          <w:sz w:val="30"/>
          <w:szCs w:val="30"/>
        </w:rPr>
        <w:t>元、丧葬抚恤补助支出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19.84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万元、转移支出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0.8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万元）较上年支出增长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530.13万</w:t>
      </w:r>
      <w:r>
        <w:rPr>
          <w:rFonts w:hint="eastAsia" w:ascii="仿宋_GB2312" w:hAnsi="仿宋_GB2312" w:eastAsia="仿宋_GB2312" w:cs="仿宋_GB2312"/>
          <w:sz w:val="30"/>
          <w:szCs w:val="30"/>
        </w:rPr>
        <w:t>元，增幅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25.3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，完成全年预算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2237.87万</w:t>
      </w:r>
      <w:r>
        <w:rPr>
          <w:rFonts w:hint="eastAsia" w:ascii="仿宋_GB2312" w:hAnsi="仿宋_GB2312" w:eastAsia="仿宋_GB2312" w:cs="仿宋_GB2312"/>
          <w:sz w:val="30"/>
          <w:szCs w:val="30"/>
        </w:rPr>
        <w:t>元的</w:t>
      </w:r>
      <w:r>
        <w:rPr>
          <w:rFonts w:ascii="仿宋_GB2312" w:hAnsi="仿宋_GB2312" w:eastAsia="仿宋_GB2312" w:cs="仿宋_GB2312"/>
          <w:sz w:val="30"/>
          <w:szCs w:val="30"/>
        </w:rPr>
        <w:t>11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7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。当年收支结余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1109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万元，累计结余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7869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万</w:t>
      </w:r>
      <w:r>
        <w:rPr>
          <w:rFonts w:hint="eastAsia" w:ascii="仿宋_GB2312" w:hAnsi="仿宋_GB2312" w:eastAsia="仿宋_GB2312" w:cs="仿宋_GB2312"/>
          <w:sz w:val="30"/>
          <w:szCs w:val="30"/>
        </w:rPr>
        <w:t>元。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黑体" w:hAnsi="仿宋_GB2312" w:eastAsia="黑体"/>
          <w:sz w:val="30"/>
          <w:szCs w:val="30"/>
        </w:rPr>
      </w:pPr>
      <w:r>
        <w:rPr>
          <w:rFonts w:hint="eastAsia" w:ascii="黑体" w:hAnsi="仿宋_GB2312" w:eastAsia="黑体" w:cs="黑体"/>
          <w:sz w:val="30"/>
          <w:szCs w:val="30"/>
        </w:rPr>
        <w:t>四、组织实施和绩效管理情况</w:t>
      </w:r>
    </w:p>
    <w:p>
      <w:pPr>
        <w:tabs>
          <w:tab w:val="left" w:pos="0"/>
        </w:tabs>
        <w:spacing w:line="520" w:lineRule="exact"/>
        <w:ind w:firstLine="602" w:firstLineChars="200"/>
        <w:rPr>
          <w:rFonts w:ascii="仿宋_GB2312" w:hAnsi="仿宋_GB2312" w:eastAsia="仿宋_GB2312"/>
          <w:b/>
          <w:bCs/>
          <w:sz w:val="30"/>
          <w:szCs w:val="30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(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一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)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社会保险管理情况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养老保险进一步完善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城乡居民养老保险和机关事业单位</w:t>
      </w:r>
      <w:r>
        <w:rPr>
          <w:rFonts w:hint="eastAsia" w:ascii="仿宋_GB2312" w:hAnsi="仿宋_GB2312" w:eastAsia="仿宋_GB2312" w:cs="仿宋_GB2312"/>
          <w:sz w:val="30"/>
          <w:szCs w:val="30"/>
        </w:rPr>
        <w:t>养老保险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县级</w:t>
      </w:r>
      <w:r>
        <w:rPr>
          <w:rFonts w:hint="eastAsia" w:ascii="仿宋_GB2312" w:hAnsi="仿宋_GB2312" w:eastAsia="仿宋_GB2312" w:cs="仿宋_GB2312"/>
          <w:sz w:val="30"/>
          <w:szCs w:val="30"/>
        </w:rPr>
        <w:t>统筹制度，规范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城乡居民养老保险和机关事业单位</w:t>
      </w:r>
      <w:r>
        <w:rPr>
          <w:rFonts w:hint="eastAsia" w:ascii="仿宋_GB2312" w:hAnsi="仿宋_GB2312" w:eastAsia="仿宋_GB2312" w:cs="仿宋_GB2312"/>
          <w:sz w:val="30"/>
          <w:szCs w:val="30"/>
        </w:rPr>
        <w:t>养老保险缴费政策，通过规范农牧缴费基数等政策，为建立基金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各项制度</w:t>
      </w:r>
      <w:r>
        <w:rPr>
          <w:rFonts w:hint="eastAsia" w:ascii="仿宋_GB2312" w:hAnsi="仿宋_GB2312" w:eastAsia="仿宋_GB2312" w:cs="仿宋_GB2312"/>
          <w:sz w:val="30"/>
          <w:szCs w:val="30"/>
        </w:rPr>
        <w:t>奠定基础。</w:t>
      </w:r>
      <w:r>
        <w:rPr>
          <w:rFonts w:ascii="仿宋_GB2312" w:hAnsi="仿宋_GB2312" w:eastAsia="仿宋_GB2312" w:cs="仿宋_GB2312"/>
          <w:sz w:val="30"/>
          <w:szCs w:val="30"/>
        </w:rPr>
        <w:t>2018</w:t>
      </w:r>
      <w:r>
        <w:rPr>
          <w:rFonts w:hint="eastAsia" w:ascii="仿宋_GB2312" w:hAnsi="仿宋_GB2312" w:eastAsia="仿宋_GB2312" w:cs="仿宋_GB2312"/>
          <w:sz w:val="30"/>
          <w:szCs w:val="30"/>
        </w:rPr>
        <w:t>年是机关事业养老保险制度改革后，连续三年同步调整机关事业单位退休人员养老金待遇。</w:t>
      </w:r>
    </w:p>
    <w:p>
      <w:pPr>
        <w:tabs>
          <w:tab w:val="left" w:pos="0"/>
        </w:tabs>
        <w:spacing w:line="520" w:lineRule="exact"/>
        <w:ind w:firstLine="602" w:firstLineChars="200"/>
        <w:rPr>
          <w:rFonts w:ascii="仿宋_GB2312" w:hAnsi="仿宋_GB2312" w:eastAsia="仿宋_GB2312"/>
          <w:b/>
          <w:bCs/>
          <w:sz w:val="30"/>
          <w:szCs w:val="30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(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二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)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绩效目标完成情况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2018</w:t>
      </w:r>
      <w:r>
        <w:rPr>
          <w:rFonts w:hint="eastAsia" w:ascii="仿宋_GB2312" w:hAnsi="仿宋_GB2312" w:eastAsia="仿宋_GB2312" w:cs="仿宋_GB2312"/>
          <w:sz w:val="30"/>
          <w:szCs w:val="30"/>
        </w:rPr>
        <w:t>年是实施“十三五”规划的重要一年，也是社会保障事业发展进入新阶段、实现新发展的关键之年。以基金安全运行为根本，以提高管理服务水平为重点，严格执行社会保险各项政策，建立健全内部控制制度，确保待遇发放，基金运行总体平稳。通过连续几年为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农牧民增加缴费补贴，</w:t>
      </w:r>
      <w:r>
        <w:rPr>
          <w:rFonts w:hint="eastAsia" w:ascii="仿宋_GB2312" w:hAnsi="仿宋_GB2312" w:eastAsia="仿宋_GB2312" w:cs="仿宋_GB2312"/>
          <w:sz w:val="30"/>
          <w:szCs w:val="30"/>
        </w:rPr>
        <w:t>逐步提高保险待遇支付标准，使参保人员的获得感、幸福感不断增强。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社保经办机构按照“流程覆盖、环节把控、职责明确”的工作思路，把内控制度体系建设作为根本，实现了经办和管理工作规范、有效运行，保障了基金安全。一是健全综合内控制度。从组织机构、业务运行、基金财务、信息系统、内部控制等方面，制定内控制度、业务流程、岗位职责等，参保人员均按规定办理参保登记、个人账户信息修改、缴费等业务，严格执行统一的会计制度和收支业务审批制度，社保基金按规定对基金分别建账、分账核算，基金收入户、支出户和财政专户按规定开设账户，严格实行收支两条线管理，全面实行全程电子化，杜绝隐匿、转移、侵占、挪用基金的现象，确保基金专款专用。二是建立考核考评制度。及时调整完善内控考核办法，按规定设置岗位，增强社保经办机构干部队伍力量，加强管理，严格遵守不相容职务相互分离的原则，业务审核岗位和审批岗位分离、审批岗位与计发待遇岗位分离、审批岗位与数据录入岗位分离、会计岗位与出纳岗位分离</w:t>
      </w:r>
      <w:r>
        <w:rPr>
          <w:rFonts w:ascii="仿宋_GB2312" w:hAnsi="仿宋_GB2312" w:eastAsia="仿宋_GB2312" w:cs="仿宋_GB2312"/>
          <w:sz w:val="30"/>
          <w:szCs w:val="30"/>
        </w:rPr>
        <w:t>;</w:t>
      </w:r>
      <w:r>
        <w:rPr>
          <w:rFonts w:hint="eastAsia" w:ascii="仿宋_GB2312" w:hAnsi="仿宋_GB2312" w:eastAsia="仿宋_GB2312" w:cs="仿宋_GB2312"/>
          <w:sz w:val="30"/>
          <w:szCs w:val="30"/>
        </w:rPr>
        <w:t>无违反业务规程、信息系统操作流程规定以及岗位职责、审批权限，办理社会保险业务、修改社会保险信息的现象</w:t>
      </w:r>
      <w:r>
        <w:rPr>
          <w:rFonts w:ascii="仿宋_GB2312" w:hAnsi="仿宋_GB2312" w:eastAsia="仿宋_GB2312" w:cs="仿宋_GB2312"/>
          <w:sz w:val="30"/>
          <w:szCs w:val="30"/>
        </w:rPr>
        <w:t>;</w:t>
      </w:r>
      <w:r>
        <w:rPr>
          <w:rFonts w:hint="eastAsia" w:ascii="仿宋_GB2312" w:hAnsi="仿宋_GB2312" w:eastAsia="仿宋_GB2312" w:cs="仿宋_GB2312"/>
          <w:sz w:val="30"/>
          <w:szCs w:val="30"/>
        </w:rPr>
        <w:t>财务与业务按月对账，按规定与基金开户银行、财政部门和上下级经办机构等核对基金的收付情况</w:t>
      </w:r>
      <w:r>
        <w:rPr>
          <w:rFonts w:ascii="仿宋_GB2312" w:hAnsi="仿宋_GB2312" w:eastAsia="仿宋_GB2312" w:cs="仿宋_GB2312"/>
          <w:sz w:val="30"/>
          <w:szCs w:val="30"/>
        </w:rPr>
        <w:t>;</w:t>
      </w:r>
      <w:r>
        <w:rPr>
          <w:rFonts w:hint="eastAsia" w:ascii="仿宋_GB2312" w:hAnsi="仿宋_GB2312" w:eastAsia="仿宋_GB2312" w:cs="仿宋_GB2312"/>
          <w:sz w:val="30"/>
          <w:szCs w:val="30"/>
        </w:rPr>
        <w:t>严格执行基金支付政策，按月编制基金支付计划，按月足额发放待遇，做到不拖欠、不挪用、不挤占社保基金。</w:t>
      </w:r>
      <w:r>
        <w:rPr>
          <w:rFonts w:ascii="仿宋_GB2312" w:hAnsi="仿宋_GB2312" w:eastAsia="仿宋_GB2312" w:cs="仿宋_GB2312"/>
          <w:sz w:val="30"/>
          <w:szCs w:val="30"/>
        </w:rPr>
        <w:t>2018</w:t>
      </w:r>
      <w:r>
        <w:rPr>
          <w:rFonts w:hint="eastAsia" w:ascii="仿宋_GB2312" w:hAnsi="仿宋_GB2312" w:eastAsia="仿宋_GB2312" w:cs="仿宋_GB2312"/>
          <w:sz w:val="30"/>
          <w:szCs w:val="30"/>
        </w:rPr>
        <w:t>年各项社会保险待遇也在规定时限内报销或足额领取，社会满意度</w:t>
      </w:r>
      <w:r>
        <w:rPr>
          <w:rFonts w:ascii="仿宋_GB2312" w:hAnsi="仿宋_GB2312" w:eastAsia="仿宋_GB2312" w:cs="仿宋_GB2312"/>
          <w:sz w:val="30"/>
          <w:szCs w:val="30"/>
        </w:rPr>
        <w:t>95%</w:t>
      </w:r>
      <w:r>
        <w:rPr>
          <w:rFonts w:hint="eastAsia" w:ascii="仿宋_GB2312" w:hAnsi="仿宋_GB2312" w:eastAsia="仿宋_GB2312" w:cs="仿宋_GB2312"/>
          <w:sz w:val="30"/>
          <w:szCs w:val="30"/>
        </w:rPr>
        <w:t>以上，保障了退休人员的晚年生活。坚定维护了新疆社会稳定和长治久安。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2018</w:t>
      </w:r>
      <w:r>
        <w:rPr>
          <w:rFonts w:hint="eastAsia" w:ascii="仿宋_GB2312" w:hAnsi="仿宋_GB2312" w:eastAsia="仿宋_GB2312" w:cs="仿宋_GB2312"/>
          <w:sz w:val="30"/>
          <w:szCs w:val="30"/>
        </w:rPr>
        <w:t>年机关事业养老保险（改革）基金总支出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1.35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</w:t>
      </w:r>
      <w:r>
        <w:rPr>
          <w:rFonts w:ascii="仿宋_GB2312" w:hAnsi="仿宋_GB2312" w:eastAsia="仿宋_GB2312" w:cs="仿宋_GB2312"/>
          <w:sz w:val="30"/>
          <w:szCs w:val="30"/>
        </w:rPr>
        <w:t>,</w:t>
      </w:r>
      <w:r>
        <w:rPr>
          <w:rFonts w:hint="eastAsia" w:ascii="仿宋_GB2312" w:hAnsi="仿宋_GB2312" w:eastAsia="仿宋_GB2312" w:cs="仿宋_GB2312"/>
          <w:sz w:val="30"/>
          <w:szCs w:val="30"/>
        </w:rPr>
        <w:t>其中：基本养老金待遇支出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1.35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</w:t>
      </w:r>
      <w:r>
        <w:rPr>
          <w:rFonts w:ascii="仿宋_GB2312" w:hAnsi="仿宋_GB2312" w:eastAsia="仿宋_GB2312" w:cs="仿宋_GB2312"/>
          <w:sz w:val="30"/>
          <w:szCs w:val="30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</w:rPr>
        <w:t>全年保障离退休人员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2181</w:t>
      </w:r>
      <w:r>
        <w:rPr>
          <w:rFonts w:hint="eastAsia" w:ascii="仿宋_GB2312" w:hAnsi="仿宋_GB2312" w:eastAsia="仿宋_GB2312" w:cs="仿宋_GB2312"/>
          <w:sz w:val="30"/>
          <w:szCs w:val="30"/>
        </w:rPr>
        <w:t>人的基本养老金待遇发放。全年预算支出执行目标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103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以上，按时足额发放养老金，首次待遇发放准确率</w:t>
      </w:r>
      <w:r>
        <w:rPr>
          <w:rFonts w:ascii="仿宋_GB2312" w:hAnsi="仿宋_GB2312" w:eastAsia="仿宋_GB2312" w:cs="仿宋_GB2312"/>
          <w:sz w:val="30"/>
          <w:szCs w:val="30"/>
        </w:rPr>
        <w:t>99</w:t>
      </w:r>
      <w:r>
        <w:rPr>
          <w:rFonts w:hint="eastAsia" w:ascii="仿宋_GB2312" w:hAnsi="仿宋_GB2312" w:eastAsia="仿宋_GB2312" w:cs="仿宋_GB2312"/>
          <w:sz w:val="30"/>
          <w:szCs w:val="30"/>
        </w:rPr>
        <w:t>％以上，参保群众满意率</w:t>
      </w:r>
      <w:r>
        <w:rPr>
          <w:rFonts w:ascii="仿宋_GB2312" w:hAnsi="仿宋_GB2312" w:eastAsia="仿宋_GB2312" w:cs="仿宋_GB2312"/>
          <w:sz w:val="30"/>
          <w:szCs w:val="30"/>
        </w:rPr>
        <w:t>99%</w:t>
      </w:r>
      <w:r>
        <w:rPr>
          <w:rFonts w:hint="eastAsia" w:ascii="仿宋_GB2312" w:hAnsi="仿宋_GB2312" w:eastAsia="仿宋_GB2312" w:cs="仿宋_GB2312"/>
          <w:sz w:val="30"/>
          <w:szCs w:val="30"/>
        </w:rPr>
        <w:t>以上。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2018</w:t>
      </w:r>
      <w:r>
        <w:rPr>
          <w:rFonts w:hint="eastAsia" w:ascii="仿宋_GB2312" w:hAnsi="仿宋_GB2312" w:eastAsia="仿宋_GB2312" w:cs="仿宋_GB2312"/>
          <w:sz w:val="30"/>
          <w:szCs w:val="30"/>
        </w:rPr>
        <w:t>年城乡居民基本养老保险基金总支出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2098.32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万</w:t>
      </w:r>
      <w:r>
        <w:rPr>
          <w:rFonts w:hint="eastAsia" w:ascii="仿宋_GB2312" w:hAnsi="仿宋_GB2312" w:eastAsia="仿宋_GB2312" w:cs="仿宋_GB2312"/>
          <w:sz w:val="30"/>
          <w:szCs w:val="30"/>
        </w:rPr>
        <w:t>元，有效保障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40251</w:t>
      </w:r>
      <w:r>
        <w:rPr>
          <w:rFonts w:hint="eastAsia" w:ascii="仿宋_GB2312" w:hAnsi="仿宋_GB2312" w:eastAsia="仿宋_GB2312" w:cs="仿宋_GB2312"/>
          <w:sz w:val="30"/>
          <w:szCs w:val="30"/>
        </w:rPr>
        <w:t>名参保职工的养老保险待遇。全年享受养老保险待遇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14071</w:t>
      </w:r>
      <w:r>
        <w:rPr>
          <w:rFonts w:hint="eastAsia" w:ascii="仿宋_GB2312" w:hAnsi="仿宋_GB2312" w:eastAsia="仿宋_GB2312" w:cs="仿宋_GB2312"/>
          <w:sz w:val="30"/>
          <w:szCs w:val="30"/>
        </w:rPr>
        <w:t>人。全年预算支出执行目标</w:t>
      </w:r>
      <w:r>
        <w:rPr>
          <w:rFonts w:ascii="仿宋_GB2312" w:hAnsi="仿宋_GB2312" w:eastAsia="仿宋_GB2312" w:cs="仿宋_GB2312"/>
          <w:sz w:val="30"/>
          <w:szCs w:val="30"/>
        </w:rPr>
        <w:t>11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7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以，按照承诺时限将及时足额将待遇资金拨付参保个人，首次发放准确率</w:t>
      </w:r>
      <w:r>
        <w:rPr>
          <w:rFonts w:ascii="仿宋_GB2312" w:hAnsi="仿宋_GB2312" w:eastAsia="仿宋_GB2312" w:cs="仿宋_GB2312"/>
          <w:sz w:val="30"/>
          <w:szCs w:val="30"/>
        </w:rPr>
        <w:t>99</w:t>
      </w:r>
      <w:r>
        <w:rPr>
          <w:rFonts w:hint="eastAsia" w:ascii="仿宋_GB2312" w:hAnsi="仿宋_GB2312" w:eastAsia="仿宋_GB2312" w:cs="仿宋_GB2312"/>
          <w:sz w:val="30"/>
          <w:szCs w:val="30"/>
        </w:rPr>
        <w:t>％以上，参保群众满意率</w:t>
      </w:r>
      <w:r>
        <w:rPr>
          <w:rFonts w:ascii="仿宋_GB2312" w:hAnsi="仿宋_GB2312" w:eastAsia="仿宋_GB2312" w:cs="仿宋_GB2312"/>
          <w:sz w:val="30"/>
          <w:szCs w:val="30"/>
        </w:rPr>
        <w:t>95%</w:t>
      </w:r>
      <w:r>
        <w:rPr>
          <w:rFonts w:hint="eastAsia" w:ascii="仿宋_GB2312" w:hAnsi="仿宋_GB2312" w:eastAsia="仿宋_GB2312" w:cs="仿宋_GB2312"/>
          <w:sz w:val="30"/>
          <w:szCs w:val="30"/>
        </w:rPr>
        <w:t>以上。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黑体" w:hAnsi="仿宋_GB2312" w:eastAsia="黑体"/>
          <w:sz w:val="30"/>
          <w:szCs w:val="30"/>
        </w:rPr>
      </w:pPr>
      <w:r>
        <w:rPr>
          <w:rFonts w:hint="eastAsia" w:ascii="黑体" w:hAnsi="仿宋_GB2312" w:eastAsia="黑体" w:cs="黑体"/>
          <w:sz w:val="30"/>
          <w:szCs w:val="30"/>
        </w:rPr>
        <w:t>五、下一年度计划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养老保险按国家统一安排、同步调整企业和机关事业单位退休人员基本养老金。继续推动机关事业单位养老保险改革，全面实现参保缴费、待遇发放和新办法计发。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黑体" w:hAnsi="仿宋_GB2312" w:eastAsia="黑体"/>
          <w:sz w:val="30"/>
          <w:szCs w:val="30"/>
        </w:rPr>
      </w:pPr>
      <w:r>
        <w:rPr>
          <w:rFonts w:hint="eastAsia" w:ascii="黑体" w:hAnsi="仿宋_GB2312" w:eastAsia="黑体" w:cs="黑体"/>
          <w:sz w:val="30"/>
          <w:szCs w:val="30"/>
        </w:rPr>
        <w:t>五、存在问题和建议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一是绩效目标设定还不太合理有待进一步完善。建议自治区层面出台统一的社会保险基金支出绩效目标。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二是工作人员岗位变动频繁，业务经办水平有待提高，对业务经办人员的培训工作有待加强。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黑体" w:hAnsi="仿宋_GB2312" w:eastAsia="黑体"/>
          <w:sz w:val="30"/>
          <w:szCs w:val="30"/>
        </w:rPr>
      </w:pPr>
      <w:r>
        <w:rPr>
          <w:rFonts w:hint="eastAsia" w:ascii="黑体" w:hAnsi="仿宋_GB2312" w:eastAsia="黑体" w:cs="黑体"/>
          <w:sz w:val="30"/>
          <w:szCs w:val="30"/>
        </w:rPr>
        <w:t>六、附表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昌吉州社会保险支出绩效自评表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  <w:rPr>
        <w:rFonts w:cs="Times New Roma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12</w:t>
    </w:r>
    <w:r>
      <w:rPr>
        <w:lang w:val="zh-CN"/>
      </w:rPr>
      <w:fldChar w:fldCharType="end"/>
    </w:r>
  </w:p>
  <w:p>
    <w:pPr>
      <w:pStyle w:val="12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59613698"/>
    <w:rsid w:val="7FE041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28"/>
    <w:uiPriority w:val="0"/>
    <w:pPr>
      <w:keepNext/>
      <w:widowControl/>
      <w:spacing w:before="240" w:after="60"/>
      <w:jc w:val="left"/>
      <w:outlineLvl w:val="0"/>
    </w:pPr>
    <w:rPr>
      <w:rFonts w:ascii="Cambria" w:hAnsi="Cambria" w:eastAsia="宋体" w:cs="Cambr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9"/>
    <w:uiPriority w:val="0"/>
    <w:pPr>
      <w:keepNext/>
      <w:widowControl/>
      <w:spacing w:before="240" w:after="60"/>
      <w:jc w:val="left"/>
      <w:outlineLvl w:val="1"/>
    </w:pPr>
    <w:rPr>
      <w:rFonts w:ascii="Cambria" w:hAnsi="Cambria" w:eastAsia="宋体" w:cs="Cambria"/>
      <w:b/>
      <w:bCs/>
      <w:i/>
      <w:iCs/>
      <w:sz w:val="28"/>
      <w:szCs w:val="28"/>
    </w:rPr>
  </w:style>
  <w:style w:type="paragraph" w:styleId="5">
    <w:name w:val="heading 3"/>
    <w:basedOn w:val="1"/>
    <w:next w:val="1"/>
    <w:link w:val="30"/>
    <w:uiPriority w:val="0"/>
    <w:pPr>
      <w:keepNext/>
      <w:widowControl/>
      <w:spacing w:before="240" w:after="60"/>
      <w:jc w:val="left"/>
      <w:outlineLvl w:val="2"/>
    </w:pPr>
    <w:rPr>
      <w:rFonts w:ascii="Cambria" w:hAnsi="Cambria" w:eastAsia="宋体" w:cs="Cambria"/>
      <w:b/>
      <w:bCs/>
      <w:sz w:val="26"/>
      <w:szCs w:val="26"/>
    </w:rPr>
  </w:style>
  <w:style w:type="paragraph" w:styleId="6">
    <w:name w:val="heading 4"/>
    <w:basedOn w:val="1"/>
    <w:next w:val="1"/>
    <w:link w:val="31"/>
    <w:uiPriority w:val="0"/>
    <w:pPr>
      <w:keepNext/>
      <w:widowControl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7">
    <w:name w:val="heading 5"/>
    <w:basedOn w:val="1"/>
    <w:next w:val="1"/>
    <w:link w:val="32"/>
    <w:uiPriority w:val="0"/>
    <w:pPr>
      <w:widowControl/>
      <w:spacing w:before="240" w:after="60"/>
      <w:jc w:val="left"/>
      <w:outlineLvl w:val="4"/>
    </w:pPr>
    <w:rPr>
      <w:b/>
      <w:bCs/>
      <w:i/>
      <w:iCs/>
      <w:sz w:val="26"/>
      <w:szCs w:val="26"/>
    </w:rPr>
  </w:style>
  <w:style w:type="paragraph" w:styleId="8">
    <w:name w:val="heading 6"/>
    <w:basedOn w:val="1"/>
    <w:next w:val="1"/>
    <w:link w:val="33"/>
    <w:qFormat/>
    <w:uiPriority w:val="0"/>
    <w:pPr>
      <w:widowControl/>
      <w:spacing w:before="240" w:after="60"/>
      <w:jc w:val="left"/>
      <w:outlineLvl w:val="5"/>
    </w:pPr>
    <w:rPr>
      <w:b/>
      <w:bCs/>
    </w:rPr>
  </w:style>
  <w:style w:type="paragraph" w:styleId="9">
    <w:name w:val="heading 7"/>
    <w:basedOn w:val="1"/>
    <w:next w:val="1"/>
    <w:link w:val="34"/>
    <w:qFormat/>
    <w:uiPriority w:val="0"/>
    <w:pPr>
      <w:widowControl/>
      <w:spacing w:before="240" w:after="60"/>
      <w:jc w:val="left"/>
      <w:outlineLvl w:val="6"/>
    </w:pPr>
    <w:rPr>
      <w:sz w:val="24"/>
      <w:szCs w:val="24"/>
    </w:rPr>
  </w:style>
  <w:style w:type="paragraph" w:styleId="10">
    <w:name w:val="heading 8"/>
    <w:basedOn w:val="1"/>
    <w:next w:val="1"/>
    <w:link w:val="35"/>
    <w:qFormat/>
    <w:uiPriority w:val="0"/>
    <w:pPr>
      <w:widowControl/>
      <w:spacing w:before="240" w:after="60"/>
      <w:jc w:val="left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link w:val="36"/>
    <w:qFormat/>
    <w:uiPriority w:val="0"/>
    <w:pPr>
      <w:widowControl/>
      <w:spacing w:before="240" w:after="60"/>
      <w:jc w:val="left"/>
      <w:outlineLvl w:val="8"/>
    </w:pPr>
    <w:rPr>
      <w:rFonts w:ascii="Cambria" w:hAnsi="Cambria" w:eastAsia="宋体" w:cs="Cambria"/>
    </w:rPr>
  </w:style>
  <w:style w:type="character" w:default="1" w:styleId="16">
    <w:name w:val="Default Paragraph Font"/>
    <w:link w:val="17"/>
    <w:semiHidden/>
    <w:qFormat/>
    <w:uiPriority w:val="0"/>
  </w:style>
  <w:style w:type="table" w:default="1" w:styleId="20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37"/>
    <w:qFormat/>
    <w:uiPriority w:val="0"/>
    <w:pPr>
      <w:jc w:val="center"/>
    </w:pPr>
    <w:rPr>
      <w:sz w:val="24"/>
      <w:szCs w:val="24"/>
    </w:rPr>
  </w:style>
  <w:style w:type="paragraph" w:styleId="12">
    <w:name w:val="footer"/>
    <w:basedOn w:val="1"/>
    <w:link w:val="39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Calibri"/>
      <w:kern w:val="2"/>
      <w:sz w:val="18"/>
      <w:szCs w:val="18"/>
    </w:rPr>
  </w:style>
  <w:style w:type="paragraph" w:styleId="13">
    <w:name w:val="header"/>
    <w:basedOn w:val="1"/>
    <w:link w:val="4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Calibri"/>
      <w:kern w:val="2"/>
      <w:sz w:val="18"/>
      <w:szCs w:val="18"/>
    </w:rPr>
  </w:style>
  <w:style w:type="paragraph" w:styleId="14">
    <w:name w:val="Subtitle"/>
    <w:basedOn w:val="1"/>
    <w:next w:val="1"/>
    <w:link w:val="41"/>
    <w:qFormat/>
    <w:uiPriority w:val="0"/>
    <w:pPr>
      <w:widowControl/>
      <w:spacing w:after="60"/>
      <w:jc w:val="center"/>
      <w:outlineLvl w:val="1"/>
    </w:pPr>
    <w:rPr>
      <w:rFonts w:ascii="Cambria" w:hAnsi="Cambria" w:eastAsia="宋体" w:cs="Cambria"/>
      <w:sz w:val="24"/>
      <w:szCs w:val="24"/>
    </w:rPr>
  </w:style>
  <w:style w:type="paragraph" w:styleId="15">
    <w:name w:val="Title"/>
    <w:basedOn w:val="1"/>
    <w:next w:val="1"/>
    <w:link w:val="42"/>
    <w:qFormat/>
    <w:uiPriority w:val="0"/>
    <w:pPr>
      <w:widowControl/>
      <w:spacing w:before="240" w:after="60"/>
      <w:jc w:val="center"/>
      <w:outlineLvl w:val="0"/>
    </w:pPr>
    <w:rPr>
      <w:rFonts w:ascii="Cambria" w:hAnsi="Cambria" w:eastAsia="宋体" w:cs="Cambria"/>
      <w:b/>
      <w:bCs/>
      <w:kern w:val="28"/>
      <w:sz w:val="32"/>
      <w:szCs w:val="32"/>
    </w:rPr>
  </w:style>
  <w:style w:type="paragraph" w:customStyle="1" w:styleId="17">
    <w:name w:val="Char Char Char Char Char Char1 Char Char Char Char"/>
    <w:basedOn w:val="1"/>
    <w:link w:val="16"/>
    <w:qFormat/>
    <w:uiPriority w:val="0"/>
  </w:style>
  <w:style w:type="character" w:styleId="18">
    <w:name w:val="Strong"/>
    <w:basedOn w:val="16"/>
    <w:qFormat/>
    <w:uiPriority w:val="0"/>
    <w:rPr>
      <w:b/>
      <w:bCs/>
    </w:rPr>
  </w:style>
  <w:style w:type="character" w:styleId="19">
    <w:name w:val="Emphasis"/>
    <w:basedOn w:val="16"/>
    <w:qFormat/>
    <w:uiPriority w:val="0"/>
    <w:rPr>
      <w:rFonts w:ascii="Calibri" w:hAnsi="Calibri" w:cs="Calibri"/>
      <w:b/>
      <w:bCs/>
      <w:i/>
      <w:iCs/>
    </w:rPr>
  </w:style>
  <w:style w:type="paragraph" w:customStyle="1" w:styleId="21">
    <w:name w:val="Block Text"/>
    <w:basedOn w:val="1"/>
    <w:next w:val="1"/>
    <w:link w:val="43"/>
    <w:qFormat/>
    <w:uiPriority w:val="0"/>
    <w:pPr>
      <w:widowControl/>
      <w:jc w:val="left"/>
    </w:pPr>
    <w:rPr>
      <w:i/>
      <w:iCs/>
      <w:sz w:val="24"/>
      <w:szCs w:val="24"/>
    </w:rPr>
  </w:style>
  <w:style w:type="paragraph" w:customStyle="1" w:styleId="22">
    <w:name w:val="批注框文本 Char Char"/>
    <w:basedOn w:val="1"/>
    <w:link w:val="38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23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  <w:szCs w:val="24"/>
    </w:rPr>
  </w:style>
  <w:style w:type="paragraph" w:customStyle="1" w:styleId="24">
    <w:name w:val="No Spacing"/>
    <w:basedOn w:val="1"/>
    <w:qFormat/>
    <w:uiPriority w:val="0"/>
    <w:pPr>
      <w:widowControl/>
      <w:jc w:val="left"/>
    </w:pPr>
    <w:rPr>
      <w:rFonts w:ascii="Calibri" w:hAnsi="Calibri" w:eastAsia="宋体" w:cs="Calibri"/>
      <w:kern w:val="0"/>
      <w:sz w:val="24"/>
      <w:szCs w:val="24"/>
      <w:lang w:val="en-US" w:eastAsia="en-US" w:bidi="ar-SA"/>
    </w:rPr>
  </w:style>
  <w:style w:type="paragraph" w:customStyle="1" w:styleId="25">
    <w:name w:val="List Paragraph"/>
    <w:basedOn w:val="1"/>
    <w:qFormat/>
    <w:uiPriority w:val="0"/>
    <w:pPr>
      <w:widowControl/>
      <w:ind w:left="720"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customStyle="1" w:styleId="26">
    <w:name w:val="Intense Quote"/>
    <w:basedOn w:val="1"/>
    <w:next w:val="1"/>
    <w:link w:val="44"/>
    <w:uiPriority w:val="0"/>
    <w:pPr>
      <w:widowControl/>
      <w:ind w:left="720" w:right="720"/>
      <w:jc w:val="left"/>
    </w:pPr>
    <w:rPr>
      <w:b/>
      <w:bCs/>
      <w:i/>
      <w:iCs/>
      <w:sz w:val="24"/>
      <w:szCs w:val="24"/>
    </w:rPr>
  </w:style>
  <w:style w:type="paragraph" w:customStyle="1" w:styleId="27">
    <w:name w:val="TOC Heading1"/>
    <w:basedOn w:val="3"/>
    <w:next w:val="1"/>
    <w:uiPriority w:val="0"/>
    <w:pPr>
      <w:outlineLvl w:val="9"/>
    </w:pPr>
    <w:rPr>
      <w:lang w:eastAsia="en-US"/>
    </w:rPr>
  </w:style>
  <w:style w:type="character" w:customStyle="1" w:styleId="28">
    <w:name w:val="Heading 1 Char"/>
    <w:basedOn w:val="16"/>
    <w:link w:val="3"/>
    <w:semiHidden/>
    <w:qFormat/>
    <w:uiPriority w:val="0"/>
    <w:rPr>
      <w:rFonts w:ascii="Cambria" w:hAnsi="Cambria" w:eastAsia="宋体" w:cs="Cambria"/>
      <w:b/>
      <w:bCs/>
      <w:kern w:val="32"/>
      <w:sz w:val="32"/>
      <w:szCs w:val="32"/>
    </w:rPr>
  </w:style>
  <w:style w:type="character" w:customStyle="1" w:styleId="29">
    <w:name w:val="Heading 2 Char"/>
    <w:basedOn w:val="16"/>
    <w:link w:val="4"/>
    <w:semiHidden/>
    <w:qFormat/>
    <w:uiPriority w:val="0"/>
    <w:rPr>
      <w:rFonts w:ascii="Cambria" w:hAnsi="Cambria" w:eastAsia="宋体" w:cs="Cambria"/>
      <w:b/>
      <w:bCs/>
      <w:i/>
      <w:iCs/>
      <w:sz w:val="28"/>
      <w:szCs w:val="28"/>
    </w:rPr>
  </w:style>
  <w:style w:type="character" w:customStyle="1" w:styleId="30">
    <w:name w:val="Heading 3 Char"/>
    <w:basedOn w:val="16"/>
    <w:link w:val="5"/>
    <w:semiHidden/>
    <w:qFormat/>
    <w:uiPriority w:val="0"/>
    <w:rPr>
      <w:rFonts w:ascii="Cambria" w:hAnsi="Cambria" w:eastAsia="宋体" w:cs="Cambria"/>
      <w:b/>
      <w:bCs/>
      <w:sz w:val="26"/>
      <w:szCs w:val="26"/>
    </w:rPr>
  </w:style>
  <w:style w:type="character" w:customStyle="1" w:styleId="31">
    <w:name w:val="Heading 4 Char"/>
    <w:basedOn w:val="16"/>
    <w:link w:val="6"/>
    <w:semiHidden/>
    <w:uiPriority w:val="0"/>
    <w:rPr>
      <w:b/>
      <w:bCs/>
      <w:sz w:val="28"/>
      <w:szCs w:val="28"/>
    </w:rPr>
  </w:style>
  <w:style w:type="character" w:customStyle="1" w:styleId="32">
    <w:name w:val="Heading 5 Char"/>
    <w:basedOn w:val="16"/>
    <w:link w:val="7"/>
    <w:semiHidden/>
    <w:qFormat/>
    <w:uiPriority w:val="0"/>
    <w:rPr>
      <w:b/>
      <w:bCs/>
      <w:i/>
      <w:iCs/>
      <w:sz w:val="26"/>
      <w:szCs w:val="26"/>
    </w:rPr>
  </w:style>
  <w:style w:type="character" w:customStyle="1" w:styleId="33">
    <w:name w:val="Heading 6 Char"/>
    <w:basedOn w:val="16"/>
    <w:link w:val="8"/>
    <w:semiHidden/>
    <w:uiPriority w:val="0"/>
    <w:rPr>
      <w:b/>
      <w:bCs/>
    </w:rPr>
  </w:style>
  <w:style w:type="character" w:customStyle="1" w:styleId="34">
    <w:name w:val="Heading 7 Char"/>
    <w:basedOn w:val="16"/>
    <w:link w:val="9"/>
    <w:semiHidden/>
    <w:uiPriority w:val="0"/>
    <w:rPr>
      <w:sz w:val="24"/>
      <w:szCs w:val="24"/>
    </w:rPr>
  </w:style>
  <w:style w:type="character" w:customStyle="1" w:styleId="35">
    <w:name w:val="Heading 8 Char"/>
    <w:basedOn w:val="16"/>
    <w:link w:val="10"/>
    <w:semiHidden/>
    <w:qFormat/>
    <w:uiPriority w:val="0"/>
    <w:rPr>
      <w:i/>
      <w:iCs/>
      <w:sz w:val="24"/>
      <w:szCs w:val="24"/>
    </w:rPr>
  </w:style>
  <w:style w:type="character" w:customStyle="1" w:styleId="36">
    <w:name w:val="Heading 9 Char"/>
    <w:basedOn w:val="16"/>
    <w:link w:val="11"/>
    <w:semiHidden/>
    <w:qFormat/>
    <w:uiPriority w:val="0"/>
    <w:rPr>
      <w:rFonts w:ascii="Cambria" w:hAnsi="Cambria" w:eastAsia="宋体" w:cs="Cambria"/>
    </w:rPr>
  </w:style>
  <w:style w:type="character" w:customStyle="1" w:styleId="37">
    <w:name w:val="Body Text Char"/>
    <w:basedOn w:val="16"/>
    <w:link w:val="2"/>
    <w:semiHidden/>
    <w:qFormat/>
    <w:uiPriority w:val="0"/>
    <w:rPr>
      <w:sz w:val="24"/>
      <w:szCs w:val="24"/>
    </w:rPr>
  </w:style>
  <w:style w:type="character" w:customStyle="1" w:styleId="38">
    <w:name w:val="Balloon Text Char"/>
    <w:basedOn w:val="16"/>
    <w:link w:val="22"/>
    <w:semiHidden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39">
    <w:name w:val="Footer Char"/>
    <w:basedOn w:val="16"/>
    <w:link w:val="12"/>
    <w:semiHidden/>
    <w:qFormat/>
    <w:uiPriority w:val="0"/>
    <w:rPr>
      <w:rFonts w:ascii="Calibri" w:hAnsi="Calibri" w:eastAsia="宋体" w:cs="Calibri"/>
      <w:kern w:val="2"/>
      <w:sz w:val="18"/>
      <w:szCs w:val="18"/>
    </w:rPr>
  </w:style>
  <w:style w:type="character" w:customStyle="1" w:styleId="40">
    <w:name w:val="Header Char"/>
    <w:basedOn w:val="16"/>
    <w:link w:val="13"/>
    <w:semiHidden/>
    <w:uiPriority w:val="0"/>
    <w:rPr>
      <w:rFonts w:ascii="Calibri" w:hAnsi="Calibri" w:eastAsia="宋体" w:cs="Calibri"/>
      <w:kern w:val="2"/>
      <w:sz w:val="18"/>
      <w:szCs w:val="18"/>
    </w:rPr>
  </w:style>
  <w:style w:type="character" w:customStyle="1" w:styleId="41">
    <w:name w:val="Subtitle Char"/>
    <w:basedOn w:val="16"/>
    <w:link w:val="14"/>
    <w:semiHidden/>
    <w:uiPriority w:val="0"/>
    <w:rPr>
      <w:rFonts w:ascii="Cambria" w:hAnsi="Cambria" w:eastAsia="宋体" w:cs="Cambria"/>
      <w:sz w:val="24"/>
      <w:szCs w:val="24"/>
    </w:rPr>
  </w:style>
  <w:style w:type="character" w:customStyle="1" w:styleId="42">
    <w:name w:val="Title Char"/>
    <w:basedOn w:val="16"/>
    <w:link w:val="15"/>
    <w:semiHidden/>
    <w:qFormat/>
    <w:uiPriority w:val="0"/>
    <w:rPr>
      <w:rFonts w:ascii="Cambria" w:hAnsi="Cambria" w:eastAsia="宋体" w:cs="Cambria"/>
      <w:b/>
      <w:bCs/>
      <w:kern w:val="28"/>
      <w:sz w:val="32"/>
      <w:szCs w:val="32"/>
    </w:rPr>
  </w:style>
  <w:style w:type="character" w:customStyle="1" w:styleId="43">
    <w:name w:val="Quote Char"/>
    <w:basedOn w:val="16"/>
    <w:link w:val="21"/>
    <w:semiHidden/>
    <w:qFormat/>
    <w:uiPriority w:val="0"/>
    <w:rPr>
      <w:i/>
      <w:iCs/>
      <w:sz w:val="24"/>
      <w:szCs w:val="24"/>
    </w:rPr>
  </w:style>
  <w:style w:type="character" w:customStyle="1" w:styleId="44">
    <w:name w:val="Intense Quote Char Char"/>
    <w:basedOn w:val="16"/>
    <w:link w:val="26"/>
    <w:semiHidden/>
    <w:qFormat/>
    <w:uiPriority w:val="0"/>
    <w:rPr>
      <w:b/>
      <w:bCs/>
      <w:i/>
      <w:iCs/>
      <w:sz w:val="24"/>
      <w:szCs w:val="24"/>
    </w:rPr>
  </w:style>
  <w:style w:type="character" w:customStyle="1" w:styleId="45">
    <w:name w:val="Subtle Emphasis1"/>
    <w:qFormat/>
    <w:uiPriority w:val="0"/>
    <w:rPr>
      <w:i/>
      <w:iCs/>
      <w:color w:val="auto"/>
    </w:rPr>
  </w:style>
  <w:style w:type="character" w:customStyle="1" w:styleId="46">
    <w:name w:val="Intense Emphasis1"/>
    <w:basedOn w:val="16"/>
    <w:qFormat/>
    <w:uiPriority w:val="0"/>
    <w:rPr>
      <w:b/>
      <w:bCs/>
      <w:i/>
      <w:iCs/>
      <w:sz w:val="24"/>
      <w:szCs w:val="24"/>
      <w:u w:val="single"/>
    </w:rPr>
  </w:style>
  <w:style w:type="character" w:customStyle="1" w:styleId="47">
    <w:name w:val="Subtle Reference1"/>
    <w:basedOn w:val="16"/>
    <w:qFormat/>
    <w:uiPriority w:val="0"/>
    <w:rPr>
      <w:sz w:val="24"/>
      <w:szCs w:val="24"/>
      <w:u w:val="single"/>
    </w:rPr>
  </w:style>
  <w:style w:type="character" w:customStyle="1" w:styleId="48">
    <w:name w:val="Intense Reference1"/>
    <w:basedOn w:val="16"/>
    <w:qFormat/>
    <w:uiPriority w:val="0"/>
    <w:rPr>
      <w:b/>
      <w:bCs/>
      <w:sz w:val="24"/>
      <w:szCs w:val="24"/>
      <w:u w:val="single"/>
    </w:rPr>
  </w:style>
  <w:style w:type="character" w:customStyle="1" w:styleId="49">
    <w:name w:val="Book Title1"/>
    <w:basedOn w:val="16"/>
    <w:qFormat/>
    <w:uiPriority w:val="0"/>
    <w:rPr>
      <w:rFonts w:ascii="Cambria" w:hAnsi="Cambria" w:eastAsia="宋体" w:cs="Cambria"/>
      <w:b/>
      <w:bCs/>
      <w:i/>
      <w:i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12</Pages>
  <Words>1091</Words>
  <Characters>6222</Characters>
  <Lines>0</Lines>
  <Paragraphs>0</Paragraphs>
  <TotalTime>60</TotalTime>
  <ScaleCrop>false</ScaleCrop>
  <LinksUpToDate>false</LinksUpToDate>
  <CharactersWithSpaces>0</CharactersWithSpaces>
  <Application>WPS Office_10.8.2.6870_F1E327BC-269C-435d-A152-05C5408002CA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2019-02-28T10:44:00Z</dcterms:created>
  <dc:creator>赵 恺（预算处）</dc:creator>
  <cp:lastModifiedBy>Administrator</cp:lastModifiedBy>
  <cp:lastPrinted>2019-02-20T17:24:00Z</cp:lastPrinted>
  <dcterms:modified xsi:type="dcterms:W3CDTF">2019-10-24T03:42:58Z</dcterms:modified>
  <dc:title>自治区本级社会保险支出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2052-10.8.2.6870</vt:lpwstr>
  </property>
</Properties>
</file>